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November 8, 2024</w:t>
      </w: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15" w:right="359" w:bottom="1440" w:gutter="0" w:footer="0" w:header="0"/>
        </w:sectPr>
      </w:pPr>
    </w:p>
    <w:p>
      <w:pPr>
        <w:spacing w:after="0" w:line="26"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 w:lineRule="exact"/>
        <w:rPr>
          <w:sz w:val="24"/>
          <w:szCs w:val="24"/>
          <w:color w:val="auto"/>
        </w:rPr>
      </w:pPr>
    </w:p>
    <w:p>
      <w:pPr>
        <w:sectPr>
          <w:pgSz w:w="11900" w:h="16838" w:orient="portrait"/>
          <w:cols w:equalWidth="0" w:num="3">
            <w:col w:w="3900" w:space="720"/>
            <w:col w:w="2520" w:space="720"/>
            <w:col w:w="3360"/>
          </w:cols>
          <w:pgMar w:left="320" w:top="1415" w:right="359" w:bottom="1440" w:gutter="0" w:footer="0" w:header="0"/>
          <w:type w:val="continuous"/>
        </w:sectPr>
      </w:pPr>
    </w:p>
    <w:p>
      <w:pPr>
        <w:ind w:left="1620"/>
        <w:spacing w:after="0" w:line="229" w:lineRule="auto"/>
        <w:rPr>
          <w:sz w:val="20"/>
          <w:szCs w:val="20"/>
          <w:color w:val="auto"/>
        </w:rPr>
      </w:pPr>
      <w:r>
        <w:rPr>
          <w:rFonts w:ascii="Times New Roman" w:cs="Times New Roman" w:eastAsia="Times New Roman" w:hAnsi="Times New Roman"/>
          <w:sz w:val="18"/>
          <w:szCs w:val="18"/>
          <w:color w:val="auto"/>
        </w:rPr>
        <w:t>incorporation)</w:t>
      </w:r>
    </w:p>
    <w:p>
      <w:pPr>
        <w:spacing w:after="0" w:line="3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20"/>
          </w:cols>
          <w:pgMar w:left="320" w:top="1415" w:right="359" w:bottom="1440" w:gutter="0" w:footer="0" w:header="0"/>
          <w:type w:val="continuous"/>
        </w:sect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53"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314"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ind w:right="22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213995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153670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8" w:lineRule="auto"/>
        <w:rPr>
          <w:sz w:val="20"/>
          <w:szCs w:val="20"/>
          <w:color w:val="auto"/>
        </w:rPr>
      </w:pPr>
      <w:r>
        <w:rPr>
          <w:rFonts w:ascii="Times New Roman" w:cs="Times New Roman" w:eastAsia="Times New Roman" w:hAnsi="Times New Roman"/>
          <w:sz w:val="18"/>
          <w:szCs w:val="18"/>
          <w:color w:val="auto"/>
        </w:rPr>
        <w:t>On November 8, 2024, the Registrant issued a press release reporting its third-quarter 2024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60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20" w:type="dxa"/>
            <w:vAlign w:val="bottom"/>
            <w:tcBorders>
              <w:top w:val="single" w:sz="8" w:color="auto"/>
              <w:bottom w:val="single" w:sz="8" w:color="0000FF"/>
            </w:tcBorders>
          </w:tcPr>
          <w:p>
            <w:pPr>
              <w:spacing w:after="0" w:line="184" w:lineRule="exact"/>
              <w:rPr>
                <w:sz w:val="20"/>
                <w:szCs w:val="20"/>
                <w:color w:val="auto"/>
              </w:rPr>
            </w:pPr>
            <w:r>
              <w:rPr>
                <w:rFonts w:ascii="Times New Roman" w:cs="Times New Roman" w:eastAsia="Times New Roman" w:hAnsi="Times New Roman"/>
                <w:sz w:val="18"/>
                <w:szCs w:val="18"/>
                <w:color w:val="0000FF"/>
                <w:w w:val="99"/>
              </w:rPr>
              <w:t>Press Release dated November 8, 2024</w:t>
            </w:r>
          </w:p>
        </w:tc>
        <w:tc>
          <w:tcPr>
            <w:tcW w:w="4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60" w:hanging="792"/>
        <w:spacing w:after="0"/>
        <w:tabs>
          <w:tab w:leader="none" w:pos="1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70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80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500"/>
        </w:trPr>
        <w:tc>
          <w:tcPr>
            <w:tcW w:w="3140" w:type="dxa"/>
            <w:vAlign w:val="bottom"/>
          </w:tcPr>
          <w:p>
            <w:pPr>
              <w:spacing w:after="0"/>
              <w:rPr>
                <w:sz w:val="24"/>
                <w:szCs w:val="24"/>
                <w:color w:val="auto"/>
              </w:rPr>
            </w:pPr>
          </w:p>
        </w:tc>
        <w:tc>
          <w:tcPr>
            <w:tcW w:w="80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By:  PAA GP LLC, its general partner</w:t>
            </w:r>
          </w:p>
        </w:tc>
      </w:tr>
      <w:tr>
        <w:trPr>
          <w:trHeight w:val="499"/>
        </w:trPr>
        <w:tc>
          <w:tcPr>
            <w:tcW w:w="3140" w:type="dxa"/>
            <w:vAlign w:val="bottom"/>
          </w:tcPr>
          <w:p>
            <w:pPr>
              <w:spacing w:after="0"/>
              <w:rPr>
                <w:sz w:val="24"/>
                <w:szCs w:val="24"/>
                <w:color w:val="auto"/>
              </w:rPr>
            </w:pPr>
          </w:p>
        </w:tc>
        <w:tc>
          <w:tcPr>
            <w:tcW w:w="80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By:  Plains AAP, L.P., its sole member</w:t>
            </w:r>
          </w:p>
        </w:tc>
      </w:tr>
      <w:tr>
        <w:trPr>
          <w:trHeight w:val="499"/>
        </w:trPr>
        <w:tc>
          <w:tcPr>
            <w:tcW w:w="3140" w:type="dxa"/>
            <w:vAlign w:val="bottom"/>
          </w:tcPr>
          <w:p>
            <w:pPr>
              <w:spacing w:after="0"/>
              <w:rPr>
                <w:sz w:val="24"/>
                <w:szCs w:val="24"/>
                <w:color w:val="auto"/>
              </w:rPr>
            </w:pPr>
          </w:p>
        </w:tc>
        <w:tc>
          <w:tcPr>
            <w:tcW w:w="80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tc>
      </w:tr>
      <w:tr>
        <w:trPr>
          <w:trHeight w:val="49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2024</w:t>
            </w:r>
          </w:p>
        </w:tc>
        <w:tc>
          <w:tcPr>
            <w:tcW w:w="80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By:  /s/ Sharon Spurlin</w:t>
            </w:r>
          </w:p>
        </w:tc>
      </w:tr>
      <w:tr>
        <w:trPr>
          <w:trHeight w:val="216"/>
        </w:trPr>
        <w:tc>
          <w:tcPr>
            <w:tcW w:w="3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Sharon Spurlin</w:t>
            </w:r>
          </w:p>
        </w:tc>
      </w:tr>
      <w:tr>
        <w:trPr>
          <w:trHeight w:val="236"/>
        </w:trPr>
        <w:tc>
          <w:tcPr>
            <w:tcW w:w="3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8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294005</wp:posOffset>
            </wp:positionV>
            <wp:extent cx="2057400" cy="462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740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Plains All American Reports Third-Quarter 2024 Results</w:t>
      </w:r>
    </w:p>
    <w:p>
      <w:pPr>
        <w:spacing w:after="0" w:line="200" w:lineRule="exact"/>
        <w:rPr>
          <w:sz w:val="20"/>
          <w:szCs w:val="20"/>
          <w:color w:val="auto"/>
        </w:rPr>
      </w:pPr>
    </w:p>
    <w:p>
      <w:pPr>
        <w:spacing w:after="0" w:line="2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Houston, TX – November 8, 2024 – Plains All American Pipeline, L.P. (Nasdaq: </w:t>
      </w:r>
      <w:r>
        <w:rPr>
          <w:rFonts w:ascii="Times New Roman" w:cs="Times New Roman" w:eastAsia="Times New Roman" w:hAnsi="Times New Roman"/>
          <w:sz w:val="18"/>
          <w:szCs w:val="18"/>
          <w:color w:val="0000FF"/>
        </w:rPr>
        <w:t>PAA</w:t>
      </w:r>
      <w:r>
        <w:rPr>
          <w:rFonts w:ascii="Times New Roman" w:cs="Times New Roman" w:eastAsia="Times New Roman" w:hAnsi="Times New Roman"/>
          <w:sz w:val="18"/>
          <w:szCs w:val="18"/>
          <w:color w:val="auto"/>
        </w:rPr>
        <w:t xml:space="preserve">) and Plains GP Holdings (Nasdaq: </w:t>
      </w:r>
      <w:r>
        <w:rPr>
          <w:rFonts w:ascii="Times New Roman" w:cs="Times New Roman" w:eastAsia="Times New Roman" w:hAnsi="Times New Roman"/>
          <w:sz w:val="18"/>
          <w:szCs w:val="18"/>
          <w:color w:val="0000FF"/>
        </w:rPr>
        <w:t>PAGP</w:t>
      </w:r>
      <w:r>
        <w:rPr>
          <w:rFonts w:ascii="Times New Roman" w:cs="Times New Roman" w:eastAsia="Times New Roman" w:hAnsi="Times New Roman"/>
          <w:sz w:val="18"/>
          <w:szCs w:val="18"/>
          <w:color w:val="auto"/>
        </w:rPr>
        <w:t>) today reported third-quarter 2024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Third-Quarter Results</w:t>
      </w:r>
    </w:p>
    <w:p>
      <w:pPr>
        <w:spacing w:after="0" w:line="24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net income attributable to PAA of $220 million and net cash provided by operating activities of $692 million</w:t>
      </w:r>
    </w:p>
    <w:p>
      <w:pPr>
        <w:spacing w:after="0" w:line="3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solid Adjusted EBITDA attributable to PAA of $659 million</w:t>
      </w:r>
    </w:p>
    <w:p>
      <w:pPr>
        <w:spacing w:after="0" w:line="3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Progressed our efficient growth strategy with a small bolt-on acquisition of a Permian gathering system</w:t>
      </w:r>
    </w:p>
    <w:p>
      <w:pPr>
        <w:spacing w:after="0" w:line="3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Exited the quarter with 3.0x leverage ratio, below our target range of 3.25x – 3.75x</w:t>
      </w:r>
    </w:p>
    <w:p>
      <w:pPr>
        <w:spacing w:after="0" w:line="3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Moody’s upgrade from Baa3 to Baa2 with stable outlook; now mid-BBB at all three credit rating agencies</w:t>
      </w:r>
    </w:p>
    <w:p>
      <w:pPr>
        <w:spacing w:after="0" w:line="3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remaining material Line 901 claims against Plains with two lawsuit settlements resulting in a $120 million charge to GAAP earnings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Guidance Update</w:t>
      </w:r>
    </w:p>
    <w:p>
      <w:pPr>
        <w:spacing w:after="0" w:line="256"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Expect to be toward the high-end of the guidance range for full-year 2024 Adjusted EBITDA attributable to PAA of $2.725 - $2.775 billion</w:t>
      </w:r>
    </w:p>
    <w:p>
      <w:pPr>
        <w:spacing w:after="0" w:line="256" w:lineRule="exact"/>
        <w:rPr>
          <w:rFonts w:ascii="Times New Roman" w:cs="Times New Roman" w:eastAsia="Times New Roman" w:hAnsi="Times New Roman"/>
          <w:sz w:val="20"/>
          <w:szCs w:val="20"/>
          <w:color w:val="auto"/>
        </w:rPr>
      </w:pPr>
    </w:p>
    <w:p>
      <w:pPr>
        <w:ind w:left="660" w:right="100" w:hanging="328"/>
        <w:spacing w:after="0" w:line="255"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Expect 2024 Adjusted Free Cash Flow to be approximately $1.45 billion (excluding changes in Assets &amp; Liabilities; including bolt-on acquisition capital and legal settlements)</w:t>
      </w:r>
    </w:p>
    <w:p>
      <w:pPr>
        <w:spacing w:after="0" w:line="21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delivered solid operational and financial results in the third quarter and we continue to make progress on our efficient growth strategy, which includes generating multi-year Free Cash Flow, maintaining capital discipline and returning capital to our investors while preserving financial flexibility,” said Willie Chiang, Chairman and CEO of Plains. “Our company is well positioned, and we have grown increasingly confident in both the durability and cash generating potential of the asset base. The improved outlook for the year provides more confidence in our long-term return of capital framework, which should continue creating value for our unitholders.”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4"/>
        </w:trPr>
        <w:tc>
          <w:tcPr>
            <w:tcW w:w="5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GAAP Results</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Diluted net income per common unit</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per common unit declared for the period</w:t>
            </w: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608"/>
        </w:trPr>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9"/>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9"/>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18"/>
                <w:szCs w:val="18"/>
                <w:b w:val="1"/>
                <w:bCs w:val="1"/>
                <w:i w:val="1"/>
                <w:iCs w:val="1"/>
                <w:color w:val="auto"/>
                <w:vertAlign w:val="superscript"/>
              </w:rPr>
              <w:t>(1)</w:t>
            </w: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0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51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 after Distributions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76"/>
        </w:trPr>
        <w:tc>
          <w:tcPr>
            <w:tcW w:w="514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Free Cash Flow (Excluding Changes in Assets &amp;</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75"/>
        </w:trPr>
        <w:tc>
          <w:tcPr>
            <w:tcW w:w="51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Free Cash Flow after Distributions (Excluding Changes in</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&amp; Liabilities)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459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that variance as a percentage is not meaningful.</w:t>
      </w:r>
    </w:p>
    <w:p>
      <w:pPr>
        <w:spacing w:after="0" w:line="63" w:lineRule="exact"/>
        <w:rPr>
          <w:sz w:val="20"/>
          <w:szCs w:val="20"/>
          <w:color w:val="auto"/>
        </w:rPr>
      </w:pPr>
    </w:p>
    <w:p>
      <w:pPr>
        <w:jc w:val="both"/>
        <w:ind w:left="340" w:right="240" w:hanging="332"/>
        <w:spacing w:after="0" w:line="251" w:lineRule="auto"/>
        <w:tabs>
          <w:tab w:leader="none" w:pos="32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28" w:lineRule="exact"/>
        <w:rPr>
          <w:rFonts w:ascii="Times New Roman" w:cs="Times New Roman" w:eastAsia="Times New Roman" w:hAnsi="Times New Roman"/>
          <w:sz w:val="22"/>
          <w:szCs w:val="22"/>
          <w:color w:val="auto"/>
          <w:vertAlign w:val="superscript"/>
        </w:rPr>
      </w:pPr>
    </w:p>
    <w:p>
      <w:pPr>
        <w:ind w:left="340" w:right="140" w:hanging="332"/>
        <w:spacing w:after="0" w:line="229" w:lineRule="auto"/>
        <w:tabs>
          <w:tab w:leader="none" w:pos="32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amounts attributable to noncontrolling interests in the Plains Oryx Permian Basin LLC joint venture, Cactus II Pipeline LLC and Red River Pipeline LLC.</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Financial Data by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r>
      <w:tr>
        <w:trPr>
          <w:trHeight w:val="211"/>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380" w:type="dxa"/>
            <w:vAlign w:val="bottom"/>
          </w:tcPr>
          <w:p>
            <w:pPr>
              <w:spacing w:after="0"/>
              <w:rPr>
                <w:sz w:val="18"/>
                <w:szCs w:val="18"/>
                <w:color w:val="auto"/>
              </w:rPr>
            </w:pPr>
          </w:p>
        </w:tc>
        <w:tc>
          <w:tcPr>
            <w:tcW w:w="126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50"/>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2024</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Three Months Ended September 30, 2023</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553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99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2"/>
        </w:trPr>
        <w:tc>
          <w:tcPr>
            <w:tcW w:w="78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Percentage change in Segment Adjusted EBITDA versus 2023 period</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4 %</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(26)%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30"/>
        </w:trPr>
        <w:tc>
          <w:tcPr>
            <w:tcW w:w="7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r>
      <w:tr>
        <w:trPr>
          <w:trHeight w:val="211"/>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380" w:type="dxa"/>
            <w:vAlign w:val="bottom"/>
          </w:tcPr>
          <w:p>
            <w:pPr>
              <w:spacing w:after="0"/>
              <w:rPr>
                <w:sz w:val="18"/>
                <w:szCs w:val="18"/>
                <w:color w:val="auto"/>
              </w:rPr>
            </w:pPr>
          </w:p>
        </w:tc>
        <w:tc>
          <w:tcPr>
            <w:tcW w:w="126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50"/>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Nine Months Ended September 30, 2023</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1,600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352</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Percentage change in Segment Adjusted EBITDA versus 2023 period</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Third-quarter 2024 Crude Oil Segment Adjusted EBITDA increased 4% versus comparable 2023 results primarily due to higher tariff volumes on our pipelines, tariff escalations and contributions from acquisitions. These items were partially offset by fewer market-based opportunities.</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Third-quarter 2024 NGL Segment Adjusted EBITDA decreased 26% versus comparable 2023 results primarily due to lower weighted average frac spreads in the third quarter of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5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and Webcast Instructions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will hold a joint conference call at 9:00 a.m. CT on Friday, November 8, 2024 to discuss third-quarter performance and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access the internet webcast, please go to https://edge.media-server.com/mmc/p/cjupfudo/</w:t>
      </w:r>
    </w:p>
    <w:p>
      <w:pPr>
        <w:spacing w:after="0" w:line="252"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Alternatively, the webcast can be accessed on our website (www.plains.com) under Investor Relations (Navigate to: Investor Relations / either “PAA” or “PAGP” / News &amp; Events / Events &amp; Presentations). Following the live webcast, an audio replay will be available on our website and will be accessible for a period of 365 days. Slides will be posted prior to the call at the above referenced website.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00" w:lineRule="exact"/>
        <w:rPr>
          <w:sz w:val="20"/>
          <w:szCs w:val="20"/>
          <w:color w:val="auto"/>
        </w:rPr>
      </w:pPr>
    </w:p>
    <w:p>
      <w:pPr>
        <w:spacing w:after="0" w:line="241"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13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Adjusted EBITDA is defined as earnings before interest expense, income tax (expense)/benefit, depreciation and amortization (including our proportionate share of depreciation and amortization, including write-downs related to cancelled projects and impairments, of unconsolidated entities), gains and losses on asset sales and asset impairments, gains or losses on investments in unconsolidated entities and interest income on promissory notes by and among PAA and certain Plains entities, adjusted for certain selected items impacting comparability. Adjusted EBITDA attributable to PAA excludes the portion of Adjusted EBITDA that is attributable to noncontrolling interests.</w:t>
      </w:r>
    </w:p>
    <w:p>
      <w:pPr>
        <w:spacing w:after="0" w:line="102"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pacing w:after="0" w:line="200" w:lineRule="exact"/>
        <w:rPr>
          <w:sz w:val="20"/>
          <w:szCs w:val="20"/>
          <w:color w:val="auto"/>
        </w:rPr>
      </w:pPr>
    </w:p>
    <w:p>
      <w:pPr>
        <w:spacing w:after="0" w:line="24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Liquidity Measures</w:t>
      </w:r>
    </w:p>
    <w:p>
      <w:pPr>
        <w:spacing w:after="0" w:line="14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spacing w:after="0" w:line="8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also present these measures and additional non-GAAP financial liquidity measures as they are measures that investors have indicated are useful. We present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36,014</w:t>
            </w:r>
          </w:p>
        </w:tc>
      </w:tr>
      <w:tr>
        <w:trPr>
          <w:trHeight w:val="257"/>
        </w:trPr>
        <w:tc>
          <w:tcPr>
            <w:tcW w:w="38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32,972</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29"/>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34,929</w:t>
            </w:r>
          </w:p>
        </w:tc>
      </w:tr>
      <w:tr>
        <w:trPr>
          <w:trHeight w:val="256"/>
        </w:trPr>
        <w:tc>
          <w:tcPr>
            <w:tcW w:w="38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56"/>
        </w:trPr>
        <w:tc>
          <w:tcPr>
            <w:tcW w:w="38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 in unconsolidated entities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63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6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6"/>
        </w:trPr>
        <w:tc>
          <w:tcPr>
            <w:tcW w:w="38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38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30"/>
        </w:trPr>
        <w:tc>
          <w:tcPr>
            <w:tcW w:w="63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48"/>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UNIT: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 allocated to common unitholders — Basic and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9"/>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30"/>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3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29"/>
        </w:trPr>
        <w:tc>
          <w:tcPr>
            <w:tcW w:w="388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r>
    </w:tbl>
    <w:p>
      <w:pPr>
        <w:spacing w:after="0" w:line="130" w:lineRule="exact"/>
        <w:rPr>
          <w:sz w:val="20"/>
          <w:szCs w:val="20"/>
          <w:color w:val="auto"/>
        </w:rPr>
      </w:pPr>
    </w:p>
    <w:p>
      <w:pPr>
        <w:ind w:left="340" w:right="240" w:hanging="332"/>
        <w:spacing w:after="0" w:line="239" w:lineRule="auto"/>
        <w:tabs>
          <w:tab w:leader="none" w:pos="32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PAA and certain Plains entities have issued promissory notes by and among such entities to facilitate financing. “Interest expense, net” and “Other income, net” each include $16 million and $31 million for the three and nine months ended September 30, 2024, respectively, related to interest on such notes. These amounts offset and do not impact Net Income or Non-GAAP metrics such as Adjusted EBITDA, Implied DCF and Adjusted Free Cash Flow.</w:t>
      </w:r>
    </w:p>
    <w:p>
      <w:pPr>
        <w:spacing w:after="0" w:line="157"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 (including Cash and cash equivalents of $640 and $450, respectively)</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3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partners’ capital</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3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DEBT CAPITALIZATION RATIOS</w:t>
            </w:r>
          </w:p>
        </w:tc>
        <w:tc>
          <w:tcPr>
            <w:tcW w:w="2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7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9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3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book capitalization excluding noncontrolling interests (“Total book capitalization”)</w:t>
            </w: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book capitalization, including short-term debt</w:t>
            </w:r>
          </w:p>
        </w:tc>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18,212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debt-to-total book capitalization</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 more -</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2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3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c>
          <w:tcPr>
            <w:tcW w:w="286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36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COMPUTATION OF BASIC AND DILUTED NET INCOME PER COMMON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96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820" w:type="dxa"/>
            <w:vAlign w:val="bottom"/>
            <w:tcBorders>
              <w:bottom w:val="single" w:sz="8" w:color="CCEEFF"/>
            </w:tcBorders>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6"/>
        </w:trPr>
        <w:tc>
          <w:tcPr>
            <w:tcW w:w="60" w:type="dxa"/>
            <w:vAlign w:val="bottom"/>
          </w:tcPr>
          <w:p>
            <w:pPr>
              <w:spacing w:after="0"/>
              <w:rPr>
                <w:sz w:val="18"/>
                <w:szCs w:val="18"/>
                <w:color w:val="auto"/>
              </w:rPr>
            </w:pPr>
          </w:p>
        </w:tc>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Unit</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2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72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30"/>
        </w:trPr>
        <w:tc>
          <w:tcPr>
            <w:tcW w:w="60" w:type="dxa"/>
            <w:vAlign w:val="bottom"/>
          </w:tcPr>
          <w:p>
            <w:pPr>
              <w:spacing w:after="0"/>
              <w:rPr>
                <w:sz w:val="19"/>
                <w:szCs w:val="19"/>
                <w:color w:val="auto"/>
              </w:rPr>
            </w:pPr>
          </w:p>
        </w:tc>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60" w:type="dxa"/>
            <w:vAlign w:val="bottom"/>
          </w:tcPr>
          <w:p>
            <w:pPr>
              <w:spacing w:after="0"/>
              <w:rPr>
                <w:sz w:val="19"/>
                <w:szCs w:val="19"/>
                <w:color w:val="auto"/>
              </w:rPr>
            </w:pPr>
          </w:p>
        </w:tc>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0" w:type="dxa"/>
            <w:vAlign w:val="bottom"/>
          </w:tcPr>
          <w:p>
            <w:pPr>
              <w:spacing w:after="0"/>
              <w:rPr>
                <w:sz w:val="19"/>
                <w:szCs w:val="19"/>
                <w:color w:val="auto"/>
              </w:rPr>
            </w:pPr>
          </w:p>
        </w:tc>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0" w:type="dxa"/>
            <w:vAlign w:val="bottom"/>
          </w:tcPr>
          <w:p>
            <w:pPr>
              <w:spacing w:after="0"/>
              <w:rPr>
                <w:sz w:val="19"/>
                <w:szCs w:val="19"/>
                <w:color w:val="auto"/>
              </w:rPr>
            </w:pPr>
          </w:p>
        </w:tc>
        <w:tc>
          <w:tcPr>
            <w:tcW w:w="62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60" w:type="dxa"/>
            <w:vAlign w:val="bottom"/>
          </w:tcPr>
          <w:p>
            <w:pPr>
              <w:spacing w:after="0"/>
              <w:rPr>
                <w:sz w:val="21"/>
                <w:szCs w:val="21"/>
                <w:color w:val="auto"/>
              </w:rPr>
            </w:pPr>
          </w:p>
        </w:tc>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allocated to common unitholders</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9"/>
        </w:trPr>
        <w:tc>
          <w:tcPr>
            <w:tcW w:w="60" w:type="dxa"/>
            <w:vAlign w:val="bottom"/>
          </w:tcPr>
          <w:p>
            <w:pPr>
              <w:spacing w:after="0"/>
              <w:rPr>
                <w:sz w:val="19"/>
                <w:szCs w:val="19"/>
                <w:color w:val="auto"/>
              </w:rPr>
            </w:pPr>
          </w:p>
        </w:tc>
        <w:tc>
          <w:tcPr>
            <w:tcW w:w="6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(2) (3)</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57"/>
        </w:trPr>
        <w:tc>
          <w:tcPr>
            <w:tcW w:w="6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54"/>
        </w:trPr>
        <w:tc>
          <w:tcPr>
            <w:tcW w:w="60" w:type="dxa"/>
            <w:vAlign w:val="bottom"/>
          </w:tcPr>
          <w:p>
            <w:pPr>
              <w:spacing w:after="0"/>
              <w:rPr>
                <w:sz w:val="21"/>
                <w:szCs w:val="21"/>
                <w:color w:val="auto"/>
              </w:rPr>
            </w:pPr>
          </w:p>
        </w:tc>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0" w:type="dxa"/>
            <w:vAlign w:val="bottom"/>
            <w:tcBorders>
              <w:bottom w:val="single" w:sz="8" w:color="auto"/>
            </w:tcBorders>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130" w:lineRule="exact"/>
        <w:rPr>
          <w:sz w:val="20"/>
          <w:szCs w:val="20"/>
          <w:color w:val="auto"/>
        </w:rPr>
      </w:pPr>
    </w:p>
    <w:p>
      <w:pPr>
        <w:ind w:left="340" w:right="160" w:hanging="332"/>
        <w:spacing w:after="0" w:line="23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6" w:lineRule="exact"/>
        <w:rPr>
          <w:rFonts w:ascii="Times New Roman" w:cs="Times New Roman" w:eastAsia="Times New Roman" w:hAnsi="Times New Roman"/>
          <w:sz w:val="23"/>
          <w:szCs w:val="23"/>
          <w:color w:val="auto"/>
          <w:vertAlign w:val="superscript"/>
        </w:rPr>
      </w:pPr>
    </w:p>
    <w:p>
      <w:pPr>
        <w:ind w:left="340" w:right="40" w:hanging="332"/>
        <w:spacing w:after="0" w:line="22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possible conversion of our Series A preferred units was excluded from the calculation of diluted net income per common unit for each of the three and nine months ended September 30, 2024 and 2023 as the effect was antidilutive.</w:t>
      </w:r>
    </w:p>
    <w:p>
      <w:pPr>
        <w:spacing w:after="0" w:line="36" w:lineRule="exact"/>
        <w:rPr>
          <w:rFonts w:ascii="Times New Roman" w:cs="Times New Roman" w:eastAsia="Times New Roman" w:hAnsi="Times New Roman"/>
          <w:sz w:val="23"/>
          <w:szCs w:val="23"/>
          <w:color w:val="auto"/>
          <w:vertAlign w:val="superscript"/>
        </w:rPr>
      </w:pPr>
    </w:p>
    <w:p>
      <w:pPr>
        <w:ind w:left="340" w:right="240" w:hanging="332"/>
        <w:spacing w:after="0" w:line="239"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64"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CASH FLOW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7"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Distributions on earnings from unconsolidated entities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8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8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r>
      <w:tr>
        <w:trPr>
          <w:trHeight w:val="148"/>
        </w:trPr>
        <w:tc>
          <w:tcPr>
            <w:tcW w:w="38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9"/>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cash used in investing activities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148"/>
        </w:trPr>
        <w:tc>
          <w:tcPr>
            <w:tcW w:w="3880" w:type="dxa"/>
            <w:vAlign w:val="bottom"/>
            <w:shd w:val="clear" w:color="auto" w:fill="CCEEFF"/>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2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cash used in financing activities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148"/>
        </w:trPr>
        <w:tc>
          <w:tcPr>
            <w:tcW w:w="38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30"/>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translation adjustment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48"/>
        </w:trPr>
        <w:tc>
          <w:tcPr>
            <w:tcW w:w="38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increase/(decrease) in cash and cash equivalents and restricted cash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148"/>
        </w:trPr>
        <w:tc>
          <w:tcPr>
            <w:tcW w:w="38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0"/>
        </w:trPr>
        <w:tc>
          <w:tcPr>
            <w:tcW w:w="38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6"/>
        </w:trPr>
        <w:tc>
          <w:tcPr>
            <w:tcW w:w="3880" w:type="dxa"/>
            <w:vAlign w:val="bottom"/>
            <w:tcBorders>
              <w:bottom w:val="single" w:sz="8" w:color="auto"/>
            </w:tcBorders>
          </w:tcPr>
          <w:p>
            <w:pPr>
              <w:spacing w:after="0"/>
              <w:rPr>
                <w:sz w:val="13"/>
                <w:szCs w:val="13"/>
                <w:color w:val="auto"/>
              </w:rPr>
            </w:pPr>
          </w:p>
        </w:tc>
        <w:tc>
          <w:tcPr>
            <w:tcW w:w="4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135" w:lineRule="exact"/>
        <w:rPr>
          <w:sz w:val="20"/>
          <w:szCs w:val="20"/>
          <w:color w:val="auto"/>
        </w:rPr>
      </w:pPr>
    </w:p>
    <w:p>
      <w:pPr>
        <w:ind w:left="340" w:right="200" w:hanging="332"/>
        <w:spacing w:after="0" w:line="237"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PAA and certain Plains entities have issued promissory notes by and among such entities to facilitate financing. For the nine months ended September 30, 2024, “Net cash used in investing activities” includes a cash outflow of $629 million associated with our investment in related party notes. An equal and offsetting cash inflow associated with our issuance of related party notes is included in “Net cash used in financing activities.”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EXPENDITURES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18"/>
                <w:szCs w:val="18"/>
                <w:b w:val="1"/>
                <w:bCs w:val="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131"/>
        </w:trPr>
        <w:tc>
          <w:tcPr>
            <w:tcW w:w="3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6"/>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1"/>
                <w:szCs w:val="11"/>
                <w:color w:val="auto"/>
              </w:rPr>
            </w:pPr>
          </w:p>
        </w:tc>
        <w:tc>
          <w:tcPr>
            <w:tcW w:w="1620" w:type="dxa"/>
            <w:vAlign w:val="bottom"/>
            <w:gridSpan w:val="4"/>
          </w:tcPr>
          <w:p>
            <w:pPr>
              <w:jc w:val="center"/>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5"/>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1"/>
                <w:szCs w:val="11"/>
                <w:color w:val="auto"/>
              </w:rPr>
            </w:pPr>
          </w:p>
        </w:tc>
        <w:tc>
          <w:tcPr>
            <w:tcW w:w="1620" w:type="dxa"/>
            <w:vAlign w:val="bottom"/>
            <w:gridSpan w:val="4"/>
          </w:tcPr>
          <w:p>
            <w:pPr>
              <w:jc w:val="right"/>
              <w:ind w:right="213"/>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8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7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62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35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capital expenditures: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30"/>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Crude Oil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capital expenditures</w:t>
            </w: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35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9"/>
        </w:trPr>
        <w:tc>
          <w:tcPr>
            <w:tcW w:w="3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87"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expenditures attributable to noncontrolling interests.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and ratio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Computation of Basic and Diluted Adjusted Net Income Per Common Unit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96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5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6"/>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Adjusted Net Income per Common Unit</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7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29"/>
        </w:trPr>
        <w:tc>
          <w:tcPr>
            <w:tcW w:w="642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 Adjusted net income attributable to PAA </w:t>
            </w:r>
            <w:r>
              <w:rPr>
                <w:rFonts w:ascii="Times New Roman" w:cs="Times New Roman" w:eastAsia="Times New Roman" w:hAnsi="Times New Roman"/>
                <w:sz w:val="23"/>
                <w:szCs w:val="23"/>
                <w:color w:val="auto"/>
                <w:vertAlign w:val="superscript"/>
              </w:rPr>
              <w:t>(2)</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9"/>
                <w:szCs w:val="19"/>
                <w:color w:val="auto"/>
              </w:rPr>
            </w:pPr>
          </w:p>
        </w:tc>
        <w:tc>
          <w:tcPr>
            <w:tcW w:w="7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29"/>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4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allocated to common unitholders</w:t>
            </w: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64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(3) (4)</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70"/>
        </w:trPr>
        <w:tc>
          <w:tcPr>
            <w:tcW w:w="388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4"/>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2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135" w:lineRule="exact"/>
        <w:rPr>
          <w:sz w:val="20"/>
          <w:szCs w:val="20"/>
          <w:color w:val="auto"/>
        </w:rPr>
      </w:pPr>
    </w:p>
    <w:p>
      <w:pPr>
        <w:ind w:left="340" w:right="420" w:hanging="332"/>
        <w:spacing w:after="0" w:line="239"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1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“Selected Items Impacting Comparability” table for additional information.</w:t>
      </w:r>
    </w:p>
    <w:p>
      <w:pPr>
        <w:spacing w:after="0" w:line="50" w:lineRule="exact"/>
        <w:rPr>
          <w:rFonts w:ascii="Times New Roman" w:cs="Times New Roman" w:eastAsia="Times New Roman" w:hAnsi="Times New Roman"/>
          <w:sz w:val="21"/>
          <w:szCs w:val="21"/>
          <w:color w:val="auto"/>
          <w:vertAlign w:val="superscript"/>
        </w:rPr>
      </w:pPr>
    </w:p>
    <w:p>
      <w:pPr>
        <w:ind w:left="340" w:right="500" w:hanging="332"/>
        <w:spacing w:after="0" w:line="215"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possible conversion of our Series A preferred units was excluded from the calculation of diluted adjusted net income per common unit for the three and nine months ended September 30, 2024 and 2023 as the effect was antidilutive.</w:t>
      </w:r>
    </w:p>
    <w:p>
      <w:pPr>
        <w:spacing w:after="0" w:line="46" w:lineRule="exact"/>
        <w:rPr>
          <w:rFonts w:ascii="Times New Roman" w:cs="Times New Roman" w:eastAsia="Times New Roman" w:hAnsi="Times New Roman"/>
          <w:sz w:val="21"/>
          <w:szCs w:val="21"/>
          <w:color w:val="auto"/>
          <w:vertAlign w:val="superscript"/>
        </w:rPr>
      </w:pPr>
    </w:p>
    <w:p>
      <w:pPr>
        <w:ind w:left="340" w:right="140" w:hanging="332"/>
        <w:spacing w:after="0" w:line="239"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Common Unit to Adjusted Net Income Per Common Unit Reconciliation: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98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5"/>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0.20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w w:val="95"/>
              </w:rPr>
              <w:t>1.04</w:t>
            </w:r>
          </w:p>
        </w:tc>
      </w:tr>
      <w:tr>
        <w:trPr>
          <w:trHeight w:val="230"/>
        </w:trPr>
        <w:tc>
          <w:tcPr>
            <w:tcW w:w="63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per common unit </w:t>
            </w:r>
            <w:r>
              <w:rPr>
                <w:rFonts w:ascii="Times New Roman" w:cs="Times New Roman" w:eastAsia="Times New Roman" w:hAnsi="Times New Roman"/>
                <w:sz w:val="23"/>
                <w:szCs w:val="23"/>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0.15</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155"/>
              <w:spacing w:after="0"/>
              <w:rPr>
                <w:sz w:val="20"/>
                <w:szCs w:val="20"/>
                <w:color w:val="auto"/>
              </w:rPr>
            </w:pPr>
            <w:r>
              <w:rPr>
                <w:rFonts w:ascii="Times New Roman" w:cs="Times New Roman" w:eastAsia="Times New Roman" w:hAnsi="Times New Roman"/>
                <w:sz w:val="18"/>
                <w:szCs w:val="18"/>
                <w:color w:val="auto"/>
              </w:rPr>
              <w:t>(0.03)</w:t>
            </w:r>
          </w:p>
        </w:tc>
      </w:tr>
      <w:tr>
        <w:trPr>
          <w:trHeight w:val="248"/>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w w:val="95"/>
              </w:rPr>
              <w:t>1.01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2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r>
    </w:tbl>
    <w:p>
      <w:pPr>
        <w:spacing w:after="0" w:line="135" w:lineRule="exact"/>
        <w:rPr>
          <w:sz w:val="20"/>
          <w:szCs w:val="20"/>
          <w:color w:val="auto"/>
        </w:rPr>
      </w:pPr>
    </w:p>
    <w:p>
      <w:pPr>
        <w:ind w:left="340" w:right="720" w:hanging="332"/>
        <w:spacing w:after="0" w:line="225"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“Selected Items Impacting Comparability” and the “Computation of Basic and Diluted Adjusted Net Income Per Common Unit” tables for additional information.</w:t>
      </w:r>
    </w:p>
    <w:p>
      <w:pPr>
        <w:spacing w:after="0" w:line="163" w:lineRule="exact"/>
        <w:rPr>
          <w:rFonts w:ascii="Times New Roman" w:cs="Times New Roman" w:eastAsia="Times New Roman" w:hAnsi="Times New Roman"/>
          <w:sz w:val="21"/>
          <w:szCs w:val="21"/>
          <w:color w:val="auto"/>
          <w:vertAlign w:val="superscript"/>
        </w:rPr>
      </w:pPr>
    </w:p>
    <w:p>
      <w:pPr>
        <w:ind w:left="5440" w:hanging="106"/>
        <w:spacing w:after="0"/>
        <w:tabs>
          <w:tab w:leader="none" w:pos="54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to Adjusted EBITDA attributable to PAA and Implied DCF Reconciliation:</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30"/>
        </w:trPr>
        <w:tc>
          <w:tcPr>
            <w:tcW w:w="6320" w:type="dxa"/>
            <w:vAlign w:val="bottom"/>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Interest expense, net of certain items </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expense/(benefit)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6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6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investment in unconsolidated entities</w:t>
            </w:r>
          </w:p>
        </w:tc>
        <w:tc>
          <w:tcPr>
            <w:tcW w:w="2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Depreciation and amortization of unconsolidated entities </w:t>
            </w:r>
            <w:r>
              <w:rPr>
                <w:rFonts w:ascii="Times New Roman" w:cs="Times New Roman" w:eastAsia="Times New Roman" w:hAnsi="Times New Roman"/>
                <w:sz w:val="22"/>
                <w:szCs w:val="22"/>
                <w:color w:val="auto"/>
                <w:vertAlign w:val="superscript"/>
              </w:rPr>
              <w:t>(2)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Selected items impacting comparability - Adjusted EBITDA </w:t>
            </w:r>
            <w:r>
              <w:rPr>
                <w:rFonts w:ascii="Times New Roman" w:cs="Times New Roman" w:eastAsia="Times New Roman" w:hAnsi="Times New Roman"/>
                <w:sz w:val="22"/>
                <w:szCs w:val="22"/>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Adjusted EBITDA attributable to noncontrolling interests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Adjusted EBITDA attributable to PAA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30"/>
        </w:trPr>
        <w:tc>
          <w:tcPr>
            <w:tcW w:w="6320" w:type="dxa"/>
            <w:vAlign w:val="bottom"/>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Interest expense, net of certain non-cash and other items </w:t>
            </w:r>
            <w:r>
              <w:rPr>
                <w:rFonts w:ascii="Times New Roman" w:cs="Times New Roman" w:eastAsia="Times New Roman" w:hAnsi="Times New Roman"/>
                <w:sz w:val="22"/>
                <w:szCs w:val="22"/>
                <w:color w:val="auto"/>
                <w:vertAlign w:val="superscript"/>
              </w:rPr>
              <w:t>(4)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Maintenance capital</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6320" w:type="dxa"/>
            <w:vAlign w:val="bottom"/>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Investment capital of noncontrolling interests </w:t>
            </w:r>
            <w:r>
              <w:rPr>
                <w:rFonts w:ascii="Times New Roman" w:cs="Times New Roman" w:eastAsia="Times New Roman" w:hAnsi="Times New Roman"/>
                <w:sz w:val="22"/>
                <w:szCs w:val="22"/>
                <w:color w:val="auto"/>
                <w:vertAlign w:val="superscript"/>
              </w:rPr>
              <w:t>(5)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62"/>
        </w:trPr>
        <w:tc>
          <w:tcPr>
            <w:tcW w:w="6320" w:type="dxa"/>
            <w:vAlign w:val="bottom"/>
          </w:tcPr>
          <w:p>
            <w:pPr>
              <w:ind w:left="120"/>
              <w:spacing w:after="0" w:line="162" w:lineRule="exact"/>
              <w:rPr>
                <w:sz w:val="20"/>
                <w:szCs w:val="20"/>
                <w:color w:val="auto"/>
              </w:rPr>
            </w:pPr>
            <w:r>
              <w:rPr>
                <w:rFonts w:ascii="Times New Roman" w:cs="Times New Roman" w:eastAsia="Times New Roman" w:hAnsi="Times New Roman"/>
                <w:sz w:val="17"/>
                <w:szCs w:val="17"/>
                <w:color w:val="auto"/>
              </w:rPr>
              <w:t>Distributions from unconsolidated entities in excess of/(less than) adjusted equity</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6320" w:type="dxa"/>
            <w:vAlign w:val="bottom"/>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earnings </w:t>
            </w:r>
            <w:r>
              <w:rPr>
                <w:rFonts w:ascii="Times New Roman" w:cs="Times New Roman" w:eastAsia="Times New Roman" w:hAnsi="Times New Roman"/>
                <w:sz w:val="22"/>
                <w:szCs w:val="22"/>
                <w:color w:val="auto"/>
                <w:vertAlign w:val="superscript"/>
              </w:rPr>
              <w:t>(6)</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Distributions to noncontrolling interests </w:t>
            </w:r>
            <w:r>
              <w:rPr>
                <w:rFonts w:ascii="Times New Roman" w:cs="Times New Roman" w:eastAsia="Times New Roman" w:hAnsi="Times New Roman"/>
                <w:sz w:val="22"/>
                <w:szCs w:val="22"/>
                <w:color w:val="auto"/>
                <w:vertAlign w:val="superscript"/>
              </w:rPr>
              <w:t>(7)</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Implied DCF</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Preferred unit distributions paid </w:t>
            </w:r>
            <w:r>
              <w:rPr>
                <w:rFonts w:ascii="Times New Roman" w:cs="Times New Roman" w:eastAsia="Times New Roman" w:hAnsi="Times New Roman"/>
                <w:sz w:val="22"/>
                <w:szCs w:val="22"/>
                <w:color w:val="auto"/>
                <w:vertAlign w:val="superscript"/>
              </w:rPr>
              <w:t>(7)</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Implied DCF Available to Common Unitholders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Units Outstanding</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Units and Common Unit Equivalents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Implied DCF per Common Unit </w:t>
            </w:r>
            <w:r>
              <w:rPr>
                <w:rFonts w:ascii="Times New Roman" w:cs="Times New Roman" w:eastAsia="Times New Roman" w:hAnsi="Times New Roman"/>
                <w:sz w:val="22"/>
                <w:szCs w:val="22"/>
                <w:color w:val="auto"/>
                <w:vertAlign w:val="superscript"/>
              </w:rPr>
              <w:t>(8)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Implied DCF per Common Unit and Common Unit Equivalent </w:t>
            </w:r>
            <w:r>
              <w:rPr>
                <w:rFonts w:ascii="Times New Roman" w:cs="Times New Roman" w:eastAsia="Times New Roman" w:hAnsi="Times New Roman"/>
                <w:sz w:val="22"/>
                <w:szCs w:val="22"/>
                <w:color w:val="auto"/>
                <w:vertAlign w:val="superscript"/>
              </w:rPr>
              <w:t>(9)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Distribution Paid per Common Unit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0.2675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0.9525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0.8025</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Common Unit Cash Distributions </w:t>
            </w:r>
            <w:r>
              <w:rPr>
                <w:rFonts w:ascii="Times New Roman" w:cs="Times New Roman" w:eastAsia="Times New Roman" w:hAnsi="Times New Roman"/>
                <w:sz w:val="22"/>
                <w:szCs w:val="22"/>
                <w:color w:val="auto"/>
                <w:vertAlign w:val="superscript"/>
              </w:rPr>
              <w:t>(7)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Unit Distribution Coverage Ratio</w:t>
            </w:r>
          </w:p>
        </w:tc>
        <w:tc>
          <w:tcPr>
            <w:tcW w:w="260" w:type="dxa"/>
            <w:vAlign w:val="bottom"/>
          </w:tcPr>
          <w:p>
            <w:pPr>
              <w:spacing w:after="0"/>
              <w:rPr>
                <w:sz w:val="19"/>
                <w:szCs w:val="19"/>
                <w:color w:val="auto"/>
              </w:rPr>
            </w:pP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1.92x</w:t>
            </w:r>
          </w:p>
        </w:tc>
        <w:tc>
          <w:tcPr>
            <w:tcW w:w="400" w:type="dxa"/>
            <w:vAlign w:val="bottom"/>
          </w:tcPr>
          <w:p>
            <w:pPr>
              <w:spacing w:after="0"/>
              <w:rPr>
                <w:sz w:val="19"/>
                <w:szCs w:val="19"/>
                <w:color w:val="auto"/>
              </w:rPr>
            </w:pP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2.30x</w:t>
            </w:r>
          </w:p>
        </w:tc>
        <w:tc>
          <w:tcPr>
            <w:tcW w:w="260" w:type="dxa"/>
            <w:vAlign w:val="bottom"/>
          </w:tcPr>
          <w:p>
            <w:pPr>
              <w:spacing w:after="0"/>
              <w:rPr>
                <w:sz w:val="19"/>
                <w:szCs w:val="19"/>
                <w:color w:val="auto"/>
              </w:rPr>
            </w:pP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1.95x</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2.22x</w:t>
            </w: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Implied DCF Excess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24599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36" w:lineRule="exact"/>
        <w:rPr>
          <w:sz w:val="20"/>
          <w:szCs w:val="20"/>
          <w:color w:val="auto"/>
        </w:rPr>
      </w:pPr>
    </w:p>
    <w:p>
      <w:pPr>
        <w:ind w:left="340" w:right="420" w:hanging="332"/>
        <w:spacing w:after="0" w:line="225" w:lineRule="auto"/>
        <w:tabs>
          <w:tab w:leader="none" w:pos="331"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“Interest expense, net” as reported on our Condensed Consolidated Statements of Operations, net of interest income associated with promissory notes by and among PAA and certain Plains entities.</w:t>
      </w:r>
    </w:p>
    <w:p>
      <w:pPr>
        <w:spacing w:after="0" w:line="1" w:lineRule="exact"/>
        <w:rPr>
          <w:rFonts w:ascii="Times New Roman" w:cs="Times New Roman" w:eastAsia="Times New Roman" w:hAnsi="Times New Roman"/>
          <w:sz w:val="17"/>
          <w:szCs w:val="17"/>
          <w:color w:val="auto"/>
          <w:vertAlign w:val="superscript"/>
        </w:rPr>
      </w:pPr>
    </w:p>
    <w:p>
      <w:pPr>
        <w:ind w:left="320" w:hanging="312"/>
        <w:spacing w:after="0" w:line="192" w:lineRule="auto"/>
        <w:tabs>
          <w:tab w:leader="none" w:pos="32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Adjustment to exclude our proportionate share of depreciation and amortization expense (including write-downs related to cancelled projects and impairments) of unconsolidated entities.</w:t>
      </w:r>
    </w:p>
    <w:p>
      <w:pPr>
        <w:spacing w:after="0" w:line="46" w:lineRule="exact"/>
        <w:rPr>
          <w:rFonts w:ascii="Times New Roman" w:cs="Times New Roman" w:eastAsia="Times New Roman" w:hAnsi="Times New Roman"/>
          <w:sz w:val="17"/>
          <w:szCs w:val="17"/>
          <w:color w:val="auto"/>
          <w:vertAlign w:val="superscript"/>
        </w:rPr>
      </w:pPr>
    </w:p>
    <w:p>
      <w:pPr>
        <w:ind w:left="320" w:hanging="312"/>
        <w:spacing w:after="0" w:line="192" w:lineRule="auto"/>
        <w:tabs>
          <w:tab w:leader="none" w:pos="32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the “Selected Items Impacting Comparability” table for additional information.</w:t>
      </w:r>
    </w:p>
    <w:p>
      <w:pPr>
        <w:spacing w:after="0" w:line="32" w:lineRule="exact"/>
        <w:rPr>
          <w:rFonts w:ascii="Times New Roman" w:cs="Times New Roman" w:eastAsia="Times New Roman" w:hAnsi="Times New Roman"/>
          <w:sz w:val="17"/>
          <w:szCs w:val="17"/>
          <w:color w:val="auto"/>
          <w:vertAlign w:val="superscript"/>
        </w:rPr>
      </w:pPr>
    </w:p>
    <w:p>
      <w:pPr>
        <w:ind w:left="340" w:right="260" w:hanging="332"/>
        <w:spacing w:after="0" w:line="221" w:lineRule="auto"/>
        <w:tabs>
          <w:tab w:leader="none" w:pos="331"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 excludes certain non-cash items impacting interest expense such as amortization of debt issuance costs and terminated interest rate swaps and is net of interest income associated with promissory notes by and among PAA and certain Plains entities.</w:t>
      </w:r>
    </w:p>
    <w:p>
      <w:pPr>
        <w:spacing w:after="0" w:line="1" w:lineRule="exact"/>
        <w:rPr>
          <w:rFonts w:ascii="Times New Roman" w:cs="Times New Roman" w:eastAsia="Times New Roman" w:hAnsi="Times New Roman"/>
          <w:sz w:val="17"/>
          <w:szCs w:val="17"/>
          <w:color w:val="auto"/>
          <w:vertAlign w:val="superscript"/>
        </w:rPr>
      </w:pPr>
    </w:p>
    <w:p>
      <w:pPr>
        <w:ind w:left="320" w:hanging="312"/>
        <w:spacing w:after="0" w:line="232" w:lineRule="auto"/>
        <w:tabs>
          <w:tab w:leader="none" w:pos="32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Investment capital expenditures attributable to noncontrolling interests that reduce Implied DCF available to PAA common unitholders.</w:t>
      </w:r>
    </w:p>
    <w:p>
      <w:pPr>
        <w:spacing w:after="0" w:line="31" w:lineRule="exact"/>
        <w:rPr>
          <w:rFonts w:ascii="Times New Roman" w:cs="Times New Roman" w:eastAsia="Times New Roman" w:hAnsi="Times New Roman"/>
          <w:sz w:val="17"/>
          <w:szCs w:val="17"/>
          <w:color w:val="auto"/>
          <w:vertAlign w:val="superscript"/>
        </w:rPr>
      </w:pPr>
    </w:p>
    <w:p>
      <w:pPr>
        <w:ind w:left="340" w:right="180" w:hanging="332"/>
        <w:spacing w:after="0" w:line="221" w:lineRule="auto"/>
        <w:tabs>
          <w:tab w:leader="none" w:pos="331"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1" w:lineRule="exact"/>
        <w:rPr>
          <w:rFonts w:ascii="Times New Roman" w:cs="Times New Roman" w:eastAsia="Times New Roman" w:hAnsi="Times New Roman"/>
          <w:sz w:val="17"/>
          <w:szCs w:val="17"/>
          <w:color w:val="auto"/>
          <w:vertAlign w:val="superscript"/>
        </w:rPr>
      </w:pPr>
    </w:p>
    <w:p>
      <w:pPr>
        <w:ind w:left="320" w:hanging="312"/>
        <w:spacing w:after="0" w:line="232" w:lineRule="auto"/>
        <w:tabs>
          <w:tab w:leader="none" w:pos="32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Cash distributions paid during the period presented.</w:t>
      </w:r>
    </w:p>
    <w:p>
      <w:pPr>
        <w:spacing w:after="0" w:line="45" w:lineRule="exact"/>
        <w:rPr>
          <w:rFonts w:ascii="Times New Roman" w:cs="Times New Roman" w:eastAsia="Times New Roman" w:hAnsi="Times New Roman"/>
          <w:sz w:val="17"/>
          <w:szCs w:val="17"/>
          <w:color w:val="auto"/>
          <w:vertAlign w:val="superscript"/>
        </w:rPr>
      </w:pPr>
    </w:p>
    <w:p>
      <w:pPr>
        <w:ind w:left="320" w:hanging="312"/>
        <w:spacing w:after="0" w:line="192" w:lineRule="auto"/>
        <w:tabs>
          <w:tab w:leader="none" w:pos="32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Implied DCF Available to Common Unitholders for the period divided by the weighted average common units outstanding for the period.</w:t>
      </w:r>
    </w:p>
    <w:p>
      <w:pPr>
        <w:spacing w:after="0" w:line="32" w:lineRule="exact"/>
        <w:rPr>
          <w:rFonts w:ascii="Times New Roman" w:cs="Times New Roman" w:eastAsia="Times New Roman" w:hAnsi="Times New Roman"/>
          <w:sz w:val="17"/>
          <w:szCs w:val="17"/>
          <w:color w:val="auto"/>
          <w:vertAlign w:val="superscript"/>
        </w:rPr>
      </w:pPr>
    </w:p>
    <w:p>
      <w:pPr>
        <w:ind w:left="340" w:right="100" w:hanging="332"/>
        <w:spacing w:after="0" w:line="226" w:lineRule="auto"/>
        <w:tabs>
          <w:tab w:leader="none" w:pos="331"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Common Unit to Implied DCF Per Common Unit and Common Unit Equivalent Reconciliation: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94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82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60" w:type="dxa"/>
            <w:vAlign w:val="bottom"/>
          </w:tcPr>
          <w:p>
            <w:pPr>
              <w:spacing w:after="0"/>
              <w:rPr>
                <w:sz w:val="19"/>
                <w:szCs w:val="19"/>
                <w:color w:val="auto"/>
              </w:rPr>
            </w:pPr>
          </w:p>
        </w:tc>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60" w:type="dxa"/>
            <w:vAlign w:val="bottom"/>
          </w:tcPr>
          <w:p>
            <w:pPr>
              <w:spacing w:after="0"/>
              <w:rPr>
                <w:sz w:val="19"/>
                <w:szCs w:val="19"/>
                <w:color w:val="auto"/>
              </w:rPr>
            </w:pPr>
          </w:p>
        </w:tc>
        <w:tc>
          <w:tcPr>
            <w:tcW w:w="61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w:t>
            </w:r>
            <w:r>
              <w:rPr>
                <w:rFonts w:ascii="Times New Roman" w:cs="Times New Roman" w:eastAsia="Times New Roman" w:hAnsi="Times New Roman"/>
                <w:sz w:val="23"/>
                <w:szCs w:val="23"/>
                <w:color w:val="auto"/>
                <w:vertAlign w:val="superscript"/>
              </w:rPr>
              <w:t>(1) (2)</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48"/>
        </w:trPr>
        <w:tc>
          <w:tcPr>
            <w:tcW w:w="60" w:type="dxa"/>
            <w:vAlign w:val="bottom"/>
          </w:tcPr>
          <w:p>
            <w:pPr>
              <w:spacing w:after="0"/>
              <w:rPr>
                <w:sz w:val="21"/>
                <w:szCs w:val="21"/>
                <w:color w:val="auto"/>
              </w:rPr>
            </w:pP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w:t>
            </w: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60" w:type="dxa"/>
            <w:vAlign w:val="bottom"/>
          </w:tcPr>
          <w:p>
            <w:pPr>
              <w:spacing w:after="0"/>
              <w:rPr>
                <w:sz w:val="19"/>
                <w:szCs w:val="19"/>
                <w:color w:val="auto"/>
              </w:rPr>
            </w:pPr>
          </w:p>
        </w:tc>
        <w:tc>
          <w:tcPr>
            <w:tcW w:w="61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and common unit equivalent </w:t>
            </w:r>
            <w:r>
              <w:rPr>
                <w:rFonts w:ascii="Times New Roman" w:cs="Times New Roman" w:eastAsia="Times New Roman" w:hAnsi="Times New Roman"/>
                <w:sz w:val="23"/>
                <w:szCs w:val="23"/>
                <w:color w:val="auto"/>
                <w:vertAlign w:val="superscript"/>
              </w:rPr>
              <w:t>(1) (3)</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48"/>
        </w:trPr>
        <w:tc>
          <w:tcPr>
            <w:tcW w:w="60" w:type="dxa"/>
            <w:vAlign w:val="bottom"/>
          </w:tcPr>
          <w:p>
            <w:pPr>
              <w:spacing w:after="0"/>
              <w:rPr>
                <w:sz w:val="21"/>
                <w:szCs w:val="21"/>
                <w:color w:val="auto"/>
              </w:rPr>
            </w:pP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tcPr>
          <w:p>
            <w:pPr>
              <w:spacing w:after="0"/>
              <w:rPr>
                <w:sz w:val="16"/>
                <w:szCs w:val="16"/>
                <w:color w:val="auto"/>
              </w:rPr>
            </w:pPr>
          </w:p>
        </w:tc>
        <w:tc>
          <w:tcPr>
            <w:tcW w:w="2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130" w:lineRule="exact"/>
        <w:rPr>
          <w:sz w:val="20"/>
          <w:szCs w:val="20"/>
          <w:color w:val="auto"/>
        </w:rPr>
      </w:pPr>
    </w:p>
    <w:p>
      <w:pPr>
        <w:ind w:left="340" w:right="380" w:hanging="332"/>
        <w:spacing w:after="0" w:line="229"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to Net Income to calculate Implied DCF Available to Common Unitholders. See the “Net Income to Adjusted EBITDA attributable to PAA and Implied DCF Reconciliation” table for additional information.</w:t>
      </w:r>
    </w:p>
    <w:p>
      <w:pPr>
        <w:spacing w:after="0" w:line="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of 702 million, 700 million, 702 million and 699 million, respectively.</w:t>
      </w:r>
    </w:p>
    <w:p>
      <w:pPr>
        <w:spacing w:after="0" w:line="55" w:lineRule="exact"/>
        <w:rPr>
          <w:rFonts w:ascii="Times New Roman" w:cs="Times New Roman" w:eastAsia="Times New Roman" w:hAnsi="Times New Roman"/>
          <w:sz w:val="23"/>
          <w:szCs w:val="23"/>
          <w:color w:val="auto"/>
          <w:vertAlign w:val="superscript"/>
        </w:rPr>
      </w:pPr>
    </w:p>
    <w:p>
      <w:pPr>
        <w:ind w:left="340" w:right="20" w:hanging="332"/>
        <w:spacing w:after="0" w:line="219"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as well as weighted average Series A preferred units outstanding of 71 million for each of the periods presented.</w:t>
      </w:r>
    </w:p>
    <w:p>
      <w:pPr>
        <w:spacing w:after="0" w:line="157"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20"/>
          </w:cols>
          <w:pgMar w:left="320" w:top="364" w:right="5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to Non-GAAP Financial Liquidity Measures Reconciliation: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20" w:type="dxa"/>
            <w:vAlign w:val="bottom"/>
            <w:gridSpan w:val="4"/>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Net cash provided by operating activities to Adjusted Free</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Flow:</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0" w:type="dxa"/>
            <w:vAlign w:val="bottom"/>
            <w:gridSpan w:val="2"/>
            <w:shd w:val="clear" w:color="auto" w:fill="CCEEFF"/>
          </w:tcPr>
          <w:p>
            <w:pPr>
              <w:ind w:left="120"/>
              <w:spacing w:after="0" w:line="234" w:lineRule="exact"/>
              <w:rPr>
                <w:sz w:val="20"/>
                <w:szCs w:val="20"/>
                <w:color w:val="auto"/>
              </w:rPr>
            </w:pPr>
            <w:r>
              <w:rPr>
                <w:rFonts w:ascii="Times New Roman" w:cs="Times New Roman" w:eastAsia="Times New Roman" w:hAnsi="Times New Roman"/>
                <w:sz w:val="18"/>
                <w:szCs w:val="18"/>
                <w:color w:val="auto"/>
              </w:rPr>
              <w:t xml:space="preserve">Net cash used in investing activities </w:t>
            </w:r>
            <w:r>
              <w:rPr>
                <w:rFonts w:ascii="Times New Roman" w:cs="Times New Roman" w:eastAsia="Times New Roman" w:hAnsi="Times New Roman"/>
                <w:sz w:val="23"/>
                <w:szCs w:val="23"/>
                <w:color w:val="auto"/>
                <w:vertAlign w:val="superscript"/>
              </w:rPr>
              <w:t>(1)</w:t>
            </w: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(823)</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contributions from noncontrolling interests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(2)</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Proceeds from the issuance of related party notes </w:t>
            </w:r>
            <w:r>
              <w:rPr>
                <w:rFonts w:ascii="Times New Roman" w:cs="Times New Roman" w:eastAsia="Times New Roman" w:hAnsi="Times New Roman"/>
                <w:sz w:val="23"/>
                <w:szCs w:val="23"/>
                <w:color w:val="auto"/>
                <w:vertAlign w:val="superscript"/>
              </w:rPr>
              <w:t>(1)</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00" w:type="dxa"/>
            <w:vAlign w:val="bottom"/>
            <w:tcBorders>
              <w:top w:val="single" w:sz="8" w:color="CCEEFF"/>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(3)</w:t>
            </w:r>
          </w:p>
        </w:tc>
        <w:tc>
          <w:tcPr>
            <w:tcW w:w="74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bottom w:val="single" w:sz="8" w:color="CCEEFF"/>
            </w:tcBorders>
            <w:gridSpan w:val="2"/>
            <w:vMerge w:val="restart"/>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(4)</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gridSpan w:val="2"/>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(287)</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(250)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(858)</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(3) (5)</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20" w:type="dxa"/>
            <w:vAlign w:val="bottom"/>
            <w:gridSpan w:val="4"/>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(3)</w:t>
            </w:r>
          </w:p>
        </w:tc>
        <w:tc>
          <w:tcPr>
            <w:tcW w:w="7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Changes in assets and liabilities, net of acquisitions </w:t>
            </w:r>
            <w:r>
              <w:rPr>
                <w:rFonts w:ascii="Times New Roman" w:cs="Times New Roman" w:eastAsia="Times New Roman" w:hAnsi="Times New Roman"/>
                <w:sz w:val="23"/>
                <w:szCs w:val="23"/>
                <w:color w:val="auto"/>
                <w:vertAlign w:val="superscript"/>
              </w:rPr>
              <w:t>(6)</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(Excluding Changes in Assets &amp; Liabilities) </w:t>
            </w:r>
            <w:r>
              <w:rPr>
                <w:rFonts w:ascii="Times New Roman" w:cs="Times New Roman" w:eastAsia="Times New Roman" w:hAnsi="Times New Roman"/>
                <w:sz w:val="23"/>
                <w:szCs w:val="23"/>
                <w:color w:val="auto"/>
                <w:vertAlign w:val="superscript"/>
              </w:rPr>
              <w:t>(7)</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bottom w:val="single" w:sz="8" w:color="CCEEFF"/>
            </w:tcBorders>
            <w:gridSpan w:val="2"/>
            <w:vMerge w:val="restart"/>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(4)</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gridSpan w:val="2"/>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(287)</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(250)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(858)</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Adjusted Free Cash Flow after Distributions (Excluding Changes in Assets &amp;</w:t>
            </w:r>
          </w:p>
        </w:tc>
        <w:tc>
          <w:tcPr>
            <w:tcW w:w="740" w:type="dxa"/>
            <w:vAlign w:val="bottom"/>
            <w:vMerge w:val="restart"/>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(193)</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0" w:type="dxa"/>
            <w:vAlign w:val="bottom"/>
            <w:tcBorders>
              <w:bottom w:val="single" w:sz="8" w:color="CCEEFF"/>
            </w:tcBorders>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3"/>
                <w:szCs w:val="23"/>
                <w:color w:val="auto"/>
                <w:vertAlign w:val="superscript"/>
              </w:rPr>
              <w:t>(7)</w:t>
            </w: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spacing w:after="0"/>
              <w:rPr>
                <w:sz w:val="16"/>
                <w:szCs w:val="16"/>
                <w:color w:val="auto"/>
              </w:rPr>
            </w:pPr>
          </w:p>
        </w:tc>
        <w:tc>
          <w:tcPr>
            <w:tcW w:w="2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340" w:right="60" w:hanging="332"/>
        <w:spacing w:after="0" w:line="225"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PAA and 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w:t>
      </w:r>
    </w:p>
    <w:p>
      <w:pPr>
        <w:spacing w:after="0" w:line="1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50" w:lineRule="exact"/>
        <w:rPr>
          <w:rFonts w:ascii="Times New Roman" w:cs="Times New Roman" w:eastAsia="Times New Roman" w:hAnsi="Times New Roman"/>
          <w:sz w:val="21"/>
          <w:szCs w:val="21"/>
          <w:color w:val="auto"/>
          <w:vertAlign w:val="superscript"/>
        </w:rPr>
      </w:pPr>
    </w:p>
    <w:p>
      <w:pPr>
        <w:ind w:left="340" w:right="120" w:hanging="332"/>
        <w:spacing w:after="0" w:line="229"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after Distributions shortages, if any, may be funded from previously established reserves, cash on hand or from borrowings under our credit facilities or commercial paper program.</w:t>
      </w:r>
    </w:p>
    <w:p>
      <w:pPr>
        <w:spacing w:after="0" w:line="3"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64" w:lineRule="exact"/>
        <w:rPr>
          <w:rFonts w:ascii="Times New Roman" w:cs="Times New Roman" w:eastAsia="Times New Roman" w:hAnsi="Times New Roman"/>
          <w:sz w:val="21"/>
          <w:szCs w:val="21"/>
          <w:color w:val="auto"/>
          <w:vertAlign w:val="superscript"/>
        </w:rPr>
      </w:pPr>
    </w:p>
    <w:p>
      <w:pPr>
        <w:ind w:left="340" w:right="160" w:hanging="332"/>
        <w:spacing w:after="0" w:line="224"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Excess Adjusted Free Cash Flow after Distributions is retained to establish reserves for future distributions, capital expenditures, debt reduction and other partnership purposes. Adjusted Free Cash Flow after Distributions shortages may be funded from previously established reserves, cash on hand or from borrowings under our credit facilities or commercial paper program.</w:t>
      </w:r>
    </w:p>
    <w:p>
      <w:pPr>
        <w:spacing w:after="0" w:line="16"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“Condensed Consolidated Cash Flow Data” table.</w:t>
      </w:r>
    </w:p>
    <w:p>
      <w:pPr>
        <w:spacing w:after="0" w:line="50" w:lineRule="exact"/>
        <w:rPr>
          <w:rFonts w:ascii="Times New Roman" w:cs="Times New Roman" w:eastAsia="Times New Roman" w:hAnsi="Times New Roman"/>
          <w:sz w:val="21"/>
          <w:szCs w:val="21"/>
          <w:color w:val="auto"/>
          <w:vertAlign w:val="superscript"/>
        </w:rPr>
      </w:pPr>
    </w:p>
    <w:p>
      <w:pPr>
        <w:jc w:val="both"/>
        <w:ind w:left="340" w:right="300" w:hanging="332"/>
        <w:spacing w:after="0" w:line="229"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960" w:type="dxa"/>
            <w:vAlign w:val="bottom"/>
            <w:gridSpan w:val="4"/>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820" w:type="dxa"/>
            <w:vAlign w:val="bottom"/>
            <w:tcBorders>
              <w:bottom w:val="single" w:sz="8" w:color="CCEEFF"/>
            </w:tcBorders>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6"/>
        </w:trPr>
        <w:tc>
          <w:tcPr>
            <w:tcW w:w="60" w:type="dxa"/>
            <w:vAlign w:val="bottom"/>
          </w:tcPr>
          <w:p>
            <w:pPr>
              <w:spacing w:after="0"/>
              <w:rPr>
                <w:sz w:val="18"/>
                <w:szCs w:val="18"/>
                <w:color w:val="auto"/>
              </w:rPr>
            </w:pPr>
          </w:p>
        </w:tc>
        <w:tc>
          <w:tcPr>
            <w:tcW w:w="62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Selected Items Impacting Comparability: </w:t>
            </w:r>
            <w:r>
              <w:rPr>
                <w:rFonts w:ascii="Times New Roman" w:cs="Times New Roman" w:eastAsia="Times New Roman" w:hAnsi="Times New Roman"/>
                <w:sz w:val="22"/>
                <w:szCs w:val="22"/>
                <w:b w:val="1"/>
                <w:bCs w:val="1"/>
                <w:color w:val="auto"/>
                <w:vertAlign w:val="superscript"/>
              </w:rPr>
              <w:t>(1)</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628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Derivative activities and inventory valuation adjustments </w:t>
            </w:r>
            <w:r>
              <w:rPr>
                <w:rFonts w:ascii="Times New Roman" w:cs="Times New Roman" w:eastAsia="Times New Roman" w:hAnsi="Times New Roman"/>
                <w:sz w:val="22"/>
                <w:szCs w:val="22"/>
                <w:color w:val="auto"/>
                <w:vertAlign w:val="superscript"/>
              </w:rPr>
              <w:t>(2)</w:t>
            </w:r>
          </w:p>
        </w:tc>
        <w:tc>
          <w:tcPr>
            <w:tcW w:w="720" w:type="dxa"/>
            <w:vAlign w:val="bottom"/>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9"/>
                <w:szCs w:val="19"/>
                <w:color w:val="auto"/>
              </w:rPr>
            </w:pPr>
          </w:p>
        </w:tc>
        <w:tc>
          <w:tcPr>
            <w:tcW w:w="720" w:type="dxa"/>
            <w:vAlign w:val="bottom"/>
          </w:tcPr>
          <w:p>
            <w:pPr>
              <w:jc w:val="right"/>
              <w:ind w:right="53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(196)</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29"/>
        </w:trPr>
        <w:tc>
          <w:tcPr>
            <w:tcW w:w="60" w:type="dxa"/>
            <w:vAlign w:val="bottom"/>
          </w:tcPr>
          <w:p>
            <w:pPr>
              <w:spacing w:after="0"/>
              <w:rPr>
                <w:sz w:val="19"/>
                <w:szCs w:val="19"/>
                <w:color w:val="auto"/>
              </w:rPr>
            </w:pPr>
          </w:p>
        </w:tc>
        <w:tc>
          <w:tcPr>
            <w:tcW w:w="628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Long-term inventory costing adjustments </w:t>
            </w:r>
            <w:r>
              <w:rPr>
                <w:rFonts w:ascii="Times New Roman" w:cs="Times New Roman" w:eastAsia="Times New Roman" w:hAnsi="Times New Roman"/>
                <w:sz w:val="22"/>
                <w:szCs w:val="22"/>
                <w:color w:val="auto"/>
                <w:vertAlign w:val="superscript"/>
              </w:rPr>
              <w:t>(3)</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30"/>
        </w:trPr>
        <w:tc>
          <w:tcPr>
            <w:tcW w:w="60" w:type="dxa"/>
            <w:vAlign w:val="bottom"/>
          </w:tcPr>
          <w:p>
            <w:pPr>
              <w:spacing w:after="0"/>
              <w:rPr>
                <w:sz w:val="19"/>
                <w:szCs w:val="19"/>
                <w:color w:val="auto"/>
              </w:rPr>
            </w:pPr>
          </w:p>
        </w:tc>
        <w:tc>
          <w:tcPr>
            <w:tcW w:w="628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Deficiencies under minimum volume commitments, net </w:t>
            </w:r>
            <w:r>
              <w:rPr>
                <w:rFonts w:ascii="Times New Roman" w:cs="Times New Roman" w:eastAsia="Times New Roman" w:hAnsi="Times New Roman"/>
                <w:sz w:val="22"/>
                <w:szCs w:val="22"/>
                <w:color w:val="auto"/>
                <w:vertAlign w:val="superscript"/>
              </w:rPr>
              <w:t>(4)</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9"/>
        </w:trPr>
        <w:tc>
          <w:tcPr>
            <w:tcW w:w="60" w:type="dxa"/>
            <w:vAlign w:val="bottom"/>
          </w:tcPr>
          <w:p>
            <w:pPr>
              <w:spacing w:after="0"/>
              <w:rPr>
                <w:sz w:val="19"/>
                <w:szCs w:val="19"/>
                <w:color w:val="auto"/>
              </w:rPr>
            </w:pPr>
          </w:p>
        </w:tc>
        <w:tc>
          <w:tcPr>
            <w:tcW w:w="628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Equity-indexed compensation expense </w:t>
            </w:r>
            <w:r>
              <w:rPr>
                <w:rFonts w:ascii="Times New Roman" w:cs="Times New Roman" w:eastAsia="Times New Roman" w:hAnsi="Times New Roman"/>
                <w:sz w:val="22"/>
                <w:szCs w:val="22"/>
                <w:color w:val="auto"/>
                <w:vertAlign w:val="superscript"/>
              </w:rPr>
              <w:t>(5)</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30"/>
        </w:trPr>
        <w:tc>
          <w:tcPr>
            <w:tcW w:w="60" w:type="dxa"/>
            <w:vAlign w:val="bottom"/>
          </w:tcPr>
          <w:p>
            <w:pPr>
              <w:spacing w:after="0"/>
              <w:rPr>
                <w:sz w:val="19"/>
                <w:szCs w:val="19"/>
                <w:color w:val="auto"/>
              </w:rPr>
            </w:pPr>
          </w:p>
        </w:tc>
        <w:tc>
          <w:tcPr>
            <w:tcW w:w="628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Foreign currency revaluation </w:t>
            </w:r>
            <w:r>
              <w:rPr>
                <w:rFonts w:ascii="Times New Roman" w:cs="Times New Roman" w:eastAsia="Times New Roman" w:hAnsi="Times New Roman"/>
                <w:sz w:val="22"/>
                <w:szCs w:val="22"/>
                <w:color w:val="auto"/>
                <w:vertAlign w:val="superscript"/>
              </w:rPr>
              <w:t>(6)</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9"/>
        </w:trPr>
        <w:tc>
          <w:tcPr>
            <w:tcW w:w="60" w:type="dxa"/>
            <w:vAlign w:val="bottom"/>
          </w:tcPr>
          <w:p>
            <w:pPr>
              <w:spacing w:after="0"/>
              <w:rPr>
                <w:sz w:val="19"/>
                <w:szCs w:val="19"/>
                <w:color w:val="auto"/>
              </w:rPr>
            </w:pPr>
          </w:p>
        </w:tc>
        <w:tc>
          <w:tcPr>
            <w:tcW w:w="628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Line 901 incident </w:t>
            </w:r>
            <w:r>
              <w:rPr>
                <w:rFonts w:ascii="Times New Roman" w:cs="Times New Roman" w:eastAsia="Times New Roman" w:hAnsi="Times New Roman"/>
                <w:sz w:val="22"/>
                <w:szCs w:val="22"/>
                <w:color w:val="auto"/>
                <w:vertAlign w:val="superscript"/>
              </w:rPr>
              <w:t>(7)</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(120)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60" w:type="dxa"/>
            <w:vAlign w:val="bottom"/>
          </w:tcPr>
          <w:p>
            <w:pPr>
              <w:spacing w:after="0"/>
              <w:rPr>
                <w:sz w:val="19"/>
                <w:szCs w:val="19"/>
                <w:color w:val="auto"/>
              </w:rPr>
            </w:pPr>
          </w:p>
        </w:tc>
        <w:tc>
          <w:tcPr>
            <w:tcW w:w="628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Transaction-related expenses </w:t>
            </w:r>
            <w:r>
              <w:rPr>
                <w:rFonts w:ascii="Times New Roman" w:cs="Times New Roman" w:eastAsia="Times New Roman" w:hAnsi="Times New Roman"/>
                <w:sz w:val="22"/>
                <w:szCs w:val="22"/>
                <w:color w:val="auto"/>
                <w:vertAlign w:val="superscript"/>
              </w:rPr>
              <w:t>(8)</w:t>
            </w:r>
          </w:p>
        </w:tc>
        <w:tc>
          <w:tcPr>
            <w:tcW w:w="7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0" w:type="dxa"/>
            <w:vAlign w:val="bottom"/>
          </w:tcPr>
          <w:p>
            <w:pPr>
              <w:spacing w:after="0"/>
              <w:rPr>
                <w:sz w:val="19"/>
                <w:szCs w:val="19"/>
                <w:color w:val="auto"/>
              </w:rPr>
            </w:pPr>
          </w:p>
        </w:tc>
        <w:tc>
          <w:tcPr>
            <w:tcW w:w="62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Selected items impacting comparability - Adjusted EBITDA</w:t>
            </w:r>
          </w:p>
        </w:tc>
        <w:tc>
          <w:tcPr>
            <w:tcW w:w="720" w:type="dxa"/>
            <w:vAlign w:val="bottom"/>
            <w:tcBorders>
              <w:top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(158)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29"/>
        </w:trPr>
        <w:tc>
          <w:tcPr>
            <w:tcW w:w="60" w:type="dxa"/>
            <w:vAlign w:val="bottom"/>
          </w:tcPr>
          <w:p>
            <w:pPr>
              <w:spacing w:after="0"/>
              <w:rPr>
                <w:sz w:val="19"/>
                <w:szCs w:val="19"/>
                <w:color w:val="auto"/>
              </w:rPr>
            </w:pPr>
          </w:p>
        </w:tc>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Gain on investment in unconsolidated entities</w:t>
            </w:r>
          </w:p>
        </w:tc>
        <w:tc>
          <w:tcPr>
            <w:tcW w:w="7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60" w:type="dxa"/>
            <w:vAlign w:val="bottom"/>
          </w:tcPr>
          <w:p>
            <w:pPr>
              <w:spacing w:after="0"/>
              <w:rPr>
                <w:sz w:val="19"/>
                <w:szCs w:val="19"/>
                <w:color w:val="auto"/>
              </w:rPr>
            </w:pPr>
          </w:p>
        </w:tc>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6"/>
        </w:trPr>
        <w:tc>
          <w:tcPr>
            <w:tcW w:w="60" w:type="dxa"/>
            <w:vAlign w:val="bottom"/>
          </w:tcPr>
          <w:p>
            <w:pPr>
              <w:spacing w:after="0"/>
              <w:rPr>
                <w:sz w:val="19"/>
                <w:szCs w:val="19"/>
                <w:color w:val="auto"/>
              </w:rPr>
            </w:pPr>
          </w:p>
        </w:tc>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 effect on selected items impacting comparability</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9"/>
        </w:trPr>
        <w:tc>
          <w:tcPr>
            <w:tcW w:w="60" w:type="dxa"/>
            <w:vAlign w:val="bottom"/>
          </w:tcPr>
          <w:p>
            <w:pPr>
              <w:spacing w:after="0"/>
              <w:rPr>
                <w:sz w:val="19"/>
                <w:szCs w:val="19"/>
                <w:color w:val="auto"/>
              </w:rPr>
            </w:pPr>
          </w:p>
        </w:tc>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Aggregate selected items impacting noncontrolling interests</w:t>
            </w:r>
          </w:p>
        </w:tc>
        <w:tc>
          <w:tcPr>
            <w:tcW w:w="7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7"/>
        </w:trPr>
        <w:tc>
          <w:tcPr>
            <w:tcW w:w="60" w:type="dxa"/>
            <w:vAlign w:val="bottom"/>
          </w:tcPr>
          <w:p>
            <w:pPr>
              <w:spacing w:after="0"/>
              <w:rPr>
                <w:sz w:val="19"/>
                <w:szCs w:val="19"/>
                <w:color w:val="auto"/>
              </w:rPr>
            </w:pPr>
          </w:p>
        </w:tc>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Selected items impacting comparability - Adjusted net income attributable to PAA</w:t>
            </w:r>
          </w:p>
        </w:tc>
        <w:tc>
          <w:tcPr>
            <w:tcW w:w="72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(100)</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(105)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
        </w:trPr>
        <w:tc>
          <w:tcPr>
            <w:tcW w:w="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55"/>
        </w:trPr>
        <w:tc>
          <w:tcPr>
            <w:tcW w:w="6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c>
          <w:tcPr>
            <w:tcW w:w="2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r>
    </w:tbl>
    <w:p>
      <w:pPr>
        <w:spacing w:after="0" w:line="75" w:lineRule="exact"/>
        <w:rPr>
          <w:sz w:val="20"/>
          <w:szCs w:val="20"/>
          <w:color w:val="auto"/>
        </w:rPr>
      </w:pPr>
    </w:p>
    <w:p>
      <w:pPr>
        <w:ind w:left="340" w:right="60" w:hanging="332"/>
        <w:spacing w:after="0" w:line="236" w:lineRule="auto"/>
        <w:tabs>
          <w:tab w:leader="none" w:pos="338"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tables for additional details on how these selected items impacting comparability affect such measures.</w:t>
      </w:r>
    </w:p>
    <w:p>
      <w:pPr>
        <w:spacing w:after="0" w:line="19" w:lineRule="exact"/>
        <w:rPr>
          <w:rFonts w:ascii="Times New Roman" w:cs="Times New Roman" w:eastAsia="Times New Roman" w:hAnsi="Times New Roman"/>
          <w:sz w:val="18"/>
          <w:szCs w:val="18"/>
          <w:color w:val="auto"/>
          <w:vertAlign w:val="superscript"/>
        </w:rPr>
      </w:pPr>
    </w:p>
    <w:p>
      <w:pPr>
        <w:ind w:left="340" w:right="140" w:hanging="332"/>
        <w:spacing w:after="0" w:line="245" w:lineRule="auto"/>
        <w:tabs>
          <w:tab w:leader="none" w:pos="338"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For applicable periods, we excluded gains and losses from the mark-to-market of the embedded derivative associated with the Preferred Distribution Rate Reset Option of our Series A preferred units.</w:t>
      </w:r>
    </w:p>
    <w:p>
      <w:pPr>
        <w:spacing w:after="0" w:line="17" w:lineRule="exact"/>
        <w:rPr>
          <w:rFonts w:ascii="Times New Roman" w:cs="Times New Roman" w:eastAsia="Times New Roman" w:hAnsi="Times New Roman"/>
          <w:sz w:val="18"/>
          <w:szCs w:val="18"/>
          <w:color w:val="auto"/>
          <w:vertAlign w:val="superscript"/>
        </w:rPr>
      </w:pPr>
    </w:p>
    <w:p>
      <w:pPr>
        <w:ind w:left="340" w:right="100" w:hanging="332"/>
        <w:spacing w:after="0" w:line="237" w:lineRule="auto"/>
        <w:tabs>
          <w:tab w:leader="none" w:pos="338"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4" w:lineRule="exact"/>
        <w:rPr>
          <w:rFonts w:ascii="Times New Roman" w:cs="Times New Roman" w:eastAsia="Times New Roman" w:hAnsi="Times New Roman"/>
          <w:sz w:val="18"/>
          <w:szCs w:val="18"/>
          <w:color w:val="auto"/>
          <w:vertAlign w:val="superscript"/>
        </w:rPr>
      </w:pPr>
    </w:p>
    <w:p>
      <w:pPr>
        <w:ind w:left="340" w:hanging="332"/>
        <w:spacing w:after="0" w:line="244" w:lineRule="auto"/>
        <w:tabs>
          <w:tab w:leader="none" w:pos="338"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9" w:lineRule="exact"/>
        <w:rPr>
          <w:rFonts w:ascii="Times New Roman" w:cs="Times New Roman" w:eastAsia="Times New Roman" w:hAnsi="Times New Roman"/>
          <w:sz w:val="18"/>
          <w:szCs w:val="18"/>
          <w:color w:val="auto"/>
          <w:vertAlign w:val="superscript"/>
        </w:rPr>
      </w:pPr>
    </w:p>
    <w:p>
      <w:pPr>
        <w:ind w:left="340" w:right="100" w:hanging="332"/>
        <w:spacing w:after="0" w:line="242" w:lineRule="auto"/>
        <w:tabs>
          <w:tab w:leader="none" w:pos="338"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19" w:lineRule="exact"/>
        <w:rPr>
          <w:rFonts w:ascii="Times New Roman" w:cs="Times New Roman" w:eastAsia="Times New Roman" w:hAnsi="Times New Roman"/>
          <w:sz w:val="18"/>
          <w:szCs w:val="18"/>
          <w:color w:val="auto"/>
          <w:vertAlign w:val="superscript"/>
        </w:rPr>
      </w:pPr>
    </w:p>
    <w:p>
      <w:pPr>
        <w:ind w:left="340" w:right="180" w:hanging="332"/>
        <w:spacing w:after="0" w:line="236" w:lineRule="auto"/>
        <w:tabs>
          <w:tab w:leader="none" w:pos="338"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ind w:left="340" w:hanging="332"/>
        <w:spacing w:after="0" w:line="234" w:lineRule="auto"/>
        <w:tabs>
          <w:tab w:leader="none" w:pos="34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costs recognized during the period related to the Line 901 incident that occurred in May 2015, net of amounts we believe are probable of recovery from insurance.</w:t>
      </w:r>
    </w:p>
    <w:p>
      <w:pPr>
        <w:spacing w:after="0" w:line="36" w:lineRule="exact"/>
        <w:rPr>
          <w:rFonts w:ascii="Times New Roman" w:cs="Times New Roman" w:eastAsia="Times New Roman" w:hAnsi="Times New Roman"/>
          <w:sz w:val="18"/>
          <w:szCs w:val="18"/>
          <w:color w:val="auto"/>
          <w:vertAlign w:val="superscript"/>
        </w:rPr>
      </w:pPr>
    </w:p>
    <w:p>
      <w:pPr>
        <w:ind w:left="340" w:hanging="332"/>
        <w:spacing w:after="0" w:line="193" w:lineRule="auto"/>
        <w:tabs>
          <w:tab w:leader="none" w:pos="34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expenses associated with the Rattler Permian Transaction.</w:t>
      </w:r>
    </w:p>
    <w:p>
      <w:pPr>
        <w:spacing w:after="0" w:line="169" w:lineRule="exact"/>
        <w:rPr>
          <w:rFonts w:ascii="Times New Roman" w:cs="Times New Roman" w:eastAsia="Times New Roman" w:hAnsi="Times New Roman"/>
          <w:sz w:val="18"/>
          <w:szCs w:val="18"/>
          <w:color w:val="auto"/>
          <w:vertAlign w:val="superscript"/>
        </w:rPr>
      </w:pPr>
    </w:p>
    <w:p>
      <w:pPr>
        <w:ind w:left="5440" w:hanging="106"/>
        <w:spacing w:after="0"/>
        <w:tabs>
          <w:tab w:leader="none" w:pos="54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26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7"/>
                <w:szCs w:val="17"/>
                <w:color w:val="auto"/>
              </w:rPr>
            </w:pPr>
          </w:p>
        </w:tc>
        <w:tc>
          <w:tcPr>
            <w:tcW w:w="226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02"/>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5"/>
                <w:szCs w:val="15"/>
                <w:b w:val="1"/>
                <w:bCs w:val="1"/>
                <w:color w:val="auto"/>
              </w:rPr>
              <w:t>NGL</w:t>
            </w:r>
          </w:p>
        </w:tc>
        <w:tc>
          <w:tcPr>
            <w:tcW w:w="220" w:type="dxa"/>
            <w:vAlign w:val="bottom"/>
            <w:gridSpan w:val="2"/>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5"/>
                <w:szCs w:val="15"/>
                <w:b w:val="1"/>
                <w:bCs w:val="1"/>
                <w:color w:val="auto"/>
              </w:rPr>
              <w:t>NGL</w:t>
            </w:r>
          </w:p>
        </w:tc>
      </w:tr>
      <w:tr>
        <w:trPr>
          <w:trHeight w:val="223"/>
        </w:trPr>
        <w:tc>
          <w:tcPr>
            <w:tcW w:w="614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6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6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8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Line 901 incident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5"/>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27"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75" w:lineRule="exact"/>
        <w:rPr>
          <w:sz w:val="20"/>
          <w:szCs w:val="20"/>
          <w:color w:val="auto"/>
        </w:rPr>
      </w:pPr>
    </w:p>
    <w:p>
      <w:pPr>
        <w:sectPr>
          <w:pgSz w:w="11900" w:h="16838" w:orient="portrait"/>
          <w:cols w:equalWidth="0" w:num="2">
            <w:col w:w="140" w:space="180"/>
            <w:col w:w="10920"/>
          </w:cols>
          <w:pgMar w:left="320" w:top="364" w:right="339" w:bottom="1440" w:gutter="0" w:footer="0" w:header="0"/>
          <w:type w:val="continuous"/>
        </w:sectPr>
      </w:pPr>
    </w:p>
    <w:p>
      <w:pPr>
        <w:ind w:left="340" w:right="100" w:hanging="332"/>
        <w:spacing w:after="0" w:line="229"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6" w:lineRule="exact"/>
        <w:rPr>
          <w:rFonts w:ascii="Times New Roman" w:cs="Times New Roman" w:eastAsia="Times New Roman" w:hAnsi="Times New Roman"/>
          <w:sz w:val="23"/>
          <w:szCs w:val="23"/>
          <w:color w:val="auto"/>
          <w:vertAlign w:val="superscript"/>
        </w:rPr>
      </w:pPr>
    </w:p>
    <w:p>
      <w:pPr>
        <w:ind w:left="340" w:right="140" w:hanging="332"/>
        <w:spacing w:after="0" w:line="235"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attributable to noncontrolling interests in the Permian JV, Cactus II Pipeline LLC and Red River Pipeline LLC.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228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7"/>
                <w:szCs w:val="17"/>
                <w:color w:val="auto"/>
              </w:rPr>
            </w:pPr>
          </w:p>
        </w:tc>
        <w:tc>
          <w:tcPr>
            <w:tcW w:w="228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02"/>
        </w:trPr>
        <w:tc>
          <w:tcPr>
            <w:tcW w:w="3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5"/>
                <w:szCs w:val="15"/>
                <w:b w:val="1"/>
                <w:bCs w:val="1"/>
                <w:color w:val="auto"/>
              </w:rPr>
              <w:t>NGL</w:t>
            </w:r>
          </w:p>
        </w:tc>
        <w:tc>
          <w:tcPr>
            <w:tcW w:w="220" w:type="dxa"/>
            <w:vAlign w:val="bottom"/>
            <w:gridSpan w:val="2"/>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5"/>
                <w:szCs w:val="15"/>
                <w:b w:val="1"/>
                <w:bCs w:val="1"/>
                <w:color w:val="auto"/>
              </w:rPr>
              <w:t>NGL</w:t>
            </w:r>
          </w:p>
        </w:tc>
      </w:tr>
      <w:tr>
        <w:trPr>
          <w:trHeight w:val="223"/>
        </w:trPr>
        <w:tc>
          <w:tcPr>
            <w:tcW w:w="612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30"/>
        </w:trPr>
        <w:tc>
          <w:tcPr>
            <w:tcW w:w="6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9"/>
        </w:trPr>
        <w:tc>
          <w:tcPr>
            <w:tcW w:w="6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8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Line 901 incident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4"/>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27"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75" w:lineRule="exact"/>
        <w:rPr>
          <w:sz w:val="20"/>
          <w:szCs w:val="20"/>
          <w:color w:val="auto"/>
        </w:rPr>
      </w:pPr>
    </w:p>
    <w:p>
      <w:pPr>
        <w:sectPr>
          <w:pgSz w:w="11900" w:h="16838" w:orient="portrait"/>
          <w:cols w:equalWidth="0" w:num="2">
            <w:col w:w="140" w:space="180"/>
            <w:col w:w="10920"/>
          </w:cols>
          <w:pgMar w:left="320" w:top="364" w:right="339" w:bottom="1440" w:gutter="0" w:footer="0" w:header="0"/>
          <w:type w:val="continuous"/>
        </w:sectPr>
      </w:pPr>
    </w:p>
    <w:p>
      <w:pPr>
        <w:ind w:left="340" w:right="100" w:hanging="332"/>
        <w:spacing w:after="0" w:line="229"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6" w:lineRule="exact"/>
        <w:rPr>
          <w:rFonts w:ascii="Times New Roman" w:cs="Times New Roman" w:eastAsia="Times New Roman" w:hAnsi="Times New Roman"/>
          <w:sz w:val="23"/>
          <w:szCs w:val="23"/>
          <w:color w:val="auto"/>
          <w:vertAlign w:val="superscript"/>
        </w:rPr>
      </w:pPr>
    </w:p>
    <w:p>
      <w:pPr>
        <w:ind w:left="340" w:right="140" w:hanging="332"/>
        <w:spacing w:after="0" w:line="235"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attributable to noncontrolling interests in the Permian JV, Cactus II Pipeline LLC and Red River Pipeline LLC.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DATA BY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4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40" w:type="dxa"/>
            <w:vAlign w:val="bottom"/>
            <w:tcBorders>
              <w:bottom w:val="single" w:sz="8" w:color="auto"/>
            </w:tcBorders>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bottom w:val="single" w:sz="8" w:color="auto"/>
            </w:tcBorders>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840" w:type="dxa"/>
            <w:vAlign w:val="bottom"/>
            <w:tcBorders>
              <w:bottom w:val="single" w:sz="8" w:color="CCEEFF"/>
            </w:tcBorders>
          </w:tcPr>
          <w:p>
            <w:pPr>
              <w:spacing w:after="0"/>
              <w:rPr>
                <w:sz w:val="17"/>
                <w:szCs w:val="17"/>
                <w:color w:val="auto"/>
              </w:rPr>
            </w:pPr>
          </w:p>
        </w:tc>
        <w:tc>
          <w:tcPr>
            <w:tcW w:w="24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6"/>
        </w:trPr>
        <w:tc>
          <w:tcPr>
            <w:tcW w:w="40" w:type="dxa"/>
            <w:vAlign w:val="bottom"/>
          </w:tcPr>
          <w:p>
            <w:pPr>
              <w:spacing w:after="0"/>
              <w:rPr>
                <w:sz w:val="18"/>
                <w:szCs w:val="18"/>
                <w:color w:val="auto"/>
              </w:rPr>
            </w:pPr>
          </w:p>
        </w:tc>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Segment Volumes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63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Crude oil pipeline tariff volumes (by region) </w:t>
            </w:r>
            <w:r>
              <w:rPr>
                <w:rFonts w:ascii="Times New Roman" w:cs="Times New Roman" w:eastAsia="Times New Roman" w:hAnsi="Times New Roman"/>
                <w:sz w:val="23"/>
                <w:szCs w:val="23"/>
                <w:color w:val="auto"/>
                <w:vertAlign w:val="superscript"/>
              </w:rPr>
              <w:t>(1)</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32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w:t>
            </w:r>
          </w:p>
        </w:tc>
      </w:tr>
      <w:tr>
        <w:trPr>
          <w:trHeight w:val="229"/>
        </w:trPr>
        <w:tc>
          <w:tcPr>
            <w:tcW w:w="40" w:type="dxa"/>
            <w:vAlign w:val="bottom"/>
          </w:tcPr>
          <w:p>
            <w:pPr>
              <w:spacing w:after="0"/>
              <w:rPr>
                <w:sz w:val="19"/>
                <w:szCs w:val="19"/>
                <w:color w:val="auto"/>
              </w:rPr>
            </w:pPr>
          </w:p>
        </w:tc>
        <w:tc>
          <w:tcPr>
            <w:tcW w:w="632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South Texas / Eagle Ford </w:t>
            </w:r>
            <w:r>
              <w:rPr>
                <w:rFonts w:ascii="Times New Roman" w:cs="Times New Roman" w:eastAsia="Times New Roman" w:hAnsi="Times New Roman"/>
                <w:sz w:val="23"/>
                <w:szCs w:val="23"/>
                <w:color w:val="auto"/>
                <w:vertAlign w:val="superscript"/>
              </w:rPr>
              <w:t>(2)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9"/>
        </w:trPr>
        <w:tc>
          <w:tcPr>
            <w:tcW w:w="40" w:type="dxa"/>
            <w:vAlign w:val="bottom"/>
          </w:tcPr>
          <w:p>
            <w:pPr>
              <w:spacing w:after="0"/>
              <w:rPr>
                <w:sz w:val="19"/>
                <w:szCs w:val="19"/>
                <w:color w:val="auto"/>
              </w:rPr>
            </w:pPr>
          </w:p>
        </w:tc>
        <w:tc>
          <w:tcPr>
            <w:tcW w:w="632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Mid-Continent </w:t>
            </w:r>
            <w:r>
              <w:rPr>
                <w:rFonts w:ascii="Times New Roman" w:cs="Times New Roman" w:eastAsia="Times New Roman" w:hAnsi="Times New Roman"/>
                <w:sz w:val="23"/>
                <w:szCs w:val="23"/>
                <w:color w:val="auto"/>
                <w:vertAlign w:val="superscript"/>
              </w:rPr>
              <w:t>(2)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30"/>
        </w:trPr>
        <w:tc>
          <w:tcPr>
            <w:tcW w:w="40" w:type="dxa"/>
            <w:vAlign w:val="bottom"/>
          </w:tcPr>
          <w:p>
            <w:pPr>
              <w:spacing w:after="0"/>
              <w:rPr>
                <w:sz w:val="19"/>
                <w:szCs w:val="19"/>
                <w:color w:val="auto"/>
              </w:rPr>
            </w:pPr>
          </w:p>
        </w:tc>
        <w:tc>
          <w:tcPr>
            <w:tcW w:w="632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Gulf Coast </w:t>
            </w:r>
            <w:r>
              <w:rPr>
                <w:rFonts w:ascii="Times New Roman" w:cs="Times New Roman" w:eastAsia="Times New Roman" w:hAnsi="Times New Roman"/>
                <w:sz w:val="23"/>
                <w:szCs w:val="23"/>
                <w:color w:val="auto"/>
                <w:vertAlign w:val="superscript"/>
              </w:rPr>
              <w:t>(2)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9"/>
        </w:trPr>
        <w:tc>
          <w:tcPr>
            <w:tcW w:w="40" w:type="dxa"/>
            <w:vAlign w:val="bottom"/>
          </w:tcPr>
          <w:p>
            <w:pPr>
              <w:spacing w:after="0"/>
              <w:rPr>
                <w:sz w:val="19"/>
                <w:szCs w:val="19"/>
                <w:color w:val="auto"/>
              </w:rPr>
            </w:pPr>
          </w:p>
        </w:tc>
        <w:tc>
          <w:tcPr>
            <w:tcW w:w="632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9"/>
        </w:trPr>
        <w:tc>
          <w:tcPr>
            <w:tcW w:w="40" w:type="dxa"/>
            <w:vAlign w:val="bottom"/>
          </w:tcPr>
          <w:p>
            <w:pPr>
              <w:spacing w:after="0"/>
              <w:rPr>
                <w:sz w:val="19"/>
                <w:szCs w:val="19"/>
                <w:color w:val="auto"/>
              </w:rPr>
            </w:pPr>
          </w:p>
        </w:tc>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Western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40" w:type="dxa"/>
            <w:vAlign w:val="bottom"/>
          </w:tcPr>
          <w:p>
            <w:pPr>
              <w:spacing w:after="0"/>
              <w:rPr>
                <w:sz w:val="19"/>
                <w:szCs w:val="19"/>
                <w:color w:val="auto"/>
              </w:rPr>
            </w:pPr>
          </w:p>
        </w:tc>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3"/>
        </w:trPr>
        <w:tc>
          <w:tcPr>
            <w:tcW w:w="40" w:type="dxa"/>
            <w:vAlign w:val="bottom"/>
          </w:tcPr>
          <w:p>
            <w:pPr>
              <w:spacing w:after="0"/>
              <w:rPr>
                <w:sz w:val="19"/>
                <w:szCs w:val="19"/>
                <w:color w:val="auto"/>
              </w:rPr>
            </w:pPr>
          </w:p>
        </w:tc>
        <w:tc>
          <w:tcPr>
            <w:tcW w:w="632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Total crude oil pipeline tariff volumes </w:t>
            </w:r>
            <w:r>
              <w:rPr>
                <w:rFonts w:ascii="Times New Roman" w:cs="Times New Roman" w:eastAsia="Times New Roman" w:hAnsi="Times New Roman"/>
                <w:sz w:val="23"/>
                <w:szCs w:val="23"/>
                <w:color w:val="auto"/>
                <w:vertAlign w:val="superscript"/>
              </w:rPr>
              <w:t>(1) (2)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w:t>
            </w:r>
          </w:p>
        </w:tc>
      </w:tr>
      <w:tr>
        <w:trPr>
          <w:trHeight w:val="257"/>
        </w:trPr>
        <w:tc>
          <w:tcPr>
            <w:tcW w:w="40" w:type="dxa"/>
            <w:vAlign w:val="bottom"/>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24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63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Commercial crude oil storage capacity </w:t>
            </w:r>
            <w:r>
              <w:rPr>
                <w:rFonts w:ascii="Times New Roman" w:cs="Times New Roman" w:eastAsia="Times New Roman" w:hAnsi="Times New Roman"/>
                <w:sz w:val="23"/>
                <w:szCs w:val="23"/>
                <w:color w:val="auto"/>
                <w:vertAlign w:val="superscript"/>
              </w:rPr>
              <w:t>(2) (3)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6"/>
        </w:trPr>
        <w:tc>
          <w:tcPr>
            <w:tcW w:w="40" w:type="dxa"/>
            <w:vAlign w:val="bottom"/>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24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63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Crude oil lease gathering purchases </w:t>
            </w:r>
            <w:r>
              <w:rPr>
                <w:rFonts w:ascii="Times New Roman" w:cs="Times New Roman" w:eastAsia="Times New Roman" w:hAnsi="Times New Roman"/>
                <w:sz w:val="23"/>
                <w:szCs w:val="23"/>
                <w:color w:val="auto"/>
                <w:vertAlign w:val="superscript"/>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56"/>
        </w:trPr>
        <w:tc>
          <w:tcPr>
            <w:tcW w:w="40" w:type="dxa"/>
            <w:vAlign w:val="bottom"/>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24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6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NGL Segment Volumes </w:t>
            </w:r>
            <w:r>
              <w:rPr>
                <w:rFonts w:ascii="Times New Roman" w:cs="Times New Roman" w:eastAsia="Times New Roman" w:hAnsi="Times New Roman"/>
                <w:sz w:val="23"/>
                <w:szCs w:val="23"/>
                <w:color w:val="auto"/>
                <w:vertAlign w:val="superscript"/>
              </w:rPr>
              <w:t>(1)</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NGL fractionation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40" w:type="dxa"/>
            <w:vAlign w:val="bottom"/>
          </w:tcPr>
          <w:p>
            <w:pPr>
              <w:spacing w:after="0"/>
              <w:rPr>
                <w:sz w:val="19"/>
                <w:szCs w:val="19"/>
                <w:color w:val="auto"/>
              </w:rPr>
            </w:pPr>
          </w:p>
        </w:tc>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NGL pipeline tariff volumes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40" w:type="dxa"/>
            <w:vAlign w:val="bottom"/>
          </w:tcPr>
          <w:p>
            <w:pPr>
              <w:spacing w:after="0"/>
              <w:rPr>
                <w:sz w:val="19"/>
                <w:szCs w:val="19"/>
                <w:color w:val="auto"/>
              </w:rPr>
            </w:pPr>
          </w:p>
        </w:tc>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Propane and butane sales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162"/>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130" w:lineRule="exact"/>
        <w:rPr>
          <w:sz w:val="20"/>
          <w:szCs w:val="20"/>
          <w:color w:val="auto"/>
        </w:rPr>
      </w:pPr>
    </w:p>
    <w:p>
      <w:pPr>
        <w:ind w:left="340" w:hanging="332"/>
        <w:spacing w:after="0" w:line="235" w:lineRule="auto"/>
        <w:tabs>
          <w:tab w:leader="none" w:pos="32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monthly capacity in millions of barrels calculated as total volumes for the period divided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Page 18</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SEGMENT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Adjusted EBITDA attributable to PAA Reconciliation: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96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8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Segment Adjusted EBITDA</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NGL Segment Adjusted EBITDA</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9"/>
        </w:trPr>
        <w:tc>
          <w:tcPr>
            <w:tcW w:w="6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income, net </w:t>
            </w:r>
            <w:r>
              <w:rPr>
                <w:rFonts w:ascii="Times New Roman" w:cs="Times New Roman" w:eastAsia="Times New Roman" w:hAnsi="Times New Roman"/>
                <w:sz w:val="23"/>
                <w:szCs w:val="23"/>
                <w:color w:val="auto"/>
                <w:vertAlign w:val="superscript"/>
              </w:rPr>
              <w:t>(1)</w:t>
            </w: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628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(2)</w:t>
            </w:r>
          </w:p>
        </w:tc>
        <w:tc>
          <w:tcPr>
            <w:tcW w:w="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r>
      <w:tr>
        <w:trPr>
          <w:trHeight w:val="21"/>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9"/>
        </w:trPr>
        <w:tc>
          <w:tcPr>
            <w:tcW w:w="3880" w:type="dxa"/>
            <w:vAlign w:val="bottom"/>
            <w:tcBorders>
              <w:bottom w:val="single" w:sz="8" w:color="auto"/>
            </w:tcBorders>
          </w:tcPr>
          <w:p>
            <w:pPr>
              <w:spacing w:after="0"/>
              <w:rPr>
                <w:sz w:val="18"/>
                <w:szCs w:val="18"/>
                <w:color w:val="auto"/>
              </w:rPr>
            </w:pPr>
          </w:p>
        </w:tc>
        <w:tc>
          <w:tcPr>
            <w:tcW w:w="2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130" w:lineRule="exact"/>
        <w:rPr>
          <w:sz w:val="20"/>
          <w:szCs w:val="20"/>
          <w:color w:val="auto"/>
        </w:rPr>
      </w:pPr>
    </w:p>
    <w:p>
      <w:pPr>
        <w:ind w:left="340" w:hanging="332"/>
        <w:spacing w:after="0" w:line="235" w:lineRule="auto"/>
        <w:tabs>
          <w:tab w:leader="none" w:pos="3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“Other income, net” as reported on our Condensed Consolidated Statements of Operations, excluding interest income on promissory notes by and among PAA and certain Plains entities, as well as other income, net attributable to noncontrolling interests, adjusted for selected items impacting comparability. See the “Selected Items Impacting Comparability” table for additional information.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“Net Income to Adjusted EBITDA attributable to PAA and Implied DCF Reconciliation” table for reconciliation to Net Income.</w:t>
      </w: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20"/>
          </w:cols>
          <w:pgMar w:left="320" w:top="364"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 in unconsolidated entities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175"/>
        </w:trPr>
        <w:tc>
          <w:tcPr>
            <w:tcW w:w="33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155"/>
        </w:trPr>
        <w:tc>
          <w:tcPr>
            <w:tcW w:w="33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shd w:val="clear" w:color="auto" w:fill="CCEEFF"/>
          </w:tcPr>
          <w:p>
            <w:pPr>
              <w:spacing w:after="0"/>
              <w:rPr>
                <w:sz w:val="13"/>
                <w:szCs w:val="13"/>
                <w:color w:val="auto"/>
              </w:rPr>
            </w:pPr>
          </w:p>
        </w:tc>
        <w:tc>
          <w:tcPr>
            <w:tcW w:w="6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6"/>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PAGP</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gridSpan w:val="2"/>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Page 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37,671</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36,014</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32,972</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36,586</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34,936</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 in unconsolidated entities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175"/>
        </w:trPr>
        <w:tc>
          <w:tcPr>
            <w:tcW w:w="33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4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155"/>
        </w:trPr>
        <w:tc>
          <w:tcPr>
            <w:tcW w:w="33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6"/>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PAGP</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Page 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2"/>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60" w:type="dxa"/>
            <w:vAlign w:val="bottom"/>
          </w:tcPr>
          <w:p>
            <w:pPr>
              <w:spacing w:after="0"/>
              <w:rPr>
                <w:sz w:val="18"/>
                <w:szCs w:val="18"/>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operating lease right-of-use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net</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48"/>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28,357</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PARTNERS’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long-term liabilities and deferred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3"/>
        </w:trPr>
        <w:tc>
          <w:tcPr>
            <w:tcW w:w="3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w:t>
            </w:r>
          </w:p>
        </w:tc>
      </w:tr>
      <w:tr>
        <w:trPr>
          <w:trHeight w:val="270"/>
        </w:trPr>
        <w:tc>
          <w:tcPr>
            <w:tcW w:w="3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Partners’ capital excluding noncontrolling</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13,424</w:t>
            </w:r>
          </w:p>
        </w:tc>
      </w:tr>
      <w:tr>
        <w:trPr>
          <w:trHeight w:val="22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w:t>
            </w:r>
          </w:p>
        </w:tc>
      </w:tr>
      <w:tr>
        <w:trPr>
          <w:trHeight w:val="263"/>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27,155</w:t>
            </w:r>
          </w:p>
        </w:tc>
        <w:tc>
          <w:tcPr>
            <w:tcW w:w="100" w:type="dxa"/>
            <w:vAlign w:val="bottom"/>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28,597</w:t>
            </w:r>
          </w:p>
        </w:tc>
      </w:tr>
      <w:tr>
        <w:trPr>
          <w:trHeight w:val="156"/>
        </w:trPr>
        <w:tc>
          <w:tcPr>
            <w:tcW w:w="3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100"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Page 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ind w:right="46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 PER CLASS A SHARE </w:t>
      </w:r>
      <w:r>
        <w:rPr>
          <w:rFonts w:ascii="Times New Roman" w:cs="Times New Roman" w:eastAsia="Times New Roman" w:hAnsi="Times New Roman"/>
          <w:sz w:val="18"/>
          <w:szCs w:val="18"/>
          <w:color w:val="auto"/>
        </w:rPr>
        <w:t>(in millions,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98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63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196"/>
        </w:trPr>
        <w:tc>
          <w:tcPr>
            <w:tcW w:w="63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Class A Share</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74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57"/>
        </w:trPr>
        <w:tc>
          <w:tcPr>
            <w:tcW w:w="6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54"/>
        </w:trPr>
        <w:tc>
          <w:tcPr>
            <w:tcW w:w="6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31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43" w:lineRule="exact"/>
        <w:rPr>
          <w:sz w:val="20"/>
          <w:szCs w:val="20"/>
          <w:color w:val="auto"/>
        </w:rPr>
      </w:pPr>
    </w:p>
    <w:p>
      <w:pPr>
        <w:ind w:left="660" w:right="140" w:hanging="328"/>
        <w:spacing w:after="0" w:line="248"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25" w:lineRule="exact"/>
        <w:rPr>
          <w:rFonts w:ascii="Arial" w:cs="Arial" w:eastAsia="Arial" w:hAnsi="Arial"/>
          <w:sz w:val="22"/>
          <w:szCs w:val="22"/>
          <w:color w:val="auto"/>
        </w:rPr>
      </w:pPr>
    </w:p>
    <w:p>
      <w:pPr>
        <w:ind w:left="660" w:right="60" w:hanging="328"/>
        <w:spacing w:after="0" w:line="245"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129" w:lineRule="exact"/>
        <w:rPr>
          <w:rFonts w:ascii="Arial" w:cs="Arial" w:eastAsia="Arial" w:hAnsi="Arial"/>
          <w:sz w:val="22"/>
          <w:szCs w:val="22"/>
          <w:color w:val="auto"/>
        </w:rPr>
      </w:pPr>
    </w:p>
    <w:p>
      <w:pPr>
        <w:ind w:left="660" w:right="460" w:hanging="328"/>
        <w:spacing w:after="0" w:line="234"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30" w:lineRule="exact"/>
        <w:rPr>
          <w:rFonts w:ascii="Arial" w:cs="Arial" w:eastAsia="Arial" w:hAnsi="Arial"/>
          <w:sz w:val="22"/>
          <w:szCs w:val="22"/>
          <w:color w:val="auto"/>
        </w:rPr>
      </w:pPr>
    </w:p>
    <w:p>
      <w:pPr>
        <w:ind w:left="660" w:right="20" w:hanging="328"/>
        <w:spacing w:after="0" w:line="239"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132" w:lineRule="exact"/>
        <w:rPr>
          <w:rFonts w:ascii="Arial" w:cs="Arial" w:eastAsia="Arial" w:hAnsi="Arial"/>
          <w:sz w:val="22"/>
          <w:szCs w:val="22"/>
          <w:color w:val="auto"/>
        </w:rPr>
      </w:pPr>
    </w:p>
    <w:p>
      <w:pPr>
        <w:ind w:left="660" w:right="180" w:hanging="328"/>
        <w:spacing w:after="0" w:line="234"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43" w:lineRule="exact"/>
        <w:rPr>
          <w:rFonts w:ascii="Arial" w:cs="Arial" w:eastAsia="Arial" w:hAnsi="Arial"/>
          <w:sz w:val="22"/>
          <w:szCs w:val="22"/>
          <w:color w:val="auto"/>
        </w:rPr>
      </w:pPr>
    </w:p>
    <w:p>
      <w:pPr>
        <w:ind w:left="660" w:right="700" w:hanging="328"/>
        <w:spacing w:after="0" w:line="234"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Page 23</w:t>
      </w:r>
    </w:p>
    <w:p>
      <w:pPr>
        <w:spacing w:after="0" w:line="200" w:lineRule="exact"/>
        <w:rPr>
          <w:sz w:val="20"/>
          <w:szCs w:val="20"/>
          <w:color w:val="auto"/>
        </w:rPr>
      </w:pPr>
    </w:p>
    <w:p>
      <w:pPr>
        <w:spacing w:after="0" w:line="282" w:lineRule="exact"/>
        <w:rPr>
          <w:sz w:val="20"/>
          <w:szCs w:val="20"/>
          <w:color w:val="auto"/>
        </w:rPr>
      </w:pPr>
    </w:p>
    <w:p>
      <w:pPr>
        <w:ind w:left="660" w:right="280" w:hanging="328"/>
        <w:spacing w:after="0" w:line="234"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wildfires and drought);</w:t>
      </w:r>
    </w:p>
    <w:p>
      <w:pPr>
        <w:spacing w:after="0" w:line="132" w:lineRule="exact"/>
        <w:rPr>
          <w:rFonts w:ascii="Arial" w:cs="Arial" w:eastAsia="Arial" w:hAnsi="Arial"/>
          <w:sz w:val="22"/>
          <w:szCs w:val="22"/>
          <w:color w:val="auto"/>
        </w:rPr>
      </w:pPr>
    </w:p>
    <w:p>
      <w:pPr>
        <w:ind w:left="660" w:right="140" w:hanging="328"/>
        <w:spacing w:after="0" w:line="258" w:lineRule="auto"/>
        <w:tabs>
          <w:tab w:leader="none" w:pos="65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the impact of current and future laws, rulings, legislation, governmental regulations, executive orders, trade policies,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w:t>
      </w:r>
    </w:p>
    <w:p>
      <w:pPr>
        <w:spacing w:after="0" w:line="116" w:lineRule="exact"/>
        <w:rPr>
          <w:rFonts w:ascii="Arial" w:cs="Arial" w:eastAsia="Arial" w:hAnsi="Arial"/>
          <w:sz w:val="21"/>
          <w:szCs w:val="21"/>
          <w:color w:val="auto"/>
        </w:rPr>
      </w:pPr>
    </w:p>
    <w:p>
      <w:pPr>
        <w:ind w:left="660" w:right="240" w:hanging="328"/>
        <w:spacing w:after="0" w:line="246"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107"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30" w:lineRule="exact"/>
        <w:rPr>
          <w:rFonts w:ascii="Arial" w:cs="Arial" w:eastAsia="Arial" w:hAnsi="Arial"/>
          <w:sz w:val="22"/>
          <w:szCs w:val="22"/>
          <w:color w:val="auto"/>
        </w:rPr>
      </w:pPr>
    </w:p>
    <w:p>
      <w:pPr>
        <w:ind w:left="660" w:right="500" w:hanging="328"/>
        <w:spacing w:after="0" w:line="234"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effectiveness of our risk management activities;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shortages or cost increases of supplies, materials or labor;</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maintenance of our credit ratings and ability to receive open credit from our suppliers and trade counterparties;</w:t>
      </w:r>
    </w:p>
    <w:p>
      <w:pPr>
        <w:spacing w:after="0" w:line="130" w:lineRule="exact"/>
        <w:rPr>
          <w:rFonts w:ascii="Arial" w:cs="Arial" w:eastAsia="Arial" w:hAnsi="Arial"/>
          <w:sz w:val="22"/>
          <w:szCs w:val="22"/>
          <w:color w:val="auto"/>
        </w:rPr>
      </w:pPr>
    </w:p>
    <w:p>
      <w:pPr>
        <w:ind w:left="660" w:right="60" w:hanging="328"/>
        <w:spacing w:after="0" w:line="234"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w:t>
      </w:r>
    </w:p>
    <w:p>
      <w:pPr>
        <w:spacing w:after="0" w:line="130" w:lineRule="exact"/>
        <w:rPr>
          <w:rFonts w:ascii="Arial" w:cs="Arial" w:eastAsia="Arial" w:hAnsi="Arial"/>
          <w:sz w:val="22"/>
          <w:szCs w:val="22"/>
          <w:color w:val="auto"/>
        </w:rPr>
      </w:pPr>
    </w:p>
    <w:p>
      <w:pPr>
        <w:ind w:left="660" w:hanging="328"/>
        <w:spacing w:after="0" w:line="243"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27" w:lineRule="exact"/>
        <w:rPr>
          <w:rFonts w:ascii="Arial" w:cs="Arial" w:eastAsia="Arial" w:hAnsi="Arial"/>
          <w:sz w:val="22"/>
          <w:szCs w:val="22"/>
          <w:color w:val="auto"/>
        </w:rPr>
      </w:pPr>
    </w:p>
    <w:p>
      <w:pPr>
        <w:ind w:left="660" w:right="160" w:hanging="328"/>
        <w:spacing w:after="0" w:line="239"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143" w:lineRule="exact"/>
        <w:rPr>
          <w:rFonts w:ascii="Arial" w:cs="Arial" w:eastAsia="Arial" w:hAnsi="Arial"/>
          <w:sz w:val="22"/>
          <w:szCs w:val="22"/>
          <w:color w:val="auto"/>
        </w:rPr>
      </w:pPr>
    </w:p>
    <w:p>
      <w:pPr>
        <w:ind w:left="660" w:right="340" w:hanging="328"/>
        <w:spacing w:after="0" w:line="234"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132" w:lineRule="exact"/>
        <w:rPr>
          <w:rFonts w:ascii="Arial" w:cs="Arial" w:eastAsia="Arial" w:hAnsi="Arial"/>
          <w:sz w:val="22"/>
          <w:szCs w:val="22"/>
          <w:color w:val="auto"/>
        </w:rPr>
      </w:pPr>
    </w:p>
    <w:p>
      <w:pPr>
        <w:ind w:left="660" w:right="20" w:hanging="328"/>
        <w:spacing w:after="0" w:line="256" w:lineRule="auto"/>
        <w:tabs>
          <w:tab w:leader="none" w:pos="65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95" w:lineRule="exact"/>
        <w:rPr>
          <w:rFonts w:ascii="Arial" w:cs="Arial" w:eastAsia="Arial" w:hAnsi="Arial"/>
          <w:sz w:val="21"/>
          <w:szCs w:val="21"/>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80"/>
          </w:cols>
          <w:pgMar w:left="320" w:top="364"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Page 24</w:t>
      </w:r>
    </w:p>
    <w:p>
      <w:pPr>
        <w:spacing w:after="0" w:line="200" w:lineRule="exact"/>
        <w:rPr>
          <w:sz w:val="20"/>
          <w:szCs w:val="20"/>
          <w:color w:val="auto"/>
        </w:rPr>
      </w:pPr>
    </w:p>
    <w:p>
      <w:pPr>
        <w:spacing w:after="0" w:line="26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30"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07"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under-utilization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increased costs, or lack of availability, of insurance;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30" w:lineRule="exact"/>
        <w:rPr>
          <w:rFonts w:ascii="Arial" w:cs="Arial" w:eastAsia="Arial" w:hAnsi="Arial"/>
          <w:sz w:val="22"/>
          <w:szCs w:val="22"/>
          <w:color w:val="auto"/>
        </w:rPr>
      </w:pPr>
    </w:p>
    <w:p>
      <w:pPr>
        <w:ind w:left="660" w:right="500" w:hanging="328"/>
        <w:spacing w:after="0" w:line="246" w:lineRule="auto"/>
        <w:tabs>
          <w:tab w:leader="none" w:pos="655"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Plains:</w:t>
      </w:r>
    </w:p>
    <w:p>
      <w:pPr>
        <w:spacing w:after="0" w:line="306"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8 million barrels per day of crude oil and NGL.</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are headquartered in Houston, Texas. For more information, please visit www.plains.com.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Blake Fernandez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Gladstein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47"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080"/>
      </w:cols>
      <w:pgMar w:left="320" w:top="36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04"/>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lvl w:ilvl="1">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lvl w:ilvl="1">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lvl w:ilvl="1">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lvl w:ilvl="1">
      <w:lvlJc w:val="left"/>
      <w:lvlText w:val="-"/>
      <w:numFmt w:val="bullet"/>
      <w:start w:val="1"/>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1)"/>
      <w:numFmt w:val="decimal"/>
      <w:start w:val="3"/>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2024-11-08T07:29:51Z</dcterms:created>
  <dcterms:modified xsi:type="dcterms:W3CDTF">2024-11-08T07:29:51Z</dcterms:modified>
</cp:coreProperties>
</file>