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Date of Report (Date of earliest event reported)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November 26,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Plains GP Holdings, L.P.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54" w:right="339" w:bottom="1440" w:gutter="0" w:footer="0" w:header="0"/>
        </w:sectPr>
      </w:pPr>
    </w:p>
    <w:p>
      <w:pPr>
        <w:spacing w:after="0" w:line="20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1-36132</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90-1005472</w:t>
      </w:r>
    </w:p>
    <w:p>
      <w:pPr>
        <w:spacing w:after="0" w:line="43" w:lineRule="exact"/>
        <w:rPr>
          <w:sz w:val="24"/>
          <w:szCs w:val="24"/>
          <w:color w:val="auto"/>
        </w:rPr>
      </w:pPr>
    </w:p>
    <w:p>
      <w:pPr>
        <w:sectPr>
          <w:pgSz w:w="11900" w:h="16838" w:orient="portrait"/>
          <w:cols w:equalWidth="0" w:num="3">
            <w:col w:w="4620" w:space="720"/>
            <w:col w:w="2900" w:space="720"/>
            <w:col w:w="2280"/>
          </w:cols>
          <w:pgMar w:left="320" w:top="754" w:right="339" w:bottom="1440" w:gutter="0" w:footer="0" w:header="0"/>
          <w:type w:val="continuous"/>
        </w:sectPr>
      </w:pPr>
    </w:p>
    <w:p>
      <w:pPr>
        <w:jc w:val="center"/>
        <w:ind w:right="24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4"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23"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54" w:right="339" w:bottom="1440" w:gutter="0" w:footer="0" w:header="0"/>
          <w:type w:val="continuous"/>
        </w:sectPr>
      </w:pPr>
    </w:p>
    <w:p>
      <w:pPr>
        <w:spacing w:after="0" w:line="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333 Clay Street, Suite 1600, Houston, Texas 77002</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713-646-4100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or former address, if changed since last report)</w:t>
      </w:r>
    </w:p>
    <w:p>
      <w:pPr>
        <w:sectPr>
          <w:pgSz w:w="11900" w:h="16838" w:orient="portrait"/>
          <w:cols w:equalWidth="0" w:num="1">
            <w:col w:w="11240"/>
          </w:cols>
          <w:pgMar w:left="320" w:top="754" w:right="339" w:bottom="1440" w:gutter="0" w:footer="0" w:header="0"/>
          <w:type w:val="continuous"/>
        </w:sectPr>
      </w:pPr>
    </w:p>
    <w:p>
      <w:pPr>
        <w:spacing w:after="0" w:line="23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Shares</w:t>
            </w:r>
          </w:p>
        </w:tc>
        <w:tc>
          <w:tcPr>
            <w:tcW w:w="24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PAGP</w:t>
            </w:r>
          </w:p>
        </w:tc>
        <w:tc>
          <w:tcPr>
            <w:tcW w:w="220" w:type="dxa"/>
            <w:vAlign w:val="bottom"/>
          </w:tcPr>
          <w:p>
            <w:pPr>
              <w:spacing w:after="0"/>
              <w:rPr>
                <w:sz w:val="19"/>
                <w:szCs w:val="19"/>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w:t>
            </w:r>
          </w:p>
        </w:tc>
      </w:tr>
    </w:tbl>
    <w:p>
      <w:pPr>
        <w:spacing w:after="0" w:line="193"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 .</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information contained in Item 2.03 regarding the Term Loan Agreement, as defined below, is incorporated by reference into this Item 1.01.</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1.02</w:t>
      </w:r>
      <w:r>
        <w:rPr>
          <w:sz w:val="20"/>
          <w:szCs w:val="20"/>
          <w:color w:val="auto"/>
        </w:rPr>
        <w:tab/>
      </w:r>
      <w:r>
        <w:rPr>
          <w:rFonts w:ascii="Times New Roman" w:cs="Times New Roman" w:eastAsia="Times New Roman" w:hAnsi="Times New Roman"/>
          <w:sz w:val="17"/>
          <w:szCs w:val="17"/>
          <w:b w:val="1"/>
          <w:bCs w:val="1"/>
          <w:color w:val="auto"/>
        </w:rPr>
        <w:t>Termination of a Material Definitive Agreement.</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On October 31, 2025, Plains All American Pipeline, L.P. (“PAA”), a subsidiary of Plains GP Holdings, L.P. (the “Registrant”), through a wholly-owned subsidiary, acquired 100% of the equity interests in EPIC Crude Holdings, LP (“EPIC Crude Holdings”) and 100% of the membership interests in EPIC Crude Holdings GP, LLC, which own and operate the EPIC Crude Oil Pipeline. EPIC Crude Holdings is party to that certain Credit Agreement, dated as of October 15, 2024 (as amended, the “EPIC Credit Agreement”), by and among EPIC Crude Holdings, EPIC Crude Services, LP, as borrower, Goldman Sachs Bank USA, as administrative and collateral agent, and the lenders and letters of credit issuers party thereto from time to time. The EPIC Credit Agreement provides for a $1.2 billion term loan (the “EPIC Term Loan”) and a $125.0 million revolving credit facility (the “EPIC Revolver”). As of December 1, 2025, there were approximately $1.1 billion of borrowings outstanding under the EPIC Term Loan and no borrowings outstanding under the EPIC Revolver.</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December 1, 2025, PAA terminated the EPIC Credit Agreement and repaid all amounts outstanding thereunder.</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On November 26, 2025, PAA entered into a term loan agreement (the “Term Loan Agreement”) by and among PAA, as borrower, PNC Bank, National Association, as administrative agent, and the other lenders party thereto (collectively, the “Lenders”).</w:t>
      </w:r>
    </w:p>
    <w:p>
      <w:pPr>
        <w:spacing w:after="0" w:line="162"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The Term Loan Agreement provides for a $1.1 billion senior unsecured term loan (the “Term Loan”) to be funded on or prior to December 2, 2025. The Term Loan will mature on the two-year anniversary of the closing date. PAA may at any time prepay amounts outstanding under the Term Loan Agreement, in whole or in part, without premium or penalty. The closing of the previously announced sale by PAA of its Canadian natural gas liquids business to Keyera Corp. will trigger mandatory prepayment of all amounts outstanding under the Term Loan Agreement within seven (7) business days of the closing of such sale.</w:t>
      </w:r>
    </w:p>
    <w:p>
      <w:pPr>
        <w:spacing w:after="0" w:line="183"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Borrowings under the Term Loan Agreement accrue interest based, at PAA’s election, on either Term SOFR or the Base Rate, in each case, plus an applicable rate. From the closing date to (but excluding) the first anniversary of the closing date, the applicable rate is 1.125% for Term SOFR Loans and 0.125% for Base Rate Loans; on and after the first anniversary, the applicable rate increases to 1.250% for Term SOFR Loans and 0.250% for Base Rate Loans.</w:t>
      </w:r>
    </w:p>
    <w:p>
      <w:pPr>
        <w:spacing w:after="0" w:line="180"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The Term Loan Agreement contains representations and warranties and events of default that are customary for investment grade, senior unsecured commercial bank term loan facilities. Upon an event of default under the Term Loan Agreement, the Lenders thereunder may declare amounts outstanding to be immediately due and payable. In addition, the Term Loan Agreement contains customary covenants limiting PAA’s or certain of its subsidiaries’ ability to, among other things:</w:t>
      </w:r>
    </w:p>
    <w:p>
      <w:pPr>
        <w:spacing w:after="0" w:line="180"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liens on their principal property or equity interests in subsidiaries of PAA;</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indebtedness, including capital leases;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substantially all of their assets or enter into a merger or consolidation;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certain burdensome agreements.</w:t>
      </w:r>
    </w:p>
    <w:p>
      <w:pPr>
        <w:spacing w:after="0" w:line="225"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In addition, the Term Loan Agreement prohibits the declaration or making of distributions on, or purchases or redemptions of, PAA’s equity interests if any Default or Event of Default has occurred and is continuing or, immediately after giving effect thereto, would result therefrom.</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right="260" w:firstLine="324"/>
        <w:spacing w:after="0" w:line="282" w:lineRule="auto"/>
        <w:rPr>
          <w:sz w:val="20"/>
          <w:szCs w:val="20"/>
          <w:color w:val="auto"/>
        </w:rPr>
      </w:pPr>
      <w:r>
        <w:rPr>
          <w:rFonts w:ascii="Times New Roman" w:cs="Times New Roman" w:eastAsia="Times New Roman" w:hAnsi="Times New Roman"/>
          <w:sz w:val="18"/>
          <w:szCs w:val="18"/>
          <w:color w:val="auto"/>
        </w:rPr>
        <w:t>The financial covenant in the Term Loan Agreement, tested on a quarterly basis, limits Consolidated Funded Indebtedness to adjusted Consolidated EBITDA to no greater than 5.00 to 1.00, which increases to 5.50 to 1.00 during an Acquisition Period.</w:t>
      </w:r>
    </w:p>
    <w:p>
      <w:pPr>
        <w:spacing w:after="0" w:line="162"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Term Loan Agreement does not purport to be complete and is qualified in its entirety by reference to the full text of the Term Loan Agreement. A copy of the Term Loan Agreement is filed as Exhibit 10.1 to this Current Report on Form 8-K and is incorporated herein by reference. Any defined terms used in this Item 2.03 but not defined herein shall have the definitions given to them in the Term Loan Agreement.</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2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  Exhibits</w:t>
            </w:r>
          </w:p>
        </w:tc>
        <w:tc>
          <w:tcPr>
            <w:tcW w:w="7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10"/>
        </w:trPr>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38"/>
        </w:trPr>
        <w:tc>
          <w:tcPr>
            <w:tcW w:w="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60" w:type="dxa"/>
            <w:vAlign w:val="bottom"/>
            <w:gridSpan w:val="4"/>
          </w:tcPr>
          <w:p>
            <w:pPr>
              <w:ind w:left="3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20" w:type="dxa"/>
            <w:vAlign w:val="bottom"/>
          </w:tcPr>
          <w:p>
            <w:pPr>
              <w:spacing w:after="0"/>
              <w:rPr>
                <w:sz w:val="14"/>
                <w:szCs w:val="14"/>
                <w:color w:val="auto"/>
              </w:rPr>
            </w:pPr>
          </w:p>
        </w:tc>
        <w:tc>
          <w:tcPr>
            <w:tcW w:w="1580" w:type="dxa"/>
            <w:vAlign w:val="bottom"/>
            <w:tcBorders>
              <w:top w:val="single" w:sz="8" w:color="auto"/>
            </w:tcBorders>
            <w:gridSpan w:val="2"/>
          </w:tcPr>
          <w:p>
            <w:pPr>
              <w:spacing w:after="0" w:line="16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120" w:type="dxa"/>
            <w:vAlign w:val="bottom"/>
          </w:tcPr>
          <w:p>
            <w:pPr>
              <w:spacing w:after="0"/>
              <w:rPr>
                <w:sz w:val="14"/>
                <w:szCs w:val="14"/>
                <w:color w:val="auto"/>
              </w:rPr>
            </w:pPr>
          </w:p>
        </w:tc>
        <w:tc>
          <w:tcPr>
            <w:tcW w:w="8860" w:type="dxa"/>
            <w:vAlign w:val="bottom"/>
            <w:tcBorders>
              <w:top w:val="single" w:sz="8" w:color="auto"/>
            </w:tcBorders>
            <w:gridSpan w:val="4"/>
          </w:tcPr>
          <w:p>
            <w:pPr>
              <w:spacing w:after="0" w:line="169" w:lineRule="exact"/>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0000EE"/>
                </w:rPr>
                <w:t>Term Loan Agreement, dated as of November 26, 2025, by and among Plains All American Pipeline, L.P., PNC Bank,</w:t>
              </w:r>
            </w:hyperlink>
          </w:p>
        </w:tc>
      </w:tr>
      <w:tr>
        <w:trPr>
          <w:trHeight w:val="196"/>
        </w:trPr>
        <w:tc>
          <w:tcPr>
            <w:tcW w:w="320" w:type="dxa"/>
            <w:vAlign w:val="bottom"/>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9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National Association, as administrative agent, and the other lenders party thereto (incorporated by reference to</w:t>
              </w:r>
            </w:hyperlink>
          </w:p>
        </w:tc>
        <w:tc>
          <w:tcPr>
            <w:tcW w:w="560" w:type="dxa"/>
            <w:vAlign w:val="bottom"/>
            <w:tcBorders>
              <w:top w:val="single" w:sz="8" w:color="0000EE"/>
            </w:tcBorders>
          </w:tcPr>
          <w:p>
            <w:pPr>
              <w:spacing w:after="0"/>
              <w:rPr>
                <w:sz w:val="17"/>
                <w:szCs w:val="17"/>
                <w:color w:val="auto"/>
              </w:rPr>
            </w:pPr>
          </w:p>
        </w:tc>
        <w:tc>
          <w:tcPr>
            <w:tcW w:w="340" w:type="dxa"/>
            <w:vAlign w:val="bottom"/>
          </w:tcPr>
          <w:p>
            <w:pPr>
              <w:spacing w:after="0"/>
              <w:rPr>
                <w:sz w:val="17"/>
                <w:szCs w:val="17"/>
                <w:color w:val="auto"/>
              </w:rPr>
            </w:pPr>
          </w:p>
        </w:tc>
      </w:tr>
      <w:tr>
        <w:trPr>
          <w:trHeight w:val="196"/>
        </w:trPr>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7">
              <w:r>
                <w:rPr>
                  <w:rFonts w:ascii="Times New Roman" w:cs="Times New Roman" w:eastAsia="Times New Roman" w:hAnsi="Times New Roman"/>
                  <w:sz w:val="18"/>
                  <w:szCs w:val="18"/>
                  <w:color w:val="0000EE"/>
                  <w:w w:val="99"/>
                </w:rPr>
                <w:t>Exhibit 10.1 to Plains All American Pipeline, L.P.’s Current Report on Form 8-K filed December 3, 2025).</w:t>
              </w:r>
            </w:hyperlink>
          </w:p>
        </w:tc>
        <w:tc>
          <w:tcPr>
            <w:tcW w:w="1180" w:type="dxa"/>
            <w:vAlign w:val="bottom"/>
            <w:gridSpan w:val="3"/>
          </w:tcPr>
          <w:p>
            <w:pPr>
              <w:spacing w:after="0"/>
              <w:rPr>
                <w:sz w:val="17"/>
                <w:szCs w:val="17"/>
                <w:color w:val="auto"/>
              </w:rPr>
            </w:pPr>
          </w:p>
        </w:tc>
      </w:tr>
      <w:tr>
        <w:trPr>
          <w:trHeight w:val="237"/>
        </w:trPr>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104</w:t>
            </w: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220" w:right="640" w:hanging="212"/>
        <w:spacing w:after="0" w:line="282" w:lineRule="auto"/>
        <w:tabs>
          <w:tab w:leader="none" w:pos="2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A copy of any omitted schedule and/or exhibit will be furnished to the U.S. Securities and Exchange Commission on request.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December 3, 2025</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PLAINS GP HOLDNGS, L.P.</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PAA GP Holdings LLC, its general partner</w:t>
      </w:r>
    </w:p>
    <w:p>
      <w:pPr>
        <w:spacing w:after="0" w:line="22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Richard McGee</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General Counsel</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600"/>
      </w:cols>
      <w:pgMar w:left="320" w:top="900" w:right="9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17" Type="http://schemas.openxmlformats.org/officeDocument/2006/relationships/hyperlink" Target="https://www.sec.gov/Archives/edgar/data/1070423/000110465925118133/tm253263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2025-12-03T15:38:26Z</dcterms:created>
  <dcterms:modified xsi:type="dcterms:W3CDTF">2025-12-03T15:38:26Z</dcterms:modified>
</cp:coreProperties>
</file>