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mc:AlternateContent>
          <mc:Choice Requires="wps">
            <w:drawing>
              <wp:anchor simplePos="0" relativeHeight="251657728" behindDoc="1" locked="0" layoutInCell="0" allowOverlap="1">
                <wp:simplePos x="0" y="0"/>
                <wp:positionH relativeFrom="page">
                  <wp:posOffset>223520</wp:posOffset>
                </wp:positionH>
                <wp:positionV relativeFrom="page">
                  <wp:posOffset>554355</wp:posOffset>
                </wp:positionV>
                <wp:extent cx="709612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6125" cy="4763"/>
                        </a:xfrm>
                        <a:prstGeom prst="line">
                          <a:avLst/>
                        </a:prstGeom>
                        <a:solidFill>
                          <a:srgbClr val="FFFFFF"/>
                        </a:solidFill>
                        <a:ln w="24637">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6pt,43.65pt" to="576.35pt,43.65pt" o:allowincell="f" strokecolor="#000000" strokeweight="1.9399pt">
                <w10:wrap anchorx="page" anchory="page"/>
              </v:line>
            </w:pict>
          </mc:Fallback>
        </mc:AlternateContent>
        <mc:AlternateContent>
          <mc:Choice Requires="wps">
            <w:drawing>
              <wp:anchor simplePos="0" relativeHeight="251657728" behindDoc="1" locked="0" layoutInCell="0" allowOverlap="1">
                <wp:simplePos x="0" y="0"/>
                <wp:positionH relativeFrom="page">
                  <wp:posOffset>223520</wp:posOffset>
                </wp:positionH>
                <wp:positionV relativeFrom="page">
                  <wp:posOffset>600710</wp:posOffset>
                </wp:positionV>
                <wp:extent cx="709612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6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6pt,47.3pt" to="576.35pt,47.3pt" o:allowincell="f" strokecolor="#000000" strokeweight="1pt">
                <w10:wrap anchorx="page" anchory="page"/>
              </v:line>
            </w:pict>
          </mc:Fallback>
        </mc:AlternateContent>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6" w:lineRule="exact"/>
        <w:rPr>
          <w:sz w:val="24"/>
          <w:szCs w:val="24"/>
          <w:color w:val="auto"/>
        </w:rPr>
      </w:pPr>
    </w:p>
    <w:p>
      <w:pPr>
        <w:jc w:val="center"/>
        <w:ind w:left="3400" w:right="640" w:hanging="3398"/>
        <w:spacing w:after="0" w:line="278" w:lineRule="auto"/>
        <w:tabs>
          <w:tab w:leader="none" w:pos="342" w:val="left"/>
        </w:tabs>
        <w:numPr>
          <w:ilvl w:val="0"/>
          <w:numId w:val="1"/>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ANNUAL REPORT PURSUANT TO SECTION 13 OR 15(d) OF THE SECURITIES EXCHANGE ACT OF 1934 For the fiscal year ended December 31, 2023</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OR</w:t>
      </w:r>
    </w:p>
    <w:p>
      <w:pPr>
        <w:spacing w:after="0" w:line="110" w:lineRule="exact"/>
        <w:rPr>
          <w:sz w:val="24"/>
          <w:szCs w:val="24"/>
          <w:color w:val="auto"/>
        </w:rPr>
      </w:pPr>
    </w:p>
    <w:p>
      <w:pPr>
        <w:ind w:left="360" w:hanging="358"/>
        <w:spacing w:after="0"/>
        <w:tabs>
          <w:tab w:leader="none" w:pos="360" w:val="left"/>
        </w:tabs>
        <w:numPr>
          <w:ilvl w:val="0"/>
          <w:numId w:val="2"/>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1-36132</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PLAINS GP HOLDINGS, L.P.</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70"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4800" w:type="dxa"/>
            <w:vAlign w:val="bottom"/>
          </w:tcPr>
          <w:p>
            <w:pPr>
              <w:jc w:val="center"/>
              <w:ind w:right="1002"/>
              <w:spacing w:after="0"/>
              <w:rPr>
                <w:sz w:val="20"/>
                <w:szCs w:val="20"/>
                <w:color w:val="auto"/>
              </w:rPr>
            </w:pPr>
            <w:r>
              <w:rPr>
                <w:rFonts w:ascii="Arial" w:cs="Arial" w:eastAsia="Arial" w:hAnsi="Arial"/>
                <w:sz w:val="16"/>
                <w:szCs w:val="16"/>
                <w:b w:val="1"/>
                <w:bCs w:val="1"/>
                <w:color w:val="auto"/>
                <w:w w:val="91"/>
              </w:rPr>
              <w:t>Delaware</w:t>
            </w:r>
          </w:p>
        </w:tc>
        <w:tc>
          <w:tcPr>
            <w:tcW w:w="3340" w:type="dxa"/>
            <w:vAlign w:val="bottom"/>
          </w:tcPr>
          <w:p>
            <w:pPr>
              <w:jc w:val="right"/>
              <w:ind w:right="682"/>
              <w:spacing w:after="0"/>
              <w:rPr>
                <w:sz w:val="20"/>
                <w:szCs w:val="20"/>
                <w:color w:val="auto"/>
              </w:rPr>
            </w:pPr>
            <w:r>
              <w:rPr>
                <w:rFonts w:ascii="Arial" w:cs="Arial" w:eastAsia="Arial" w:hAnsi="Arial"/>
                <w:sz w:val="16"/>
                <w:szCs w:val="16"/>
                <w:b w:val="1"/>
                <w:bCs w:val="1"/>
                <w:color w:val="auto"/>
              </w:rPr>
              <w:t>90-1005472</w:t>
            </w:r>
          </w:p>
        </w:tc>
      </w:tr>
      <w:tr>
        <w:trPr>
          <w:trHeight w:val="250"/>
        </w:trPr>
        <w:tc>
          <w:tcPr>
            <w:tcW w:w="4800" w:type="dxa"/>
            <w:vAlign w:val="bottom"/>
          </w:tcPr>
          <w:p>
            <w:pPr>
              <w:jc w:val="center"/>
              <w:ind w:right="1002"/>
              <w:spacing w:after="0"/>
              <w:rPr>
                <w:sz w:val="20"/>
                <w:szCs w:val="20"/>
                <w:color w:val="auto"/>
              </w:rPr>
            </w:pPr>
            <w:r>
              <w:rPr>
                <w:rFonts w:ascii="Arial" w:cs="Arial" w:eastAsia="Arial" w:hAnsi="Arial"/>
                <w:sz w:val="16"/>
                <w:szCs w:val="16"/>
                <w:color w:val="auto"/>
                <w:w w:val="90"/>
              </w:rPr>
              <w:t>(State or other jurisdiction of incorporation or organization)</w:t>
            </w:r>
          </w:p>
        </w:tc>
        <w:tc>
          <w:tcPr>
            <w:tcW w:w="3340" w:type="dxa"/>
            <w:vAlign w:val="bottom"/>
          </w:tcPr>
          <w:p>
            <w:pPr>
              <w:jc w:val="center"/>
              <w:ind w:left="1002"/>
              <w:spacing w:after="0"/>
              <w:rPr>
                <w:sz w:val="20"/>
                <w:szCs w:val="20"/>
                <w:color w:val="auto"/>
              </w:rPr>
            </w:pPr>
            <w:r>
              <w:rPr>
                <w:rFonts w:ascii="Arial" w:cs="Arial" w:eastAsia="Arial" w:hAnsi="Arial"/>
                <w:sz w:val="16"/>
                <w:szCs w:val="16"/>
                <w:color w:val="auto"/>
                <w:w w:val="91"/>
              </w:rPr>
              <w:t>(I.R.S. Employer Identification No.)</w:t>
            </w:r>
          </w:p>
        </w:tc>
      </w:tr>
      <w:tr>
        <w:trPr>
          <w:trHeight w:val="347"/>
        </w:trPr>
        <w:tc>
          <w:tcPr>
            <w:tcW w:w="4800" w:type="dxa"/>
            <w:vAlign w:val="bottom"/>
          </w:tcPr>
          <w:p>
            <w:pPr>
              <w:jc w:val="center"/>
              <w:ind w:right="1002"/>
              <w:spacing w:after="0"/>
              <w:rPr>
                <w:sz w:val="20"/>
                <w:szCs w:val="20"/>
                <w:color w:val="auto"/>
              </w:rPr>
            </w:pPr>
            <w:r>
              <w:rPr>
                <w:rFonts w:ascii="Arial" w:cs="Arial" w:eastAsia="Arial" w:hAnsi="Arial"/>
                <w:sz w:val="16"/>
                <w:szCs w:val="16"/>
                <w:b w:val="1"/>
                <w:bCs w:val="1"/>
                <w:color w:val="auto"/>
                <w:w w:val="87"/>
              </w:rPr>
              <w:t>333 Clay Street, Suite 1600, Houston, Texas</w:t>
            </w:r>
          </w:p>
        </w:tc>
        <w:tc>
          <w:tcPr>
            <w:tcW w:w="3340" w:type="dxa"/>
            <w:vAlign w:val="bottom"/>
          </w:tcPr>
          <w:p>
            <w:pPr>
              <w:jc w:val="right"/>
              <w:ind w:right="862"/>
              <w:spacing w:after="0"/>
              <w:rPr>
                <w:sz w:val="20"/>
                <w:szCs w:val="20"/>
                <w:color w:val="auto"/>
              </w:rPr>
            </w:pPr>
            <w:r>
              <w:rPr>
                <w:rFonts w:ascii="Arial" w:cs="Arial" w:eastAsia="Arial" w:hAnsi="Arial"/>
                <w:sz w:val="16"/>
                <w:szCs w:val="16"/>
                <w:b w:val="1"/>
                <w:bCs w:val="1"/>
                <w:color w:val="auto"/>
              </w:rPr>
              <w:t>77002</w:t>
            </w:r>
          </w:p>
        </w:tc>
      </w:tr>
      <w:tr>
        <w:trPr>
          <w:trHeight w:val="250"/>
        </w:trPr>
        <w:tc>
          <w:tcPr>
            <w:tcW w:w="4800" w:type="dxa"/>
            <w:vAlign w:val="bottom"/>
          </w:tcPr>
          <w:p>
            <w:pPr>
              <w:jc w:val="center"/>
              <w:ind w:right="1022"/>
              <w:spacing w:after="0"/>
              <w:rPr>
                <w:sz w:val="20"/>
                <w:szCs w:val="20"/>
                <w:color w:val="auto"/>
              </w:rPr>
            </w:pPr>
            <w:r>
              <w:rPr>
                <w:rFonts w:ascii="Arial" w:cs="Arial" w:eastAsia="Arial" w:hAnsi="Arial"/>
                <w:sz w:val="16"/>
                <w:szCs w:val="16"/>
                <w:color w:val="auto"/>
                <w:w w:val="89"/>
              </w:rPr>
              <w:t>(Address of principal executive offices)</w:t>
            </w:r>
          </w:p>
        </w:tc>
        <w:tc>
          <w:tcPr>
            <w:tcW w:w="3340" w:type="dxa"/>
            <w:vAlign w:val="bottom"/>
          </w:tcPr>
          <w:p>
            <w:pPr>
              <w:jc w:val="center"/>
              <w:ind w:left="982"/>
              <w:spacing w:after="0"/>
              <w:rPr>
                <w:sz w:val="20"/>
                <w:szCs w:val="20"/>
                <w:color w:val="auto"/>
              </w:rPr>
            </w:pPr>
            <w:r>
              <w:rPr>
                <w:rFonts w:ascii="Arial" w:cs="Arial" w:eastAsia="Arial" w:hAnsi="Arial"/>
                <w:sz w:val="16"/>
                <w:szCs w:val="16"/>
                <w:color w:val="auto"/>
                <w:w w:val="89"/>
              </w:rPr>
              <w:t>(Zip Code)</w:t>
            </w:r>
          </w:p>
        </w:tc>
      </w:tr>
    </w:tbl>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 646-4100</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6" w:lineRule="exact"/>
        <w:rPr>
          <w:sz w:val="24"/>
          <w:szCs w:val="24"/>
          <w:color w:val="auto"/>
        </w:rPr>
      </w:pPr>
    </w:p>
    <w:tbl>
      <w:tblPr>
        <w:tblLayout w:type="fixed"/>
        <w:tblInd w:w="800" w:type="dxa"/>
        <w:tblCellMar>
          <w:top w:w="0" w:type="dxa"/>
          <w:left w:w="0" w:type="dxa"/>
          <w:bottom w:w="0" w:type="dxa"/>
          <w:right w:w="0" w:type="dxa"/>
        </w:tblCellMar>
      </w:tblPr>
      <w:tr>
        <w:trPr>
          <w:trHeight w:val="187"/>
        </w:trPr>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60" w:type="dxa"/>
            <w:vAlign w:val="bottom"/>
          </w:tcPr>
          <w:p>
            <w:pPr>
              <w:spacing w:after="0"/>
              <w:rPr>
                <w:sz w:val="16"/>
                <w:szCs w:val="16"/>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Trading Symbol(s)</w:t>
            </w:r>
          </w:p>
        </w:tc>
        <w:tc>
          <w:tcPr>
            <w:tcW w:w="60" w:type="dxa"/>
            <w:vAlign w:val="bottom"/>
          </w:tcPr>
          <w:p>
            <w:pPr>
              <w:spacing w:after="0"/>
              <w:rPr>
                <w:sz w:val="16"/>
                <w:szCs w:val="16"/>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170"/>
        </w:trPr>
        <w:tc>
          <w:tcPr>
            <w:tcW w:w="2920" w:type="dxa"/>
            <w:vAlign w:val="bottom"/>
          </w:tcPr>
          <w:p>
            <w:pPr>
              <w:jc w:val="center"/>
              <w:spacing w:after="0" w:line="171" w:lineRule="exact"/>
              <w:rPr>
                <w:sz w:val="20"/>
                <w:szCs w:val="20"/>
                <w:color w:val="auto"/>
              </w:rPr>
            </w:pPr>
            <w:r>
              <w:rPr>
                <w:rFonts w:ascii="Arial" w:cs="Arial" w:eastAsia="Arial" w:hAnsi="Arial"/>
                <w:sz w:val="16"/>
                <w:szCs w:val="16"/>
                <w:color w:val="auto"/>
                <w:w w:val="87"/>
              </w:rPr>
              <w:t>Class A Shares, Representing Limited</w:t>
            </w:r>
          </w:p>
        </w:tc>
        <w:tc>
          <w:tcPr>
            <w:tcW w:w="60" w:type="dxa"/>
            <w:vAlign w:val="bottom"/>
          </w:tcPr>
          <w:p>
            <w:pPr>
              <w:spacing w:after="0"/>
              <w:rPr>
                <w:sz w:val="14"/>
                <w:szCs w:val="14"/>
                <w:color w:val="auto"/>
              </w:rPr>
            </w:pPr>
          </w:p>
        </w:tc>
        <w:tc>
          <w:tcPr>
            <w:tcW w:w="2920" w:type="dxa"/>
            <w:vAlign w:val="bottom"/>
          </w:tcPr>
          <w:p>
            <w:pPr>
              <w:jc w:val="center"/>
              <w:spacing w:after="0" w:line="171" w:lineRule="exact"/>
              <w:rPr>
                <w:sz w:val="20"/>
                <w:szCs w:val="20"/>
                <w:color w:val="auto"/>
              </w:rPr>
            </w:pPr>
            <w:r>
              <w:rPr>
                <w:rFonts w:ascii="Arial" w:cs="Arial" w:eastAsia="Arial" w:hAnsi="Arial"/>
                <w:sz w:val="16"/>
                <w:szCs w:val="16"/>
                <w:color w:val="auto"/>
                <w:w w:val="89"/>
              </w:rPr>
              <w:t>PAGP</w:t>
            </w:r>
          </w:p>
        </w:tc>
        <w:tc>
          <w:tcPr>
            <w:tcW w:w="60" w:type="dxa"/>
            <w:vAlign w:val="bottom"/>
          </w:tcPr>
          <w:p>
            <w:pPr>
              <w:spacing w:after="0"/>
              <w:rPr>
                <w:sz w:val="14"/>
                <w:szCs w:val="14"/>
                <w:color w:val="auto"/>
              </w:rPr>
            </w:pPr>
          </w:p>
        </w:tc>
        <w:tc>
          <w:tcPr>
            <w:tcW w:w="2920" w:type="dxa"/>
            <w:vAlign w:val="bottom"/>
          </w:tcPr>
          <w:p>
            <w:pPr>
              <w:jc w:val="center"/>
              <w:spacing w:after="0" w:line="171" w:lineRule="exact"/>
              <w:rPr>
                <w:sz w:val="20"/>
                <w:szCs w:val="20"/>
                <w:color w:val="auto"/>
              </w:rPr>
            </w:pPr>
            <w:r>
              <w:rPr>
                <w:rFonts w:ascii="Arial" w:cs="Arial" w:eastAsia="Arial" w:hAnsi="Arial"/>
                <w:sz w:val="16"/>
                <w:szCs w:val="16"/>
                <w:color w:val="auto"/>
                <w:w w:val="83"/>
              </w:rPr>
              <w:t>Nasdaq</w:t>
            </w:r>
          </w:p>
        </w:tc>
      </w:tr>
      <w:tr>
        <w:trPr>
          <w:trHeight w:val="202"/>
        </w:trPr>
        <w:tc>
          <w:tcPr>
            <w:tcW w:w="2920" w:type="dxa"/>
            <w:vAlign w:val="bottom"/>
          </w:tcPr>
          <w:p>
            <w:pPr>
              <w:jc w:val="center"/>
              <w:spacing w:after="0"/>
              <w:rPr>
                <w:sz w:val="20"/>
                <w:szCs w:val="20"/>
                <w:color w:val="auto"/>
              </w:rPr>
            </w:pPr>
            <w:r>
              <w:rPr>
                <w:rFonts w:ascii="Arial" w:cs="Arial" w:eastAsia="Arial" w:hAnsi="Arial"/>
                <w:sz w:val="16"/>
                <w:szCs w:val="16"/>
                <w:color w:val="auto"/>
                <w:w w:val="84"/>
              </w:rPr>
              <w:t>Partner Interests</w:t>
            </w:r>
          </w:p>
        </w:tc>
        <w:tc>
          <w:tcPr>
            <w:tcW w:w="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20" w:type="dxa"/>
            <w:vAlign w:val="bottom"/>
          </w:tcPr>
          <w:p>
            <w:pPr>
              <w:spacing w:after="0"/>
              <w:rPr>
                <w:sz w:val="17"/>
                <w:szCs w:val="17"/>
                <w:color w:val="auto"/>
              </w:rPr>
            </w:pPr>
          </w:p>
        </w:tc>
      </w:tr>
    </w:tbl>
    <w:p>
      <w:pPr>
        <w:spacing w:after="0" w:line="5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140" w:lineRule="exact"/>
        <w:rPr>
          <w:sz w:val="24"/>
          <w:szCs w:val="24"/>
          <w:color w:val="auto"/>
        </w:rPr>
      </w:pPr>
    </w:p>
    <w:p>
      <w:pPr>
        <w:ind w:left="300" w:right="1900"/>
        <w:spacing w:after="0" w:line="23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No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No </w:t>
      </w:r>
      <w:r>
        <w:rPr>
          <w:rFonts w:ascii="MS PGothic" w:cs="MS PGothic" w:eastAsia="MS PGothic" w:hAnsi="MS PGothic"/>
          <w:sz w:val="14"/>
          <w:szCs w:val="14"/>
          <w:b w:val="1"/>
          <w:bCs w:val="1"/>
          <w:color w:val="auto"/>
        </w:rPr>
        <w:t>☑</w:t>
      </w:r>
    </w:p>
    <w:p>
      <w:pPr>
        <w:spacing w:after="0" w:line="33" w:lineRule="exact"/>
        <w:rPr>
          <w:sz w:val="24"/>
          <w:szCs w:val="24"/>
          <w:color w:val="auto"/>
        </w:rPr>
      </w:pPr>
    </w:p>
    <w:p>
      <w:pPr>
        <w:ind w:right="60" w:firstLine="306"/>
        <w:spacing w:after="0" w:line="195" w:lineRule="exact"/>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Arial" w:cs="Arial" w:eastAsia="Arial" w:hAnsi="Arial"/>
          <w:sz w:val="15"/>
          <w:szCs w:val="15"/>
          <w:color w:val="auto"/>
        </w:rPr>
        <w:t>.</w:t>
      </w:r>
      <w:r>
        <w:rPr>
          <w:rFonts w:ascii="Arial" w:cs="Arial" w:eastAsia="Arial" w:hAnsi="Arial"/>
          <w:sz w:val="16"/>
          <w:szCs w:val="16"/>
          <w:color w:val="auto"/>
        </w:rPr>
        <w:t xml:space="preserve"> Yes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No </w:t>
      </w:r>
      <w:r>
        <w:rPr>
          <w:rFonts w:ascii="MS PGothic" w:cs="MS PGothic" w:eastAsia="MS PGothic" w:hAnsi="MS PGothic"/>
          <w:sz w:val="16"/>
          <w:szCs w:val="16"/>
          <w:b w:val="1"/>
          <w:bCs w:val="1"/>
          <w:color w:val="auto"/>
        </w:rPr>
        <w:t>☐</w:t>
      </w:r>
    </w:p>
    <w:p>
      <w:pPr>
        <w:spacing w:after="0" w:line="37" w:lineRule="exact"/>
        <w:rPr>
          <w:sz w:val="24"/>
          <w:szCs w:val="24"/>
          <w:color w:val="auto"/>
        </w:rPr>
      </w:pPr>
    </w:p>
    <w:p>
      <w:pPr>
        <w:ind w:right="80" w:firstLine="306"/>
        <w:spacing w:after="0" w:line="19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No </w:t>
      </w:r>
      <w:r>
        <w:rPr>
          <w:rFonts w:ascii="MS PGothic" w:cs="MS PGothic" w:eastAsia="MS PGothic" w:hAnsi="MS PGothic"/>
          <w:sz w:val="14"/>
          <w:szCs w:val="14"/>
          <w:b w:val="1"/>
          <w:bCs w:val="1"/>
          <w:color w:val="auto"/>
        </w:rPr>
        <w:t>☐</w:t>
      </w:r>
    </w:p>
    <w:p>
      <w:pPr>
        <w:spacing w:after="0" w:line="40" w:lineRule="exact"/>
        <w:rPr>
          <w:sz w:val="24"/>
          <w:szCs w:val="24"/>
          <w:color w:val="auto"/>
        </w:rPr>
      </w:pPr>
    </w:p>
    <w:p>
      <w:pPr>
        <w:ind w:right="140" w:firstLine="306"/>
        <w:spacing w:after="0" w:line="27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880" w:h="15480" w:orient="portrait"/>
          <w:cols w:equalWidth="0" w:num="1">
            <w:col w:w="10480"/>
          </w:cols>
          <w:pgMar w:left="700" w:top="949" w:right="700" w:bottom="712" w:gutter="0" w:footer="0" w:header="0"/>
        </w:sectPr>
      </w:pPr>
    </w:p>
    <w:p>
      <w:pPr>
        <w:ind w:left="162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b w:val="1"/>
          <w:bCs w:val="1"/>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b w:val="1"/>
          <w:bCs w:val="1"/>
          <w:color w:val="auto"/>
        </w:rPr>
        <w:t>☐</w:t>
      </w:r>
    </w:p>
    <w:p>
      <w:pPr>
        <w:spacing w:after="0" w:line="127" w:lineRule="exact"/>
        <w:rPr>
          <w:sz w:val="24"/>
          <w:szCs w:val="24"/>
          <w:color w:val="auto"/>
        </w:rPr>
      </w:pPr>
    </w:p>
    <w:p>
      <w:pPr>
        <w:sectPr>
          <w:pgSz w:w="11880" w:h="15480" w:orient="portrait"/>
          <w:cols w:equalWidth="0" w:num="2">
            <w:col w:w="6220" w:space="720"/>
            <w:col w:w="3540"/>
          </w:cols>
          <w:pgMar w:left="700" w:top="949" w:right="700" w:bottom="712" w:gutter="0" w:footer="0" w:header="0"/>
          <w:type w:val="continuous"/>
        </w:sectPr>
      </w:pPr>
    </w:p>
    <w:p>
      <w:pPr>
        <w:ind w:left="166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b w:val="1"/>
          <w:bCs w:val="1"/>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b w:val="1"/>
          <w:bCs w:val="1"/>
          <w:color w:val="auto"/>
        </w:rPr>
        <w:t>☐</w:t>
      </w:r>
    </w:p>
    <w:p>
      <w:pPr>
        <w:spacing w:after="0" w:line="140" w:lineRule="exact"/>
        <w:rPr>
          <w:sz w:val="24"/>
          <w:szCs w:val="24"/>
          <w:color w:val="auto"/>
        </w:rPr>
      </w:pPr>
    </w:p>
    <w:p>
      <w:pPr>
        <w:sectPr>
          <w:pgSz w:w="11880" w:h="15480" w:orient="portrait"/>
          <w:cols w:equalWidth="0" w:num="2">
            <w:col w:w="5880" w:space="720"/>
            <w:col w:w="3880"/>
          </w:cols>
          <w:pgMar w:left="700" w:top="949" w:right="700" w:bottom="712" w:gutter="0" w:footer="0" w:header="0"/>
          <w:type w:val="continuous"/>
        </w:sectPr>
      </w:pPr>
    </w:p>
    <w:p>
      <w:pPr>
        <w:ind w:left="660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b w:val="1"/>
          <w:bCs w:val="1"/>
          <w:color w:val="auto"/>
        </w:rPr>
        <w:t>☐</w:t>
      </w:r>
    </w:p>
    <w:p>
      <w:pPr>
        <w:sectPr>
          <w:pgSz w:w="11880" w:h="15480" w:orient="portrait"/>
          <w:cols w:equalWidth="0" w:num="1">
            <w:col w:w="10480"/>
          </w:cols>
          <w:pgMar w:left="700" w:top="949" w:right="700" w:bottom="712" w:gutter="0" w:footer="0" w:header="0"/>
          <w:type w:val="continuous"/>
        </w:sectPr>
      </w:pPr>
    </w:p>
    <w:p>
      <w:pPr>
        <w:spacing w:after="0" w:line="151" w:lineRule="exact"/>
        <w:rPr>
          <w:sz w:val="24"/>
          <w:szCs w:val="24"/>
          <w:color w:val="auto"/>
        </w:rPr>
      </w:pPr>
    </w:p>
    <w:p>
      <w:pPr>
        <w:ind w:right="40" w:firstLine="349"/>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b w:val="1"/>
          <w:bCs w:val="1"/>
          <w:color w:val="auto"/>
        </w:rPr>
        <w:t>☐</w:t>
      </w:r>
    </w:p>
    <w:p>
      <w:pPr>
        <w:spacing w:after="0" w:line="36" w:lineRule="exact"/>
        <w:rPr>
          <w:sz w:val="24"/>
          <w:szCs w:val="24"/>
          <w:color w:val="auto"/>
        </w:rPr>
      </w:pPr>
    </w:p>
    <w:p>
      <w:pPr>
        <w:ind w:right="20" w:firstLine="349"/>
        <w:spacing w:after="0" w:line="19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b w:val="1"/>
          <w:bCs w:val="1"/>
          <w:color w:val="auto"/>
        </w:rPr>
        <w:t>☑</w:t>
      </w:r>
    </w:p>
    <w:p>
      <w:pPr>
        <w:spacing w:after="0" w:line="37" w:lineRule="exact"/>
        <w:rPr>
          <w:sz w:val="24"/>
          <w:szCs w:val="24"/>
          <w:color w:val="auto"/>
        </w:rPr>
      </w:pPr>
    </w:p>
    <w:p>
      <w:pPr>
        <w:jc w:val="both"/>
        <w:ind w:right="20" w:firstLine="349"/>
        <w:spacing w:after="0" w:line="197"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b w:val="1"/>
          <w:bCs w:val="1"/>
          <w:color w:val="auto"/>
        </w:rPr>
        <w:t>☐</w:t>
      </w:r>
    </w:p>
    <w:p>
      <w:pPr>
        <w:spacing w:after="0" w:line="33" w:lineRule="exact"/>
        <w:rPr>
          <w:sz w:val="24"/>
          <w:szCs w:val="24"/>
          <w:color w:val="auto"/>
        </w:rPr>
      </w:pPr>
    </w:p>
    <w:p>
      <w:pPr>
        <w:jc w:val="both"/>
        <w:ind w:right="20" w:firstLine="349"/>
        <w:spacing w:after="0" w:line="197"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b w:val="1"/>
          <w:bCs w:val="1"/>
          <w:color w:val="auto"/>
        </w:rPr>
        <w:t>☐</w:t>
      </w:r>
    </w:p>
    <w:p>
      <w:pPr>
        <w:spacing w:after="0" w:line="26" w:lineRule="exact"/>
        <w:rPr>
          <w:sz w:val="24"/>
          <w:szCs w:val="24"/>
          <w:color w:val="auto"/>
        </w:rPr>
      </w:pPr>
    </w:p>
    <w:p>
      <w:pPr>
        <w:ind w:left="36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b w:val="1"/>
          <w:bCs w:val="1"/>
          <w:color w:val="auto"/>
        </w:rPr>
        <w:t>☐</w:t>
      </w:r>
      <w:r>
        <w:rPr>
          <w:rFonts w:ascii="Arial" w:cs="Arial" w:eastAsia="Arial" w:hAnsi="Arial"/>
          <w:sz w:val="15"/>
          <w:szCs w:val="15"/>
          <w:color w:val="auto"/>
        </w:rPr>
        <w:t xml:space="preserve"> No </w:t>
      </w:r>
      <w:r>
        <w:rPr>
          <w:rFonts w:ascii="MS PGothic" w:cs="MS PGothic" w:eastAsia="MS PGothic" w:hAnsi="MS PGothic"/>
          <w:sz w:val="15"/>
          <w:szCs w:val="15"/>
          <w:b w:val="1"/>
          <w:bCs w:val="1"/>
          <w:color w:val="auto"/>
        </w:rPr>
        <w:t>☑</w:t>
      </w:r>
    </w:p>
    <w:p>
      <w:pPr>
        <w:spacing w:after="0" w:line="79" w:lineRule="exact"/>
        <w:rPr>
          <w:sz w:val="24"/>
          <w:szCs w:val="24"/>
          <w:color w:val="auto"/>
        </w:rPr>
      </w:pPr>
    </w:p>
    <w:p>
      <w:pPr>
        <w:jc w:val="both"/>
        <w:ind w:firstLine="349"/>
        <w:spacing w:after="0" w:line="274" w:lineRule="auto"/>
        <w:rPr>
          <w:sz w:val="20"/>
          <w:szCs w:val="20"/>
          <w:color w:val="auto"/>
        </w:rPr>
      </w:pPr>
      <w:r>
        <w:rPr>
          <w:rFonts w:ascii="Arial" w:cs="Arial" w:eastAsia="Arial" w:hAnsi="Arial"/>
          <w:sz w:val="15"/>
          <w:szCs w:val="15"/>
          <w:color w:val="auto"/>
        </w:rPr>
        <w:t>The aggregate market value of the approximately 190.8 million Class A shares held by non-affiliates of the registrant (treating all executive officers and directors of the registrant and holders of 10% or more of the Class A shares outstanding, for this purpose, as if they are affiliates of the registrant) on June 30, 2023 was approximately $2.8 billion, based on a closing price of $14.83 per Class A share as reported on the Nasdaq Global Select Market on such date.</w:t>
      </w:r>
    </w:p>
    <w:p>
      <w:pPr>
        <w:spacing w:after="0" w:line="20" w:lineRule="exact"/>
        <w:rPr>
          <w:sz w:val="24"/>
          <w:szCs w:val="24"/>
          <w:color w:val="auto"/>
        </w:rPr>
      </w:pPr>
    </w:p>
    <w:p>
      <w:pPr>
        <w:ind w:left="360"/>
        <w:spacing w:after="0"/>
        <w:rPr>
          <w:sz w:val="20"/>
          <w:szCs w:val="20"/>
          <w:color w:val="auto"/>
        </w:rPr>
      </w:pPr>
      <w:r>
        <w:rPr>
          <w:rFonts w:ascii="Arial" w:cs="Arial" w:eastAsia="Arial" w:hAnsi="Arial"/>
          <w:sz w:val="15"/>
          <w:szCs w:val="15"/>
          <w:color w:val="auto"/>
        </w:rPr>
        <w:t>As of February 16, 2024, there were 197,121,318 Class A shares outstanding.</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85" w:lineRule="exact"/>
        <w:rPr>
          <w:sz w:val="24"/>
          <w:szCs w:val="24"/>
          <w:color w:val="auto"/>
        </w:rPr>
      </w:pPr>
    </w:p>
    <w:p>
      <w:pPr>
        <w:jc w:val="center"/>
        <w:spacing w:after="0" w:line="330" w:lineRule="auto"/>
        <w:rPr>
          <w:sz w:val="20"/>
          <w:szCs w:val="20"/>
          <w:color w:val="auto"/>
        </w:rPr>
      </w:pPr>
      <w:r>
        <w:rPr>
          <w:rFonts w:ascii="Arial" w:cs="Arial" w:eastAsia="Arial" w:hAnsi="Arial"/>
          <w:sz w:val="14"/>
          <w:szCs w:val="14"/>
          <w:color w:val="auto"/>
        </w:rPr>
        <w:t>Portions of the registrant’s definitive Proxy Statement to be filed pursuant to Regulation 14A pertaining to the 2024 Annual Meeting of Shareholders are incorporated by reference into Part III hereof. The registrant intends to file such Proxy Statement no later than 120 days after the end of the fiscal year covered by this 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-220345</wp:posOffset>
                </wp:positionH>
                <wp:positionV relativeFrom="paragraph">
                  <wp:posOffset>-17780</wp:posOffset>
                </wp:positionV>
                <wp:extent cx="709549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54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3499pt,-1.3999pt" to="541.35pt,-1.3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-220345</wp:posOffset>
                </wp:positionH>
                <wp:positionV relativeFrom="paragraph">
                  <wp:posOffset>27940</wp:posOffset>
                </wp:positionV>
                <wp:extent cx="709549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5490" cy="4763"/>
                        </a:xfrm>
                        <a:prstGeom prst="line">
                          <a:avLst/>
                        </a:prstGeom>
                        <a:solidFill>
                          <a:srgbClr val="FFFFFF"/>
                        </a:solidFill>
                        <a:ln w="24638">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3499pt,2.2pt" to="541.35pt,2.2pt" o:allowincell="f" strokecolor="#000000" strokeweight="1.94pt"/>
            </w:pict>
          </mc:Fallback>
        </mc:AlternateContent>
      </w:r>
    </w:p>
    <w:p>
      <w:pPr>
        <w:sectPr>
          <w:pgSz w:w="11880" w:h="15480" w:orient="portrait"/>
          <w:cols w:equalWidth="0" w:num="1">
            <w:col w:w="10480"/>
          </w:cols>
          <w:pgMar w:left="700" w:top="949" w:right="700" w:bottom="712"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FORM 10-K—2023 ANNUAL REPORT</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Table of Contents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3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82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Page</w:t>
            </w:r>
          </w:p>
        </w:tc>
      </w:tr>
      <w:tr>
        <w:trPr>
          <w:trHeight w:val="211"/>
        </w:trPr>
        <w:tc>
          <w:tcPr>
            <w:tcW w:w="13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60" w:type="dxa"/>
            <w:vAlign w:val="bottom"/>
            <w:tcBorders>
              <w:bottom w:val="single" w:sz="8" w:color="auto"/>
            </w:tcBorders>
          </w:tcPr>
          <w:p>
            <w:pPr>
              <w:jc w:val="center"/>
              <w:spacing w:after="0" w:line="212" w:lineRule="exact"/>
              <w:rPr>
                <w:sz w:val="20"/>
                <w:szCs w:val="20"/>
                <w:color w:val="auto"/>
              </w:rPr>
            </w:pPr>
            <w:r>
              <w:rPr>
                <w:rFonts w:ascii="Arial" w:cs="Arial" w:eastAsia="Arial" w:hAnsi="Arial"/>
                <w:sz w:val="19"/>
                <w:szCs w:val="19"/>
                <w:b w:val="1"/>
                <w:bCs w:val="1"/>
                <w:color w:val="auto"/>
              </w:rPr>
              <w:t>PART I</w:t>
            </w:r>
          </w:p>
        </w:tc>
        <w:tc>
          <w:tcPr>
            <w:tcW w:w="3640" w:type="dxa"/>
            <w:vAlign w:val="bottom"/>
          </w:tcPr>
          <w:p>
            <w:pPr>
              <w:spacing w:after="0"/>
              <w:rPr>
                <w:sz w:val="18"/>
                <w:szCs w:val="18"/>
                <w:color w:val="auto"/>
              </w:rPr>
            </w:pPr>
          </w:p>
        </w:tc>
        <w:tc>
          <w:tcPr>
            <w:tcW w:w="820" w:type="dxa"/>
            <w:vAlign w:val="bottom"/>
          </w:tcPr>
          <w:p>
            <w:pPr>
              <w:jc w:val="right"/>
              <w:spacing w:after="0" w:line="212" w:lineRule="exact"/>
              <w:rPr>
                <w:sz w:val="20"/>
                <w:szCs w:val="20"/>
                <w:color w:val="auto"/>
              </w:rPr>
            </w:pPr>
            <w:r>
              <w:rPr>
                <w:rFonts w:ascii="Arial" w:cs="Arial" w:eastAsia="Arial" w:hAnsi="Arial"/>
                <w:sz w:val="19"/>
                <w:szCs w:val="19"/>
                <w:color w:val="auto"/>
              </w:rPr>
              <w:t>5</w:t>
            </w:r>
          </w:p>
        </w:tc>
      </w:tr>
      <w:tr>
        <w:trPr>
          <w:trHeight w:val="595"/>
        </w:trPr>
        <w:tc>
          <w:tcPr>
            <w:tcW w:w="1360" w:type="dxa"/>
            <w:vAlign w:val="bottom"/>
          </w:tcPr>
          <w:p>
            <w:pPr>
              <w:spacing w:after="0"/>
              <w:rPr>
                <w:sz w:val="20"/>
                <w:szCs w:val="20"/>
                <w:color w:val="auto"/>
              </w:rPr>
            </w:pPr>
            <w:r>
              <w:rPr>
                <w:rFonts w:ascii="Arial" w:cs="Arial" w:eastAsia="Arial" w:hAnsi="Arial"/>
                <w:sz w:val="19"/>
                <w:szCs w:val="19"/>
                <w:color w:val="auto"/>
              </w:rPr>
              <w:t>Items 1 and 2.</w:t>
            </w: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rPr>
              <w:t>Business and Properties</w:t>
            </w:r>
          </w:p>
        </w:tc>
        <w:tc>
          <w:tcPr>
            <w:tcW w:w="82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92"/>
        </w:trPr>
        <w:tc>
          <w:tcPr>
            <w:tcW w:w="1360" w:type="dxa"/>
            <w:vAlign w:val="bottom"/>
          </w:tcPr>
          <w:p>
            <w:pPr>
              <w:spacing w:after="0"/>
              <w:rPr>
                <w:sz w:val="20"/>
                <w:szCs w:val="20"/>
                <w:color w:val="auto"/>
              </w:rPr>
            </w:pPr>
            <w:r>
              <w:rPr>
                <w:rFonts w:ascii="Arial" w:cs="Arial" w:eastAsia="Arial" w:hAnsi="Arial"/>
                <w:sz w:val="19"/>
                <w:szCs w:val="19"/>
                <w:color w:val="auto"/>
              </w:rPr>
              <w:t>Item 1A.</w:t>
            </w: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rPr>
              <w:t>Risk Factors</w:t>
            </w:r>
          </w:p>
        </w:tc>
        <w:tc>
          <w:tcPr>
            <w:tcW w:w="820" w:type="dxa"/>
            <w:vAlign w:val="bottom"/>
          </w:tcPr>
          <w:p>
            <w:pPr>
              <w:jc w:val="right"/>
              <w:spacing w:after="0"/>
              <w:rPr>
                <w:sz w:val="20"/>
                <w:szCs w:val="20"/>
                <w:color w:val="auto"/>
              </w:rPr>
            </w:pPr>
            <w:r>
              <w:rPr>
                <w:rFonts w:ascii="Arial" w:cs="Arial" w:eastAsia="Arial" w:hAnsi="Arial"/>
                <w:sz w:val="19"/>
                <w:szCs w:val="19"/>
                <w:color w:val="auto"/>
              </w:rPr>
              <w:t>38</w:t>
            </w:r>
          </w:p>
        </w:tc>
      </w:tr>
      <w:tr>
        <w:trPr>
          <w:trHeight w:val="292"/>
        </w:trPr>
        <w:tc>
          <w:tcPr>
            <w:tcW w:w="1360" w:type="dxa"/>
            <w:vAlign w:val="bottom"/>
          </w:tcPr>
          <w:p>
            <w:pPr>
              <w:spacing w:after="0"/>
              <w:rPr>
                <w:sz w:val="20"/>
                <w:szCs w:val="20"/>
                <w:color w:val="auto"/>
              </w:rPr>
            </w:pPr>
            <w:r>
              <w:rPr>
                <w:rFonts w:ascii="Arial" w:cs="Arial" w:eastAsia="Arial" w:hAnsi="Arial"/>
                <w:sz w:val="19"/>
                <w:szCs w:val="19"/>
                <w:color w:val="auto"/>
              </w:rPr>
              <w:t>Item 1B.</w:t>
            </w: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rPr>
              <w:t>Unresolved Staff Comments</w:t>
            </w:r>
          </w:p>
        </w:tc>
        <w:tc>
          <w:tcPr>
            <w:tcW w:w="820" w:type="dxa"/>
            <w:vAlign w:val="bottom"/>
          </w:tcPr>
          <w:p>
            <w:pPr>
              <w:jc w:val="right"/>
              <w:spacing w:after="0"/>
              <w:rPr>
                <w:sz w:val="20"/>
                <w:szCs w:val="20"/>
                <w:color w:val="auto"/>
              </w:rPr>
            </w:pPr>
            <w:r>
              <w:rPr>
                <w:rFonts w:ascii="Arial" w:cs="Arial" w:eastAsia="Arial" w:hAnsi="Arial"/>
                <w:sz w:val="19"/>
                <w:szCs w:val="19"/>
                <w:color w:val="auto"/>
              </w:rPr>
              <w:t>67</w:t>
            </w:r>
          </w:p>
        </w:tc>
      </w:tr>
      <w:tr>
        <w:trPr>
          <w:trHeight w:val="292"/>
        </w:trPr>
        <w:tc>
          <w:tcPr>
            <w:tcW w:w="1360" w:type="dxa"/>
            <w:vAlign w:val="bottom"/>
          </w:tcPr>
          <w:p>
            <w:pPr>
              <w:spacing w:after="0"/>
              <w:rPr>
                <w:sz w:val="20"/>
                <w:szCs w:val="20"/>
                <w:color w:val="auto"/>
              </w:rPr>
            </w:pPr>
            <w:r>
              <w:rPr>
                <w:rFonts w:ascii="Arial" w:cs="Arial" w:eastAsia="Arial" w:hAnsi="Arial"/>
                <w:sz w:val="19"/>
                <w:szCs w:val="19"/>
                <w:color w:val="auto"/>
              </w:rPr>
              <w:t>Item 1C.</w:t>
            </w: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rPr>
              <w:t>Cybersecurity</w:t>
            </w:r>
          </w:p>
        </w:tc>
        <w:tc>
          <w:tcPr>
            <w:tcW w:w="820" w:type="dxa"/>
            <w:vAlign w:val="bottom"/>
          </w:tcPr>
          <w:p>
            <w:pPr>
              <w:jc w:val="right"/>
              <w:spacing w:after="0"/>
              <w:rPr>
                <w:sz w:val="20"/>
                <w:szCs w:val="20"/>
                <w:color w:val="auto"/>
              </w:rPr>
            </w:pPr>
            <w:r>
              <w:rPr>
                <w:rFonts w:ascii="Arial" w:cs="Arial" w:eastAsia="Arial" w:hAnsi="Arial"/>
                <w:sz w:val="19"/>
                <w:szCs w:val="19"/>
                <w:color w:val="auto"/>
              </w:rPr>
              <w:t>67</w:t>
            </w:r>
          </w:p>
        </w:tc>
      </w:tr>
      <w:tr>
        <w:trPr>
          <w:trHeight w:val="292"/>
        </w:trPr>
        <w:tc>
          <w:tcPr>
            <w:tcW w:w="1360" w:type="dxa"/>
            <w:vAlign w:val="bottom"/>
          </w:tcPr>
          <w:p>
            <w:pPr>
              <w:spacing w:after="0"/>
              <w:rPr>
                <w:sz w:val="20"/>
                <w:szCs w:val="20"/>
                <w:color w:val="auto"/>
              </w:rPr>
            </w:pPr>
            <w:r>
              <w:rPr>
                <w:rFonts w:ascii="Arial" w:cs="Arial" w:eastAsia="Arial" w:hAnsi="Arial"/>
                <w:sz w:val="19"/>
                <w:szCs w:val="19"/>
                <w:color w:val="auto"/>
              </w:rPr>
              <w:t>Item 3.</w:t>
            </w: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rPr>
              <w:t>Legal Proceedings</w:t>
            </w:r>
          </w:p>
        </w:tc>
        <w:tc>
          <w:tcPr>
            <w:tcW w:w="820" w:type="dxa"/>
            <w:vAlign w:val="bottom"/>
          </w:tcPr>
          <w:p>
            <w:pPr>
              <w:jc w:val="right"/>
              <w:spacing w:after="0"/>
              <w:rPr>
                <w:sz w:val="20"/>
                <w:szCs w:val="20"/>
                <w:color w:val="auto"/>
              </w:rPr>
            </w:pPr>
            <w:r>
              <w:rPr>
                <w:rFonts w:ascii="Arial" w:cs="Arial" w:eastAsia="Arial" w:hAnsi="Arial"/>
                <w:sz w:val="19"/>
                <w:szCs w:val="19"/>
                <w:color w:val="auto"/>
              </w:rPr>
              <w:t>68</w:t>
            </w:r>
          </w:p>
        </w:tc>
      </w:tr>
      <w:tr>
        <w:trPr>
          <w:trHeight w:val="292"/>
        </w:trPr>
        <w:tc>
          <w:tcPr>
            <w:tcW w:w="1360" w:type="dxa"/>
            <w:vAlign w:val="bottom"/>
          </w:tcPr>
          <w:p>
            <w:pPr>
              <w:spacing w:after="0"/>
              <w:rPr>
                <w:sz w:val="20"/>
                <w:szCs w:val="20"/>
                <w:color w:val="auto"/>
              </w:rPr>
            </w:pPr>
            <w:r>
              <w:rPr>
                <w:rFonts w:ascii="Arial" w:cs="Arial" w:eastAsia="Arial" w:hAnsi="Arial"/>
                <w:sz w:val="19"/>
                <w:szCs w:val="19"/>
                <w:color w:val="auto"/>
              </w:rPr>
              <w:t>Item 4.</w:t>
            </w: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rPr>
              <w:t>Mine Safety Disclosures</w:t>
            </w:r>
          </w:p>
        </w:tc>
        <w:tc>
          <w:tcPr>
            <w:tcW w:w="820" w:type="dxa"/>
            <w:vAlign w:val="bottom"/>
          </w:tcPr>
          <w:p>
            <w:pPr>
              <w:jc w:val="right"/>
              <w:spacing w:after="0"/>
              <w:rPr>
                <w:sz w:val="20"/>
                <w:szCs w:val="20"/>
                <w:color w:val="auto"/>
              </w:rPr>
            </w:pPr>
            <w:r>
              <w:rPr>
                <w:rFonts w:ascii="Arial" w:cs="Arial" w:eastAsia="Arial" w:hAnsi="Arial"/>
                <w:sz w:val="19"/>
                <w:szCs w:val="19"/>
                <w:color w:val="auto"/>
              </w:rPr>
              <w:t>68</w:t>
            </w:r>
          </w:p>
        </w:tc>
      </w:tr>
      <w:tr>
        <w:trPr>
          <w:trHeight w:val="570"/>
        </w:trPr>
        <w:tc>
          <w:tcPr>
            <w:tcW w:w="1360" w:type="dxa"/>
            <w:vAlign w:val="bottom"/>
          </w:tcPr>
          <w:p>
            <w:pPr>
              <w:spacing w:after="0"/>
              <w:rPr>
                <w:sz w:val="24"/>
                <w:szCs w:val="24"/>
                <w:color w:val="auto"/>
              </w:rPr>
            </w:pPr>
          </w:p>
        </w:tc>
        <w:tc>
          <w:tcPr>
            <w:tcW w:w="7780" w:type="dxa"/>
            <w:vAlign w:val="bottom"/>
            <w:gridSpan w:val="3"/>
          </w:tcPr>
          <w:p>
            <w:pPr>
              <w:jc w:val="center"/>
              <w:ind w:right="160"/>
              <w:spacing w:after="0"/>
              <w:rPr>
                <w:sz w:val="20"/>
                <w:szCs w:val="20"/>
                <w:color w:val="auto"/>
              </w:rPr>
            </w:pPr>
            <w:r>
              <w:rPr>
                <w:rFonts w:ascii="Arial" w:cs="Arial" w:eastAsia="Arial" w:hAnsi="Arial"/>
                <w:sz w:val="19"/>
                <w:szCs w:val="19"/>
                <w:b w:val="1"/>
                <w:bCs w:val="1"/>
                <w:color w:val="auto"/>
              </w:rPr>
              <w:t>PART II</w:t>
            </w:r>
          </w:p>
        </w:tc>
        <w:tc>
          <w:tcPr>
            <w:tcW w:w="820" w:type="dxa"/>
            <w:vAlign w:val="bottom"/>
          </w:tcPr>
          <w:p>
            <w:pPr>
              <w:jc w:val="right"/>
              <w:spacing w:after="0"/>
              <w:rPr>
                <w:sz w:val="20"/>
                <w:szCs w:val="20"/>
                <w:color w:val="auto"/>
              </w:rPr>
            </w:pPr>
            <w:r>
              <w:rPr>
                <w:rFonts w:ascii="Arial" w:cs="Arial" w:eastAsia="Arial" w:hAnsi="Arial"/>
                <w:sz w:val="19"/>
                <w:szCs w:val="19"/>
                <w:color w:val="auto"/>
              </w:rPr>
              <w:t>69</w:t>
            </w:r>
          </w:p>
        </w:tc>
      </w:tr>
      <w:tr>
        <w:trPr>
          <w:trHeight w:val="702"/>
        </w:trPr>
        <w:tc>
          <w:tcPr>
            <w:tcW w:w="1360" w:type="dxa"/>
            <w:vAlign w:val="bottom"/>
          </w:tcPr>
          <w:p>
            <w:pPr>
              <w:spacing w:after="0"/>
              <w:rPr>
                <w:sz w:val="20"/>
                <w:szCs w:val="20"/>
                <w:color w:val="auto"/>
              </w:rPr>
            </w:pPr>
            <w:r>
              <w:rPr>
                <w:rFonts w:ascii="Arial" w:cs="Arial" w:eastAsia="Arial" w:hAnsi="Arial"/>
                <w:sz w:val="19"/>
                <w:szCs w:val="19"/>
                <w:color w:val="auto"/>
              </w:rPr>
              <w:t>Item 5.</w:t>
            </w: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w w:val="96"/>
              </w:rPr>
              <w:t>Market for Registrant’s Shares, Related Shareholder Matters and Issuer Purchases of Equity</w:t>
            </w:r>
          </w:p>
        </w:tc>
        <w:tc>
          <w:tcPr>
            <w:tcW w:w="820" w:type="dxa"/>
            <w:vAlign w:val="bottom"/>
          </w:tcPr>
          <w:p>
            <w:pPr>
              <w:jc w:val="right"/>
              <w:spacing w:after="0"/>
              <w:rPr>
                <w:sz w:val="20"/>
                <w:szCs w:val="20"/>
                <w:color w:val="auto"/>
              </w:rPr>
            </w:pPr>
            <w:r>
              <w:rPr>
                <w:rFonts w:ascii="Arial" w:cs="Arial" w:eastAsia="Arial" w:hAnsi="Arial"/>
                <w:sz w:val="19"/>
                <w:szCs w:val="19"/>
                <w:color w:val="auto"/>
              </w:rPr>
              <w:t>69</w:t>
            </w:r>
          </w:p>
        </w:tc>
      </w:tr>
      <w:tr>
        <w:trPr>
          <w:trHeight w:val="254"/>
        </w:trPr>
        <w:tc>
          <w:tcPr>
            <w:tcW w:w="1360" w:type="dxa"/>
            <w:vAlign w:val="bottom"/>
          </w:tcPr>
          <w:p>
            <w:pPr>
              <w:spacing w:after="0"/>
              <w:rPr>
                <w:sz w:val="22"/>
                <w:szCs w:val="22"/>
                <w:color w:val="auto"/>
              </w:rPr>
            </w:pP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rPr>
              <w:t>Securities</w:t>
            </w:r>
          </w:p>
        </w:tc>
        <w:tc>
          <w:tcPr>
            <w:tcW w:w="820" w:type="dxa"/>
            <w:vAlign w:val="bottom"/>
          </w:tcPr>
          <w:p>
            <w:pPr>
              <w:spacing w:after="0"/>
              <w:rPr>
                <w:sz w:val="22"/>
                <w:szCs w:val="22"/>
                <w:color w:val="auto"/>
              </w:rPr>
            </w:pPr>
          </w:p>
        </w:tc>
      </w:tr>
      <w:tr>
        <w:trPr>
          <w:trHeight w:val="287"/>
        </w:trPr>
        <w:tc>
          <w:tcPr>
            <w:tcW w:w="1360" w:type="dxa"/>
            <w:vAlign w:val="bottom"/>
          </w:tcPr>
          <w:p>
            <w:pPr>
              <w:spacing w:after="0"/>
              <w:rPr>
                <w:sz w:val="20"/>
                <w:szCs w:val="20"/>
                <w:color w:val="auto"/>
              </w:rPr>
            </w:pPr>
            <w:r>
              <w:rPr>
                <w:rFonts w:ascii="Arial" w:cs="Arial" w:eastAsia="Arial" w:hAnsi="Arial"/>
                <w:sz w:val="19"/>
                <w:szCs w:val="19"/>
                <w:color w:val="auto"/>
              </w:rPr>
              <w:t>Item 6.</w:t>
            </w: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rPr>
              <w:t>Reserved</w:t>
            </w:r>
          </w:p>
        </w:tc>
        <w:tc>
          <w:tcPr>
            <w:tcW w:w="820" w:type="dxa"/>
            <w:vAlign w:val="bottom"/>
          </w:tcPr>
          <w:p>
            <w:pPr>
              <w:jc w:val="right"/>
              <w:spacing w:after="0"/>
              <w:rPr>
                <w:sz w:val="20"/>
                <w:szCs w:val="20"/>
                <w:color w:val="auto"/>
              </w:rPr>
            </w:pPr>
            <w:r>
              <w:rPr>
                <w:rFonts w:ascii="Arial" w:cs="Arial" w:eastAsia="Arial" w:hAnsi="Arial"/>
                <w:sz w:val="19"/>
                <w:szCs w:val="19"/>
                <w:color w:val="auto"/>
              </w:rPr>
              <w:t>70</w:t>
            </w:r>
          </w:p>
        </w:tc>
      </w:tr>
      <w:tr>
        <w:trPr>
          <w:trHeight w:val="292"/>
        </w:trPr>
        <w:tc>
          <w:tcPr>
            <w:tcW w:w="1360" w:type="dxa"/>
            <w:vAlign w:val="bottom"/>
          </w:tcPr>
          <w:p>
            <w:pPr>
              <w:spacing w:after="0"/>
              <w:rPr>
                <w:sz w:val="20"/>
                <w:szCs w:val="20"/>
                <w:color w:val="auto"/>
              </w:rPr>
            </w:pPr>
            <w:r>
              <w:rPr>
                <w:rFonts w:ascii="Arial" w:cs="Arial" w:eastAsia="Arial" w:hAnsi="Arial"/>
                <w:sz w:val="19"/>
                <w:szCs w:val="19"/>
                <w:color w:val="auto"/>
              </w:rPr>
              <w:t>Item 7.</w:t>
            </w: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rPr>
              <w:t>Management’s Discussion and Analysis of Financial Condition and Results of Operations</w:t>
            </w:r>
          </w:p>
        </w:tc>
        <w:tc>
          <w:tcPr>
            <w:tcW w:w="820" w:type="dxa"/>
            <w:vAlign w:val="bottom"/>
          </w:tcPr>
          <w:p>
            <w:pPr>
              <w:jc w:val="right"/>
              <w:spacing w:after="0"/>
              <w:rPr>
                <w:sz w:val="20"/>
                <w:szCs w:val="20"/>
                <w:color w:val="auto"/>
              </w:rPr>
            </w:pPr>
            <w:r>
              <w:rPr>
                <w:rFonts w:ascii="Arial" w:cs="Arial" w:eastAsia="Arial" w:hAnsi="Arial"/>
                <w:sz w:val="19"/>
                <w:szCs w:val="19"/>
                <w:color w:val="auto"/>
              </w:rPr>
              <w:t>71</w:t>
            </w:r>
          </w:p>
        </w:tc>
      </w:tr>
      <w:tr>
        <w:trPr>
          <w:trHeight w:val="292"/>
        </w:trPr>
        <w:tc>
          <w:tcPr>
            <w:tcW w:w="1360" w:type="dxa"/>
            <w:vAlign w:val="bottom"/>
          </w:tcPr>
          <w:p>
            <w:pPr>
              <w:spacing w:after="0"/>
              <w:rPr>
                <w:sz w:val="20"/>
                <w:szCs w:val="20"/>
                <w:color w:val="auto"/>
              </w:rPr>
            </w:pPr>
            <w:r>
              <w:rPr>
                <w:rFonts w:ascii="Arial" w:cs="Arial" w:eastAsia="Arial" w:hAnsi="Arial"/>
                <w:sz w:val="19"/>
                <w:szCs w:val="19"/>
                <w:color w:val="auto"/>
              </w:rPr>
              <w:t>Item 7A.</w:t>
            </w: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rPr>
              <w:t>Quantitative and Qualitative Disclosures About Market Risk</w:t>
            </w:r>
          </w:p>
        </w:tc>
        <w:tc>
          <w:tcPr>
            <w:tcW w:w="820" w:type="dxa"/>
            <w:vAlign w:val="bottom"/>
          </w:tcPr>
          <w:p>
            <w:pPr>
              <w:jc w:val="right"/>
              <w:spacing w:after="0"/>
              <w:rPr>
                <w:sz w:val="20"/>
                <w:szCs w:val="20"/>
                <w:color w:val="auto"/>
              </w:rPr>
            </w:pPr>
            <w:r>
              <w:rPr>
                <w:rFonts w:ascii="Arial" w:cs="Arial" w:eastAsia="Arial" w:hAnsi="Arial"/>
                <w:sz w:val="19"/>
                <w:szCs w:val="19"/>
                <w:color w:val="auto"/>
              </w:rPr>
              <w:t>92</w:t>
            </w:r>
          </w:p>
        </w:tc>
      </w:tr>
      <w:tr>
        <w:trPr>
          <w:trHeight w:val="292"/>
        </w:trPr>
        <w:tc>
          <w:tcPr>
            <w:tcW w:w="1360" w:type="dxa"/>
            <w:vAlign w:val="bottom"/>
          </w:tcPr>
          <w:p>
            <w:pPr>
              <w:spacing w:after="0"/>
              <w:rPr>
                <w:sz w:val="20"/>
                <w:szCs w:val="20"/>
                <w:color w:val="auto"/>
              </w:rPr>
            </w:pPr>
            <w:r>
              <w:rPr>
                <w:rFonts w:ascii="Arial" w:cs="Arial" w:eastAsia="Arial" w:hAnsi="Arial"/>
                <w:sz w:val="19"/>
                <w:szCs w:val="19"/>
                <w:color w:val="auto"/>
              </w:rPr>
              <w:t>Item 8.</w:t>
            </w: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rPr>
              <w:t>Financial Statements and Supplementary Data</w:t>
            </w:r>
          </w:p>
        </w:tc>
        <w:tc>
          <w:tcPr>
            <w:tcW w:w="820" w:type="dxa"/>
            <w:vAlign w:val="bottom"/>
          </w:tcPr>
          <w:p>
            <w:pPr>
              <w:jc w:val="right"/>
              <w:spacing w:after="0"/>
              <w:rPr>
                <w:sz w:val="20"/>
                <w:szCs w:val="20"/>
                <w:color w:val="auto"/>
              </w:rPr>
            </w:pPr>
            <w:r>
              <w:rPr>
                <w:rFonts w:ascii="Arial" w:cs="Arial" w:eastAsia="Arial" w:hAnsi="Arial"/>
                <w:sz w:val="19"/>
                <w:szCs w:val="19"/>
                <w:color w:val="auto"/>
              </w:rPr>
              <w:t>93</w:t>
            </w:r>
          </w:p>
        </w:tc>
      </w:tr>
      <w:tr>
        <w:trPr>
          <w:trHeight w:val="292"/>
        </w:trPr>
        <w:tc>
          <w:tcPr>
            <w:tcW w:w="1360" w:type="dxa"/>
            <w:vAlign w:val="bottom"/>
          </w:tcPr>
          <w:p>
            <w:pPr>
              <w:spacing w:after="0"/>
              <w:rPr>
                <w:sz w:val="20"/>
                <w:szCs w:val="20"/>
                <w:color w:val="auto"/>
              </w:rPr>
            </w:pPr>
            <w:r>
              <w:rPr>
                <w:rFonts w:ascii="Arial" w:cs="Arial" w:eastAsia="Arial" w:hAnsi="Arial"/>
                <w:sz w:val="19"/>
                <w:szCs w:val="19"/>
                <w:color w:val="auto"/>
              </w:rPr>
              <w:t>Item 9.</w:t>
            </w: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w w:val="99"/>
              </w:rPr>
              <w:t>Changes in and Disagreements With Accountants on Accounting and Financial Disclosure</w:t>
            </w:r>
          </w:p>
        </w:tc>
        <w:tc>
          <w:tcPr>
            <w:tcW w:w="820" w:type="dxa"/>
            <w:vAlign w:val="bottom"/>
          </w:tcPr>
          <w:p>
            <w:pPr>
              <w:jc w:val="right"/>
              <w:spacing w:after="0"/>
              <w:rPr>
                <w:sz w:val="20"/>
                <w:szCs w:val="20"/>
                <w:color w:val="auto"/>
              </w:rPr>
            </w:pPr>
            <w:r>
              <w:rPr>
                <w:rFonts w:ascii="Arial" w:cs="Arial" w:eastAsia="Arial" w:hAnsi="Arial"/>
                <w:sz w:val="19"/>
                <w:szCs w:val="19"/>
                <w:color w:val="auto"/>
              </w:rPr>
              <w:t>93</w:t>
            </w:r>
          </w:p>
        </w:tc>
      </w:tr>
      <w:tr>
        <w:trPr>
          <w:trHeight w:val="292"/>
        </w:trPr>
        <w:tc>
          <w:tcPr>
            <w:tcW w:w="1360" w:type="dxa"/>
            <w:vAlign w:val="bottom"/>
          </w:tcPr>
          <w:p>
            <w:pPr>
              <w:spacing w:after="0"/>
              <w:rPr>
                <w:sz w:val="20"/>
                <w:szCs w:val="20"/>
                <w:color w:val="auto"/>
              </w:rPr>
            </w:pPr>
            <w:r>
              <w:rPr>
                <w:rFonts w:ascii="Arial" w:cs="Arial" w:eastAsia="Arial" w:hAnsi="Arial"/>
                <w:sz w:val="19"/>
                <w:szCs w:val="19"/>
                <w:color w:val="auto"/>
              </w:rPr>
              <w:t>Item 9A.</w:t>
            </w: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rPr>
              <w:t>Controls and Procedures</w:t>
            </w:r>
          </w:p>
        </w:tc>
        <w:tc>
          <w:tcPr>
            <w:tcW w:w="820" w:type="dxa"/>
            <w:vAlign w:val="bottom"/>
          </w:tcPr>
          <w:p>
            <w:pPr>
              <w:jc w:val="right"/>
              <w:spacing w:after="0"/>
              <w:rPr>
                <w:sz w:val="20"/>
                <w:szCs w:val="20"/>
                <w:color w:val="auto"/>
              </w:rPr>
            </w:pPr>
            <w:r>
              <w:rPr>
                <w:rFonts w:ascii="Arial" w:cs="Arial" w:eastAsia="Arial" w:hAnsi="Arial"/>
                <w:sz w:val="19"/>
                <w:szCs w:val="19"/>
                <w:color w:val="auto"/>
              </w:rPr>
              <w:t>93</w:t>
            </w:r>
          </w:p>
        </w:tc>
      </w:tr>
      <w:tr>
        <w:trPr>
          <w:trHeight w:val="292"/>
        </w:trPr>
        <w:tc>
          <w:tcPr>
            <w:tcW w:w="1360" w:type="dxa"/>
            <w:vAlign w:val="bottom"/>
          </w:tcPr>
          <w:p>
            <w:pPr>
              <w:spacing w:after="0"/>
              <w:rPr>
                <w:sz w:val="20"/>
                <w:szCs w:val="20"/>
                <w:color w:val="auto"/>
              </w:rPr>
            </w:pPr>
            <w:r>
              <w:rPr>
                <w:rFonts w:ascii="Arial" w:cs="Arial" w:eastAsia="Arial" w:hAnsi="Arial"/>
                <w:sz w:val="19"/>
                <w:szCs w:val="19"/>
                <w:color w:val="auto"/>
              </w:rPr>
              <w:t>Item 9B.</w:t>
            </w: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rPr>
              <w:t>Other Information</w:t>
            </w:r>
          </w:p>
        </w:tc>
        <w:tc>
          <w:tcPr>
            <w:tcW w:w="820" w:type="dxa"/>
            <w:vAlign w:val="bottom"/>
          </w:tcPr>
          <w:p>
            <w:pPr>
              <w:jc w:val="right"/>
              <w:spacing w:after="0"/>
              <w:rPr>
                <w:sz w:val="20"/>
                <w:szCs w:val="20"/>
                <w:color w:val="auto"/>
              </w:rPr>
            </w:pPr>
            <w:r>
              <w:rPr>
                <w:rFonts w:ascii="Arial" w:cs="Arial" w:eastAsia="Arial" w:hAnsi="Arial"/>
                <w:sz w:val="19"/>
                <w:szCs w:val="19"/>
                <w:color w:val="auto"/>
              </w:rPr>
              <w:t>94</w:t>
            </w:r>
          </w:p>
        </w:tc>
      </w:tr>
      <w:tr>
        <w:trPr>
          <w:trHeight w:val="292"/>
        </w:trPr>
        <w:tc>
          <w:tcPr>
            <w:tcW w:w="1360" w:type="dxa"/>
            <w:vAlign w:val="bottom"/>
          </w:tcPr>
          <w:p>
            <w:pPr>
              <w:spacing w:after="0"/>
              <w:rPr>
                <w:sz w:val="20"/>
                <w:szCs w:val="20"/>
                <w:color w:val="auto"/>
              </w:rPr>
            </w:pPr>
            <w:r>
              <w:rPr>
                <w:rFonts w:ascii="Arial" w:cs="Arial" w:eastAsia="Arial" w:hAnsi="Arial"/>
                <w:sz w:val="19"/>
                <w:szCs w:val="19"/>
                <w:color w:val="auto"/>
              </w:rPr>
              <w:t>Item 9C.</w:t>
            </w: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rPr>
              <w:t>Disclosure Regarding Foreign Jurisdictions that Prevent Inspections</w:t>
            </w:r>
          </w:p>
        </w:tc>
        <w:tc>
          <w:tcPr>
            <w:tcW w:w="820" w:type="dxa"/>
            <w:vAlign w:val="bottom"/>
          </w:tcPr>
          <w:p>
            <w:pPr>
              <w:jc w:val="right"/>
              <w:spacing w:after="0"/>
              <w:rPr>
                <w:sz w:val="20"/>
                <w:szCs w:val="20"/>
                <w:color w:val="auto"/>
              </w:rPr>
            </w:pPr>
            <w:r>
              <w:rPr>
                <w:rFonts w:ascii="Arial" w:cs="Arial" w:eastAsia="Arial" w:hAnsi="Arial"/>
                <w:sz w:val="19"/>
                <w:szCs w:val="19"/>
                <w:color w:val="auto"/>
              </w:rPr>
              <w:t>94</w:t>
            </w:r>
          </w:p>
        </w:tc>
      </w:tr>
      <w:tr>
        <w:trPr>
          <w:trHeight w:val="556"/>
        </w:trPr>
        <w:tc>
          <w:tcPr>
            <w:tcW w:w="1360" w:type="dxa"/>
            <w:vAlign w:val="bottom"/>
          </w:tcPr>
          <w:p>
            <w:pPr>
              <w:spacing w:after="0"/>
              <w:rPr>
                <w:sz w:val="24"/>
                <w:szCs w:val="24"/>
                <w:color w:val="auto"/>
              </w:rPr>
            </w:pPr>
          </w:p>
        </w:tc>
        <w:tc>
          <w:tcPr>
            <w:tcW w:w="7780" w:type="dxa"/>
            <w:vAlign w:val="bottom"/>
            <w:gridSpan w:val="3"/>
          </w:tcPr>
          <w:p>
            <w:pPr>
              <w:jc w:val="center"/>
              <w:ind w:right="160"/>
              <w:spacing w:after="0"/>
              <w:rPr>
                <w:sz w:val="20"/>
                <w:szCs w:val="20"/>
                <w:color w:val="auto"/>
              </w:rPr>
            </w:pPr>
            <w:r>
              <w:rPr>
                <w:rFonts w:ascii="Arial" w:cs="Arial" w:eastAsia="Arial" w:hAnsi="Arial"/>
                <w:sz w:val="19"/>
                <w:szCs w:val="19"/>
                <w:b w:val="1"/>
                <w:bCs w:val="1"/>
                <w:color w:val="auto"/>
              </w:rPr>
              <w:t>PART III</w:t>
            </w:r>
          </w:p>
        </w:tc>
        <w:tc>
          <w:tcPr>
            <w:tcW w:w="820" w:type="dxa"/>
            <w:vAlign w:val="bottom"/>
          </w:tcPr>
          <w:p>
            <w:pPr>
              <w:jc w:val="right"/>
              <w:spacing w:after="0"/>
              <w:rPr>
                <w:sz w:val="20"/>
                <w:szCs w:val="20"/>
                <w:color w:val="auto"/>
              </w:rPr>
            </w:pPr>
            <w:r>
              <w:rPr>
                <w:rFonts w:ascii="Arial" w:cs="Arial" w:eastAsia="Arial" w:hAnsi="Arial"/>
                <w:sz w:val="19"/>
                <w:szCs w:val="19"/>
                <w:color w:val="auto"/>
              </w:rPr>
              <w:t>95</w:t>
            </w:r>
          </w:p>
        </w:tc>
      </w:tr>
      <w:tr>
        <w:trPr>
          <w:trHeight w:val="570"/>
        </w:trPr>
        <w:tc>
          <w:tcPr>
            <w:tcW w:w="1360" w:type="dxa"/>
            <w:vAlign w:val="bottom"/>
          </w:tcPr>
          <w:p>
            <w:pPr>
              <w:spacing w:after="0"/>
              <w:rPr>
                <w:sz w:val="20"/>
                <w:szCs w:val="20"/>
                <w:color w:val="auto"/>
              </w:rPr>
            </w:pPr>
            <w:r>
              <w:rPr>
                <w:rFonts w:ascii="Arial" w:cs="Arial" w:eastAsia="Arial" w:hAnsi="Arial"/>
                <w:sz w:val="19"/>
                <w:szCs w:val="19"/>
                <w:color w:val="auto"/>
              </w:rPr>
              <w:t>Item 10.</w:t>
            </w: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rPr>
              <w:t>Directors and Executive Officers of Our General Partner and Corporate Governance</w:t>
            </w:r>
          </w:p>
        </w:tc>
        <w:tc>
          <w:tcPr>
            <w:tcW w:w="820" w:type="dxa"/>
            <w:vAlign w:val="bottom"/>
          </w:tcPr>
          <w:p>
            <w:pPr>
              <w:jc w:val="right"/>
              <w:spacing w:after="0"/>
              <w:rPr>
                <w:sz w:val="20"/>
                <w:szCs w:val="20"/>
                <w:color w:val="auto"/>
              </w:rPr>
            </w:pPr>
            <w:r>
              <w:rPr>
                <w:rFonts w:ascii="Arial" w:cs="Arial" w:eastAsia="Arial" w:hAnsi="Arial"/>
                <w:sz w:val="19"/>
                <w:szCs w:val="19"/>
                <w:color w:val="auto"/>
              </w:rPr>
              <w:t>95</w:t>
            </w:r>
          </w:p>
        </w:tc>
      </w:tr>
      <w:tr>
        <w:trPr>
          <w:trHeight w:val="292"/>
        </w:trPr>
        <w:tc>
          <w:tcPr>
            <w:tcW w:w="1360" w:type="dxa"/>
            <w:vAlign w:val="bottom"/>
          </w:tcPr>
          <w:p>
            <w:pPr>
              <w:spacing w:after="0"/>
              <w:rPr>
                <w:sz w:val="20"/>
                <w:szCs w:val="20"/>
                <w:color w:val="auto"/>
              </w:rPr>
            </w:pPr>
            <w:r>
              <w:rPr>
                <w:rFonts w:ascii="Arial" w:cs="Arial" w:eastAsia="Arial" w:hAnsi="Arial"/>
                <w:sz w:val="19"/>
                <w:szCs w:val="19"/>
                <w:color w:val="auto"/>
              </w:rPr>
              <w:t>Item 11.</w:t>
            </w: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rPr>
              <w:t>Executive Compensation</w:t>
            </w:r>
          </w:p>
        </w:tc>
        <w:tc>
          <w:tcPr>
            <w:tcW w:w="820" w:type="dxa"/>
            <w:vAlign w:val="bottom"/>
          </w:tcPr>
          <w:p>
            <w:pPr>
              <w:jc w:val="right"/>
              <w:spacing w:after="0"/>
              <w:rPr>
                <w:sz w:val="20"/>
                <w:szCs w:val="20"/>
                <w:color w:val="auto"/>
              </w:rPr>
            </w:pPr>
            <w:r>
              <w:rPr>
                <w:rFonts w:ascii="Arial" w:cs="Arial" w:eastAsia="Arial" w:hAnsi="Arial"/>
                <w:sz w:val="19"/>
                <w:szCs w:val="19"/>
                <w:color w:val="auto"/>
              </w:rPr>
              <w:t>95</w:t>
            </w:r>
          </w:p>
        </w:tc>
      </w:tr>
      <w:tr>
        <w:trPr>
          <w:trHeight w:val="234"/>
        </w:trPr>
        <w:tc>
          <w:tcPr>
            <w:tcW w:w="1360" w:type="dxa"/>
            <w:vAlign w:val="bottom"/>
          </w:tcPr>
          <w:p>
            <w:pPr>
              <w:spacing w:after="0"/>
              <w:rPr>
                <w:sz w:val="20"/>
                <w:szCs w:val="20"/>
                <w:color w:val="auto"/>
              </w:rPr>
            </w:pPr>
            <w:r>
              <w:rPr>
                <w:rFonts w:ascii="Arial" w:cs="Arial" w:eastAsia="Arial" w:hAnsi="Arial"/>
                <w:sz w:val="19"/>
                <w:szCs w:val="19"/>
                <w:color w:val="auto"/>
              </w:rPr>
              <w:t>Item 12.</w:t>
            </w: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w w:val="96"/>
              </w:rPr>
              <w:t>Security Ownership of Certain Beneficial Owners and Management and Related Shareholder</w:t>
            </w:r>
          </w:p>
        </w:tc>
        <w:tc>
          <w:tcPr>
            <w:tcW w:w="820" w:type="dxa"/>
            <w:vAlign w:val="bottom"/>
          </w:tcPr>
          <w:p>
            <w:pPr>
              <w:jc w:val="right"/>
              <w:spacing w:after="0"/>
              <w:rPr>
                <w:sz w:val="20"/>
                <w:szCs w:val="20"/>
                <w:color w:val="auto"/>
              </w:rPr>
            </w:pPr>
            <w:r>
              <w:rPr>
                <w:rFonts w:ascii="Arial" w:cs="Arial" w:eastAsia="Arial" w:hAnsi="Arial"/>
                <w:sz w:val="19"/>
                <w:szCs w:val="19"/>
                <w:color w:val="auto"/>
              </w:rPr>
              <w:t>95</w:t>
            </w:r>
          </w:p>
        </w:tc>
      </w:tr>
      <w:tr>
        <w:trPr>
          <w:trHeight w:val="254"/>
        </w:trPr>
        <w:tc>
          <w:tcPr>
            <w:tcW w:w="1360" w:type="dxa"/>
            <w:vAlign w:val="bottom"/>
          </w:tcPr>
          <w:p>
            <w:pPr>
              <w:spacing w:after="0"/>
              <w:rPr>
                <w:sz w:val="22"/>
                <w:szCs w:val="22"/>
                <w:color w:val="auto"/>
              </w:rPr>
            </w:pP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rPr>
              <w:t>Matters</w:t>
            </w:r>
          </w:p>
        </w:tc>
        <w:tc>
          <w:tcPr>
            <w:tcW w:w="820" w:type="dxa"/>
            <w:vAlign w:val="bottom"/>
          </w:tcPr>
          <w:p>
            <w:pPr>
              <w:spacing w:after="0"/>
              <w:rPr>
                <w:sz w:val="22"/>
                <w:szCs w:val="22"/>
                <w:color w:val="auto"/>
              </w:rPr>
            </w:pPr>
          </w:p>
        </w:tc>
      </w:tr>
      <w:tr>
        <w:trPr>
          <w:trHeight w:val="287"/>
        </w:trPr>
        <w:tc>
          <w:tcPr>
            <w:tcW w:w="1360" w:type="dxa"/>
            <w:vAlign w:val="bottom"/>
          </w:tcPr>
          <w:p>
            <w:pPr>
              <w:spacing w:after="0"/>
              <w:rPr>
                <w:sz w:val="20"/>
                <w:szCs w:val="20"/>
                <w:color w:val="auto"/>
              </w:rPr>
            </w:pPr>
            <w:r>
              <w:rPr>
                <w:rFonts w:ascii="Arial" w:cs="Arial" w:eastAsia="Arial" w:hAnsi="Arial"/>
                <w:sz w:val="19"/>
                <w:szCs w:val="19"/>
                <w:color w:val="auto"/>
              </w:rPr>
              <w:t>Item 13.</w:t>
            </w: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rPr>
              <w:t>Certain Relationships and Related Transactions, and Director Independence</w:t>
            </w:r>
          </w:p>
        </w:tc>
        <w:tc>
          <w:tcPr>
            <w:tcW w:w="820" w:type="dxa"/>
            <w:vAlign w:val="bottom"/>
          </w:tcPr>
          <w:p>
            <w:pPr>
              <w:jc w:val="right"/>
              <w:spacing w:after="0"/>
              <w:rPr>
                <w:sz w:val="20"/>
                <w:szCs w:val="20"/>
                <w:color w:val="auto"/>
              </w:rPr>
            </w:pPr>
            <w:r>
              <w:rPr>
                <w:rFonts w:ascii="Arial" w:cs="Arial" w:eastAsia="Arial" w:hAnsi="Arial"/>
                <w:sz w:val="19"/>
                <w:szCs w:val="19"/>
                <w:color w:val="auto"/>
              </w:rPr>
              <w:t>96</w:t>
            </w:r>
          </w:p>
        </w:tc>
      </w:tr>
      <w:tr>
        <w:trPr>
          <w:trHeight w:val="292"/>
        </w:trPr>
        <w:tc>
          <w:tcPr>
            <w:tcW w:w="1360" w:type="dxa"/>
            <w:vAlign w:val="bottom"/>
          </w:tcPr>
          <w:p>
            <w:pPr>
              <w:spacing w:after="0"/>
              <w:rPr>
                <w:sz w:val="20"/>
                <w:szCs w:val="20"/>
                <w:color w:val="auto"/>
              </w:rPr>
            </w:pPr>
            <w:r>
              <w:rPr>
                <w:rFonts w:ascii="Arial" w:cs="Arial" w:eastAsia="Arial" w:hAnsi="Arial"/>
                <w:sz w:val="19"/>
                <w:szCs w:val="19"/>
                <w:color w:val="auto"/>
              </w:rPr>
              <w:t>Item 14.</w:t>
            </w: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rPr>
              <w:t>Principal Accountant Fees and Services</w:t>
            </w:r>
          </w:p>
        </w:tc>
        <w:tc>
          <w:tcPr>
            <w:tcW w:w="820" w:type="dxa"/>
            <w:vAlign w:val="bottom"/>
          </w:tcPr>
          <w:p>
            <w:pPr>
              <w:jc w:val="right"/>
              <w:spacing w:after="0"/>
              <w:rPr>
                <w:sz w:val="20"/>
                <w:szCs w:val="20"/>
                <w:color w:val="auto"/>
              </w:rPr>
            </w:pPr>
            <w:r>
              <w:rPr>
                <w:rFonts w:ascii="Arial" w:cs="Arial" w:eastAsia="Arial" w:hAnsi="Arial"/>
                <w:sz w:val="19"/>
                <w:szCs w:val="19"/>
                <w:color w:val="auto"/>
              </w:rPr>
              <w:t>96</w:t>
            </w:r>
          </w:p>
        </w:tc>
      </w:tr>
      <w:tr>
        <w:trPr>
          <w:trHeight w:val="570"/>
        </w:trPr>
        <w:tc>
          <w:tcPr>
            <w:tcW w:w="1360" w:type="dxa"/>
            <w:vAlign w:val="bottom"/>
          </w:tcPr>
          <w:p>
            <w:pPr>
              <w:spacing w:after="0"/>
              <w:rPr>
                <w:sz w:val="24"/>
                <w:szCs w:val="24"/>
                <w:color w:val="auto"/>
              </w:rPr>
            </w:pPr>
          </w:p>
        </w:tc>
        <w:tc>
          <w:tcPr>
            <w:tcW w:w="7780" w:type="dxa"/>
            <w:vAlign w:val="bottom"/>
            <w:gridSpan w:val="3"/>
          </w:tcPr>
          <w:p>
            <w:pPr>
              <w:jc w:val="center"/>
              <w:ind w:right="160"/>
              <w:spacing w:after="0"/>
              <w:rPr>
                <w:sz w:val="20"/>
                <w:szCs w:val="20"/>
                <w:color w:val="auto"/>
              </w:rPr>
            </w:pPr>
            <w:r>
              <w:rPr>
                <w:rFonts w:ascii="Arial" w:cs="Arial" w:eastAsia="Arial" w:hAnsi="Arial"/>
                <w:sz w:val="19"/>
                <w:szCs w:val="19"/>
                <w:b w:val="1"/>
                <w:bCs w:val="1"/>
                <w:color w:val="auto"/>
              </w:rPr>
              <w:t>PART IV</w:t>
            </w:r>
          </w:p>
        </w:tc>
        <w:tc>
          <w:tcPr>
            <w:tcW w:w="820" w:type="dxa"/>
            <w:vAlign w:val="bottom"/>
          </w:tcPr>
          <w:p>
            <w:pPr>
              <w:jc w:val="right"/>
              <w:spacing w:after="0"/>
              <w:rPr>
                <w:sz w:val="20"/>
                <w:szCs w:val="20"/>
                <w:color w:val="auto"/>
              </w:rPr>
            </w:pPr>
            <w:r>
              <w:rPr>
                <w:rFonts w:ascii="Arial" w:cs="Arial" w:eastAsia="Arial" w:hAnsi="Arial"/>
                <w:sz w:val="19"/>
                <w:szCs w:val="19"/>
                <w:color w:val="auto"/>
              </w:rPr>
              <w:t>97</w:t>
            </w:r>
          </w:p>
        </w:tc>
      </w:tr>
      <w:tr>
        <w:trPr>
          <w:trHeight w:val="570"/>
        </w:trPr>
        <w:tc>
          <w:tcPr>
            <w:tcW w:w="1360" w:type="dxa"/>
            <w:vAlign w:val="bottom"/>
          </w:tcPr>
          <w:p>
            <w:pPr>
              <w:spacing w:after="0"/>
              <w:rPr>
                <w:sz w:val="20"/>
                <w:szCs w:val="20"/>
                <w:color w:val="auto"/>
              </w:rPr>
            </w:pPr>
            <w:r>
              <w:rPr>
                <w:rFonts w:ascii="Arial" w:cs="Arial" w:eastAsia="Arial" w:hAnsi="Arial"/>
                <w:sz w:val="19"/>
                <w:szCs w:val="19"/>
                <w:color w:val="auto"/>
              </w:rPr>
              <w:t>Item 15.</w:t>
            </w: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rPr>
              <w:t>Exhibits and Financial Statement Schedules</w:t>
            </w:r>
          </w:p>
        </w:tc>
        <w:tc>
          <w:tcPr>
            <w:tcW w:w="820" w:type="dxa"/>
            <w:vAlign w:val="bottom"/>
          </w:tcPr>
          <w:p>
            <w:pPr>
              <w:jc w:val="right"/>
              <w:spacing w:after="0"/>
              <w:rPr>
                <w:sz w:val="20"/>
                <w:szCs w:val="20"/>
                <w:color w:val="auto"/>
              </w:rPr>
            </w:pPr>
            <w:r>
              <w:rPr>
                <w:rFonts w:ascii="Arial" w:cs="Arial" w:eastAsia="Arial" w:hAnsi="Arial"/>
                <w:sz w:val="19"/>
                <w:szCs w:val="19"/>
                <w:color w:val="auto"/>
              </w:rPr>
              <w:t>97</w:t>
            </w:r>
          </w:p>
        </w:tc>
      </w:tr>
      <w:tr>
        <w:trPr>
          <w:trHeight w:val="292"/>
        </w:trPr>
        <w:tc>
          <w:tcPr>
            <w:tcW w:w="1360" w:type="dxa"/>
            <w:vAlign w:val="bottom"/>
          </w:tcPr>
          <w:p>
            <w:pPr>
              <w:spacing w:after="0"/>
              <w:rPr>
                <w:sz w:val="20"/>
                <w:szCs w:val="20"/>
                <w:color w:val="auto"/>
              </w:rPr>
            </w:pPr>
            <w:r>
              <w:rPr>
                <w:rFonts w:ascii="Arial" w:cs="Arial" w:eastAsia="Arial" w:hAnsi="Arial"/>
                <w:sz w:val="19"/>
                <w:szCs w:val="19"/>
                <w:color w:val="auto"/>
              </w:rPr>
              <w:t>Item 16.</w:t>
            </w:r>
          </w:p>
        </w:tc>
        <w:tc>
          <w:tcPr>
            <w:tcW w:w="7780" w:type="dxa"/>
            <w:vAlign w:val="bottom"/>
            <w:gridSpan w:val="3"/>
          </w:tcPr>
          <w:p>
            <w:pPr>
              <w:ind w:left="240"/>
              <w:spacing w:after="0"/>
              <w:rPr>
                <w:sz w:val="20"/>
                <w:szCs w:val="20"/>
                <w:color w:val="auto"/>
              </w:rPr>
            </w:pPr>
            <w:r>
              <w:rPr>
                <w:rFonts w:ascii="Arial" w:cs="Arial" w:eastAsia="Arial" w:hAnsi="Arial"/>
                <w:sz w:val="19"/>
                <w:szCs w:val="19"/>
                <w:color w:val="auto"/>
              </w:rPr>
              <w:t>Form 10-K Summary</w:t>
            </w:r>
          </w:p>
        </w:tc>
        <w:tc>
          <w:tcPr>
            <w:tcW w:w="820" w:type="dxa"/>
            <w:vAlign w:val="bottom"/>
          </w:tcPr>
          <w:p>
            <w:pPr>
              <w:jc w:val="right"/>
              <w:spacing w:after="0"/>
              <w:rPr>
                <w:sz w:val="20"/>
                <w:szCs w:val="20"/>
                <w:color w:val="auto"/>
              </w:rPr>
            </w:pPr>
            <w:r>
              <w:rPr>
                <w:rFonts w:ascii="Arial" w:cs="Arial" w:eastAsia="Arial" w:hAnsi="Arial"/>
                <w:sz w:val="19"/>
                <w:szCs w:val="19"/>
                <w:color w:val="auto"/>
              </w:rPr>
              <w:t>101</w:t>
            </w:r>
          </w:p>
        </w:tc>
      </w:tr>
    </w:tbl>
    <w:p>
      <w:pPr>
        <w:spacing w:after="0" w:line="200" w:lineRule="exact"/>
        <w:rPr>
          <w:sz w:val="20"/>
          <w:szCs w:val="20"/>
          <w:color w:val="auto"/>
        </w:rPr>
      </w:pPr>
    </w:p>
    <w:p>
      <w:pPr>
        <w:sectPr>
          <w:pgSz w:w="11880" w:h="15480" w:orient="portrait"/>
          <w:cols w:equalWidth="0" w:num="1">
            <w:col w:w="9960"/>
          </w:cols>
          <w:pgMar w:left="980" w:top="66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w:t>
      </w:r>
    </w:p>
    <w:p>
      <w:pPr>
        <w:sectPr>
          <w:pgSz w:w="11880" w:h="15480" w:orient="portrait"/>
          <w:cols w:equalWidth="0" w:num="1">
            <w:col w:w="9960"/>
          </w:cols>
          <w:pgMar w:left="980" w:top="669" w:right="940" w:bottom="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9"/>
          <w:szCs w:val="19"/>
          <w:b w:val="1"/>
          <w:bCs w:val="1"/>
          <w:color w:val="auto"/>
        </w:rPr>
        <w:t>FORWARD-LOOKING STATEMENTS</w:t>
      </w:r>
    </w:p>
    <w:p>
      <w:pPr>
        <w:spacing w:after="0" w:line="374" w:lineRule="exact"/>
        <w:rPr>
          <w:sz w:val="20"/>
          <w:szCs w:val="20"/>
          <w:color w:val="auto"/>
        </w:rPr>
      </w:pPr>
    </w:p>
    <w:p>
      <w:pPr>
        <w:ind w:right="20" w:firstLine="702"/>
        <w:spacing w:after="0" w:line="299"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67" w:lineRule="exact"/>
        <w:rPr>
          <w:sz w:val="20"/>
          <w:szCs w:val="20"/>
          <w:color w:val="auto"/>
        </w:rPr>
      </w:pPr>
    </w:p>
    <w:p>
      <w:pPr>
        <w:ind w:left="1060" w:right="80" w:hanging="359"/>
        <w:spacing w:after="0" w:line="295" w:lineRule="auto"/>
        <w:tabs>
          <w:tab w:leader="none" w:pos="106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color w:val="auto"/>
        </w:rPr>
        <w:t>our expected receipt of, and amounts of, distributions from Plains AAP, L.P., and the effect thereof on our ability to pay distributions to our Class A shareholders;</w:t>
      </w:r>
    </w:p>
    <w:p>
      <w:pPr>
        <w:spacing w:after="0" w:line="47" w:lineRule="exact"/>
        <w:rPr>
          <w:rFonts w:ascii="Arial" w:cs="Arial" w:eastAsia="Arial" w:hAnsi="Arial"/>
          <w:sz w:val="19"/>
          <w:szCs w:val="19"/>
          <w:b w:val="1"/>
          <w:bCs w:val="1"/>
          <w:i w:val="1"/>
          <w:iCs w:val="1"/>
          <w:color w:val="auto"/>
        </w:rPr>
      </w:pPr>
    </w:p>
    <w:p>
      <w:pPr>
        <w:ind w:left="1060" w:right="20" w:hanging="359"/>
        <w:spacing w:after="0" w:line="264"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78" w:lineRule="exact"/>
        <w:rPr>
          <w:rFonts w:ascii="Arial" w:cs="Arial" w:eastAsia="Arial" w:hAnsi="Arial"/>
          <w:sz w:val="19"/>
          <w:szCs w:val="19"/>
          <w:color w:val="auto"/>
        </w:rPr>
      </w:pPr>
    </w:p>
    <w:p>
      <w:pPr>
        <w:ind w:left="1060" w:right="100" w:hanging="359"/>
        <w:spacing w:after="0" w:line="297"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declines in global crude oil demand and crude oil prices (whether due to global public health events, such as pandemics, or other factors)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53" w:lineRule="exact"/>
        <w:rPr>
          <w:rFonts w:ascii="Arial" w:cs="Arial" w:eastAsia="Arial" w:hAnsi="Arial"/>
          <w:sz w:val="17"/>
          <w:szCs w:val="17"/>
          <w:color w:val="auto"/>
        </w:rPr>
      </w:pPr>
    </w:p>
    <w:p>
      <w:pPr>
        <w:ind w:left="1060" w:right="40" w:hanging="359"/>
        <w:spacing w:after="0" w:line="276"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65" w:lineRule="exact"/>
        <w:rPr>
          <w:rFonts w:ascii="Arial" w:cs="Arial" w:eastAsia="Arial" w:hAnsi="Arial"/>
          <w:sz w:val="19"/>
          <w:szCs w:val="19"/>
          <w:color w:val="auto"/>
        </w:rPr>
      </w:pPr>
    </w:p>
    <w:p>
      <w:pPr>
        <w:ind w:left="1060" w:hanging="359"/>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43" w:lineRule="exact"/>
        <w:rPr>
          <w:rFonts w:ascii="Arial" w:cs="Arial" w:eastAsia="Arial" w:hAnsi="Arial"/>
          <w:sz w:val="18"/>
          <w:szCs w:val="18"/>
          <w:color w:val="auto"/>
        </w:rPr>
      </w:pPr>
    </w:p>
    <w:p>
      <w:pPr>
        <w:ind w:left="1060" w:right="320" w:hanging="359"/>
        <w:spacing w:after="0" w:line="269"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73" w:lineRule="exact"/>
        <w:rPr>
          <w:rFonts w:ascii="Arial" w:cs="Arial" w:eastAsia="Arial" w:hAnsi="Arial"/>
          <w:sz w:val="19"/>
          <w:szCs w:val="19"/>
          <w:color w:val="auto"/>
        </w:rPr>
      </w:pPr>
    </w:p>
    <w:p>
      <w:pPr>
        <w:ind w:left="1060" w:right="480" w:hanging="359"/>
        <w:spacing w:after="0" w:line="276"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65" w:lineRule="exact"/>
        <w:rPr>
          <w:rFonts w:ascii="Arial" w:cs="Arial" w:eastAsia="Arial" w:hAnsi="Arial"/>
          <w:sz w:val="19"/>
          <w:szCs w:val="19"/>
          <w:color w:val="auto"/>
        </w:rPr>
      </w:pPr>
    </w:p>
    <w:p>
      <w:pPr>
        <w:ind w:left="1060" w:right="380" w:hanging="359"/>
        <w:spacing w:after="0" w:line="295"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environmental liabilities, litigation or other events that are not covered by an indemnity, insurance or existing reserves;</w:t>
      </w:r>
    </w:p>
    <w:p>
      <w:pPr>
        <w:spacing w:after="0" w:line="47" w:lineRule="exact"/>
        <w:rPr>
          <w:rFonts w:ascii="Arial" w:cs="Arial" w:eastAsia="Arial" w:hAnsi="Arial"/>
          <w:sz w:val="19"/>
          <w:szCs w:val="19"/>
          <w:color w:val="auto"/>
        </w:rPr>
      </w:pPr>
    </w:p>
    <w:p>
      <w:pPr>
        <w:ind w:left="1060" w:hanging="359"/>
        <w:spacing w:after="0" w:line="32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24" w:lineRule="exact"/>
        <w:rPr>
          <w:rFonts w:ascii="Arial" w:cs="Arial" w:eastAsia="Arial" w:hAnsi="Arial"/>
          <w:sz w:val="18"/>
          <w:szCs w:val="18"/>
          <w:color w:val="auto"/>
        </w:rPr>
      </w:pPr>
    </w:p>
    <w:p>
      <w:pPr>
        <w:ind w:left="1060" w:right="280" w:hanging="359"/>
        <w:spacing w:after="0" w:line="295"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weather interference with business operations or project construction, including the impact of extreme weather events or conditions;</w:t>
      </w:r>
    </w:p>
    <w:p>
      <w:pPr>
        <w:spacing w:after="0" w:line="47" w:lineRule="exact"/>
        <w:rPr>
          <w:rFonts w:ascii="Arial" w:cs="Arial" w:eastAsia="Arial" w:hAnsi="Arial"/>
          <w:sz w:val="19"/>
          <w:szCs w:val="19"/>
          <w:color w:val="auto"/>
        </w:rPr>
      </w:pPr>
    </w:p>
    <w:p>
      <w:pPr>
        <w:ind w:left="1060" w:hanging="359"/>
        <w:spacing w:after="0" w:line="266"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 or that negatively impact our ability to develop, operate or repair midstream assets;</w:t>
      </w:r>
    </w:p>
    <w:p>
      <w:pPr>
        <w:spacing w:after="0" w:line="76" w:lineRule="exact"/>
        <w:rPr>
          <w:rFonts w:ascii="Arial" w:cs="Arial" w:eastAsia="Arial" w:hAnsi="Arial"/>
          <w:sz w:val="19"/>
          <w:szCs w:val="19"/>
          <w:color w:val="auto"/>
        </w:rPr>
      </w:pPr>
    </w:p>
    <w:p>
      <w:pPr>
        <w:ind w:left="1060" w:hanging="359"/>
        <w:spacing w:after="0"/>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loss of key personnel and inability to attract and retain new talent;</w:t>
      </w:r>
    </w:p>
    <w:p>
      <w:pPr>
        <w:spacing w:after="0" w:line="132" w:lineRule="exact"/>
        <w:rPr>
          <w:rFonts w:ascii="Arial" w:cs="Arial" w:eastAsia="Arial" w:hAnsi="Arial"/>
          <w:sz w:val="19"/>
          <w:szCs w:val="19"/>
          <w:color w:val="auto"/>
        </w:rPr>
      </w:pPr>
    </w:p>
    <w:p>
      <w:pPr>
        <w:ind w:left="1060" w:right="160" w:hanging="359"/>
        <w:spacing w:after="0" w:line="295"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disruptions to futures markets for crude oil, NGL and other petroleum products, which may impair our ability to execute our commercial or hedging strategies;</w:t>
      </w:r>
    </w:p>
    <w:p>
      <w:pPr>
        <w:spacing w:after="0" w:line="47" w:lineRule="exact"/>
        <w:rPr>
          <w:rFonts w:ascii="Arial" w:cs="Arial" w:eastAsia="Arial" w:hAnsi="Arial"/>
          <w:sz w:val="19"/>
          <w:szCs w:val="19"/>
          <w:color w:val="auto"/>
        </w:rPr>
      </w:pPr>
    </w:p>
    <w:p>
      <w:pPr>
        <w:ind w:left="1060" w:hanging="359"/>
        <w:spacing w:after="0"/>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effectiveness of our risk management activities;</w:t>
      </w:r>
    </w:p>
    <w:p>
      <w:pPr>
        <w:sectPr>
          <w:pgSz w:w="11880" w:h="15480" w:orient="portrait"/>
          <w:cols w:equalWidth="0" w:num="1">
            <w:col w:w="9960"/>
          </w:cols>
          <w:pgMar w:left="940" w:top="669" w:right="980" w:bottom="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880" w:h="15480" w:orient="portrait"/>
          <w:cols w:equalWidth="0" w:num="1">
            <w:col w:w="9960"/>
          </w:cols>
          <w:pgMar w:left="940" w:top="669" w:right="980" w:bottom="0" w:gutter="0" w:footer="0" w:header="0"/>
          <w:type w:val="continuous"/>
        </w:sectPr>
      </w:pPr>
    </w:p>
    <w:bookmarkStart w:id="3" w:name="page4"/>
    <w:bookmarkEnd w:id="3"/>
    <w:p>
      <w:pPr>
        <w:ind w:left="1060" w:hanging="359"/>
        <w:spacing w:after="0"/>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shortages or cost increases of supplies, materials or labor;</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maintenance of PAA’s credit rating and ability to receive open credit from our suppliers and trade counterparties;</w:t>
      </w:r>
    </w:p>
    <w:p>
      <w:pPr>
        <w:spacing w:after="0" w:line="155" w:lineRule="exact"/>
        <w:rPr>
          <w:rFonts w:ascii="Arial" w:cs="Arial" w:eastAsia="Arial" w:hAnsi="Arial"/>
          <w:sz w:val="17"/>
          <w:szCs w:val="17"/>
          <w:color w:val="auto"/>
        </w:rPr>
      </w:pPr>
    </w:p>
    <w:p>
      <w:pPr>
        <w:ind w:left="1060" w:right="40" w:hanging="359"/>
        <w:spacing w:after="0" w:line="276"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65" w:lineRule="exact"/>
        <w:rPr>
          <w:rFonts w:ascii="Arial" w:cs="Arial" w:eastAsia="Arial" w:hAnsi="Arial"/>
          <w:sz w:val="19"/>
          <w:szCs w:val="19"/>
          <w:color w:val="auto"/>
        </w:rPr>
      </w:pPr>
    </w:p>
    <w:p>
      <w:pPr>
        <w:ind w:left="1060" w:right="540" w:hanging="359"/>
        <w:spacing w:after="0" w:line="295"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availability of, and our ability to consummate, acquisitions, divestitures, joint ventures or other strategic opportunities;</w:t>
      </w:r>
    </w:p>
    <w:p>
      <w:pPr>
        <w:spacing w:after="0" w:line="47" w:lineRule="exact"/>
        <w:rPr>
          <w:rFonts w:ascii="Arial" w:cs="Arial" w:eastAsia="Arial" w:hAnsi="Arial"/>
          <w:sz w:val="19"/>
          <w:szCs w:val="19"/>
          <w:color w:val="auto"/>
        </w:rPr>
      </w:pPr>
    </w:p>
    <w:p>
      <w:pPr>
        <w:ind w:left="1060" w:right="20" w:hanging="359"/>
        <w:spacing w:after="0" w:line="305"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44" w:lineRule="exact"/>
        <w:rPr>
          <w:rFonts w:ascii="Arial" w:cs="Arial" w:eastAsia="Arial" w:hAnsi="Arial"/>
          <w:sz w:val="17"/>
          <w:szCs w:val="17"/>
          <w:color w:val="auto"/>
        </w:rPr>
      </w:pPr>
    </w:p>
    <w:p>
      <w:pPr>
        <w:ind w:left="1060" w:right="240" w:hanging="359"/>
        <w:spacing w:after="0" w:line="276"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65" w:lineRule="exact"/>
        <w:rPr>
          <w:rFonts w:ascii="Arial" w:cs="Arial" w:eastAsia="Arial" w:hAnsi="Arial"/>
          <w:sz w:val="19"/>
          <w:szCs w:val="19"/>
          <w:color w:val="auto"/>
        </w:rPr>
      </w:pPr>
    </w:p>
    <w:p>
      <w:pPr>
        <w:ind w:left="1060" w:hanging="359"/>
        <w:spacing w:after="0" w:line="295"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incurrence of costs and expenses related to unexpected or unplanned capital expenditures, third-party claims or other factors;</w:t>
      </w:r>
    </w:p>
    <w:p>
      <w:pPr>
        <w:spacing w:after="0" w:line="47" w:lineRule="exact"/>
        <w:rPr>
          <w:rFonts w:ascii="Arial" w:cs="Arial" w:eastAsia="Arial" w:hAnsi="Arial"/>
          <w:sz w:val="19"/>
          <w:szCs w:val="19"/>
          <w:color w:val="auto"/>
        </w:rPr>
      </w:pPr>
    </w:p>
    <w:p>
      <w:pPr>
        <w:ind w:left="1060" w:right="560" w:hanging="359"/>
        <w:spacing w:after="0" w:line="295"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failure to implement or capitalize, or delays in implementing or capitalizing, on investment capital projects, whether due to permitting delays, permitting withdrawals or other factors;</w:t>
      </w:r>
    </w:p>
    <w:p>
      <w:pPr>
        <w:spacing w:after="0" w:line="47" w:lineRule="exact"/>
        <w:rPr>
          <w:rFonts w:ascii="Arial" w:cs="Arial" w:eastAsia="Arial" w:hAnsi="Arial"/>
          <w:sz w:val="19"/>
          <w:szCs w:val="19"/>
          <w:color w:val="auto"/>
        </w:rPr>
      </w:pPr>
    </w:p>
    <w:p>
      <w:pPr>
        <w:ind w:left="1060" w:right="80" w:hanging="359"/>
        <w:spacing w:after="0" w:line="276"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65" w:lineRule="exact"/>
        <w:rPr>
          <w:rFonts w:ascii="Arial" w:cs="Arial" w:eastAsia="Arial" w:hAnsi="Arial"/>
          <w:sz w:val="19"/>
          <w:szCs w:val="19"/>
          <w:color w:val="auto"/>
        </w:rPr>
      </w:pPr>
    </w:p>
    <w:p>
      <w:pPr>
        <w:ind w:left="1060" w:right="340" w:hanging="359"/>
        <w:spacing w:after="0" w:line="295"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amplification of other risks caused by volatile financial markets, capital constraints, liquidity concerns and inflation;</w:t>
      </w:r>
    </w:p>
    <w:p>
      <w:pPr>
        <w:spacing w:after="0" w:line="47" w:lineRule="exact"/>
        <w:rPr>
          <w:rFonts w:ascii="Arial" w:cs="Arial" w:eastAsia="Arial" w:hAnsi="Arial"/>
          <w:sz w:val="19"/>
          <w:szCs w:val="19"/>
          <w:color w:val="auto"/>
        </w:rPr>
      </w:pPr>
    </w:p>
    <w:p>
      <w:pPr>
        <w:ind w:left="1060" w:right="100" w:hanging="359"/>
        <w:spacing w:after="0" w:line="295"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use or availability of third-party assets upon which our operations depend and over which we have little or no control;</w:t>
      </w:r>
    </w:p>
    <w:p>
      <w:pPr>
        <w:spacing w:after="0" w:line="47" w:lineRule="exact"/>
        <w:rPr>
          <w:rFonts w:ascii="Arial" w:cs="Arial" w:eastAsia="Arial" w:hAnsi="Arial"/>
          <w:sz w:val="19"/>
          <w:szCs w:val="19"/>
          <w:color w:val="auto"/>
        </w:rPr>
      </w:pPr>
    </w:p>
    <w:p>
      <w:pPr>
        <w:ind w:left="1060" w:hanging="359"/>
        <w:spacing w:after="0"/>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currency exchange rate of the Canadian dollar to the United States dollar;</w:t>
      </w:r>
    </w:p>
    <w:p>
      <w:pPr>
        <w:spacing w:after="0" w:line="132" w:lineRule="exact"/>
        <w:rPr>
          <w:rFonts w:ascii="Arial" w:cs="Arial" w:eastAsia="Arial" w:hAnsi="Arial"/>
          <w:sz w:val="19"/>
          <w:szCs w:val="19"/>
          <w:color w:val="auto"/>
        </w:rPr>
      </w:pPr>
    </w:p>
    <w:p>
      <w:pPr>
        <w:ind w:left="1060" w:right="340" w:hanging="359"/>
        <w:spacing w:after="0" w:line="325"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4" w:lineRule="exact"/>
        <w:rPr>
          <w:rFonts w:ascii="Arial" w:cs="Arial" w:eastAsia="Arial" w:hAnsi="Arial"/>
          <w:sz w:val="18"/>
          <w:szCs w:val="18"/>
          <w:color w:val="auto"/>
        </w:rPr>
      </w:pPr>
    </w:p>
    <w:p>
      <w:pPr>
        <w:ind w:left="1060" w:hanging="359"/>
        <w:spacing w:after="0"/>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significant under-utilization of our assets and facilities;</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increased costs, or lack of availability, of insurance;</w:t>
      </w:r>
    </w:p>
    <w:p>
      <w:pPr>
        <w:spacing w:after="0" w:line="132" w:lineRule="exact"/>
        <w:rPr>
          <w:rFonts w:ascii="Arial" w:cs="Arial" w:eastAsia="Arial" w:hAnsi="Arial"/>
          <w:sz w:val="19"/>
          <w:szCs w:val="19"/>
          <w:color w:val="auto"/>
        </w:rPr>
      </w:pPr>
    </w:p>
    <w:p>
      <w:pPr>
        <w:ind w:left="1060" w:right="420" w:hanging="359"/>
        <w:spacing w:after="0" w:line="295"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fluctuations in the debt and equity markets, including the price of PAA’s units at the time of vesting under its long-term incentive plans;</w:t>
      </w:r>
    </w:p>
    <w:p>
      <w:pPr>
        <w:spacing w:after="0" w:line="47" w:lineRule="exact"/>
        <w:rPr>
          <w:rFonts w:ascii="Arial" w:cs="Arial" w:eastAsia="Arial" w:hAnsi="Arial"/>
          <w:sz w:val="19"/>
          <w:szCs w:val="19"/>
          <w:color w:val="auto"/>
        </w:rPr>
      </w:pPr>
    </w:p>
    <w:p>
      <w:pPr>
        <w:ind w:left="1060" w:hanging="359"/>
        <w:spacing w:after="0"/>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risks related to the development and operation of our assets;</w:t>
      </w:r>
    </w:p>
    <w:p>
      <w:pPr>
        <w:spacing w:after="0" w:line="132" w:lineRule="exact"/>
        <w:rPr>
          <w:rFonts w:ascii="Arial" w:cs="Arial" w:eastAsia="Arial" w:hAnsi="Arial"/>
          <w:sz w:val="19"/>
          <w:szCs w:val="19"/>
          <w:color w:val="auto"/>
        </w:rPr>
      </w:pPr>
    </w:p>
    <w:p>
      <w:pPr>
        <w:ind w:left="1060" w:right="260" w:hanging="359"/>
        <w:spacing w:after="0" w:line="295"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pace of development of natural gas infrastructure and its impact on expected crude oil production growth in the Permian Basin; and</w:t>
      </w:r>
    </w:p>
    <w:p>
      <w:pPr>
        <w:spacing w:after="0" w:line="47" w:lineRule="exact"/>
        <w:rPr>
          <w:rFonts w:ascii="Arial" w:cs="Arial" w:eastAsia="Arial" w:hAnsi="Arial"/>
          <w:sz w:val="19"/>
          <w:szCs w:val="19"/>
          <w:color w:val="auto"/>
        </w:rPr>
      </w:pPr>
    </w:p>
    <w:p>
      <w:pPr>
        <w:ind w:left="1060" w:right="180" w:hanging="359"/>
        <w:spacing w:after="0" w:line="295"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other factors and uncertainties inherent in the transportation, storage, terminalling and marketing of crude oil, as well as in the processing, transportation, fractionation, storage and marketing of NGL.</w:t>
      </w:r>
    </w:p>
    <w:p>
      <w:pPr>
        <w:spacing w:after="0" w:line="165" w:lineRule="exact"/>
        <w:rPr>
          <w:sz w:val="20"/>
          <w:szCs w:val="20"/>
          <w:color w:val="auto"/>
        </w:rPr>
      </w:pPr>
    </w:p>
    <w:p>
      <w:pPr>
        <w:jc w:val="both"/>
        <w:ind w:firstLine="702"/>
        <w:spacing w:after="0" w:line="276" w:lineRule="auto"/>
        <w:rPr>
          <w:sz w:val="20"/>
          <w:szCs w:val="20"/>
          <w:color w:val="auto"/>
        </w:rPr>
      </w:pPr>
      <w:r>
        <w:rPr>
          <w:rFonts w:ascii="Arial" w:cs="Arial" w:eastAsia="Arial" w:hAnsi="Arial"/>
          <w:sz w:val="19"/>
          <w:szCs w:val="19"/>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ectPr>
          <w:pgSz w:w="11880" w:h="15480" w:orient="portrait"/>
          <w:cols w:equalWidth="0" w:num="1">
            <w:col w:w="9980"/>
          </w:cols>
          <w:pgMar w:left="940" w:top="67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9980"/>
          </w:cols>
          <w:pgMar w:left="940" w:top="676" w:right="960" w:bottom="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9"/>
          <w:szCs w:val="19"/>
          <w:b w:val="1"/>
          <w:bCs w:val="1"/>
          <w:color w:val="auto"/>
        </w:rPr>
        <w:t>PART I</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Items 1 and 2. </w:t>
      </w:r>
      <w:r>
        <w:rPr>
          <w:rFonts w:ascii="Arial" w:cs="Arial" w:eastAsia="Arial" w:hAnsi="Arial"/>
          <w:sz w:val="19"/>
          <w:szCs w:val="19"/>
          <w:b w:val="1"/>
          <w:bCs w:val="1"/>
          <w:i w:val="1"/>
          <w:iCs w:val="1"/>
          <w:color w:val="auto"/>
        </w:rPr>
        <w:t>Business and Properties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257" w:lineRule="exact"/>
        <w:rPr>
          <w:sz w:val="20"/>
          <w:szCs w:val="20"/>
          <w:color w:val="auto"/>
        </w:rPr>
      </w:pPr>
    </w:p>
    <w:p>
      <w:pPr>
        <w:ind w:firstLine="702"/>
        <w:spacing w:after="0" w:line="263" w:lineRule="auto"/>
        <w:rPr>
          <w:sz w:val="20"/>
          <w:szCs w:val="20"/>
          <w:color w:val="auto"/>
        </w:rPr>
      </w:pPr>
      <w:r>
        <w:rPr>
          <w:rFonts w:ascii="Arial" w:cs="Arial" w:eastAsia="Arial" w:hAnsi="Arial"/>
          <w:sz w:val="19"/>
          <w:szCs w:val="19"/>
          <w:color w:val="auto"/>
        </w:rPr>
        <w:t>Plains GP Holdings, L.P. is a publicly traded Delaware limited partnership that has elected to be taxed as a corporation for United States federal income tax purposes. PAGP’s Class A shares are listed on the Nasdaq Global Select Market (“Nasdaq”) under the ticker symbol “PAGP.” PAGP does not directly own any operating assets; as of December 31, 2023, its sole source of cash flow is derived from an indirect investment in Plains All American Pipeline, L.P. (“PAA”), a publicly traded Delaware limited partnership, through its limited partner interest in Plains AAP, L.P. (“AAP”). We also own a 100% managing member interest in Plains All American GP LLC (“GP LLC”), a Delaware limited liability company that holds the non-economic general partner interest in AAP.</w:t>
      </w:r>
    </w:p>
    <w:p>
      <w:pPr>
        <w:spacing w:after="0" w:line="196" w:lineRule="exact"/>
        <w:rPr>
          <w:sz w:val="20"/>
          <w:szCs w:val="20"/>
          <w:color w:val="auto"/>
        </w:rPr>
      </w:pPr>
    </w:p>
    <w:p>
      <w:pPr>
        <w:ind w:right="100" w:firstLine="702"/>
        <w:spacing w:after="0" w:line="264" w:lineRule="auto"/>
        <w:rPr>
          <w:sz w:val="20"/>
          <w:szCs w:val="20"/>
          <w:color w:val="auto"/>
        </w:rPr>
      </w:pPr>
      <w:r>
        <w:rPr>
          <w:rFonts w:ascii="Arial" w:cs="Arial" w:eastAsia="Arial" w:hAnsi="Arial"/>
          <w:sz w:val="19"/>
          <w:szCs w:val="19"/>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natural gas liquids (“NGL”) producing basins (including the Permian Basin) and transportation corridors and at major market hubs in the United States and Canada. PAA’s assets and the services it provides are primarily focused on crude oil and NGL.</w:t>
      </w:r>
    </w:p>
    <w:p>
      <w:pPr>
        <w:spacing w:after="0" w:line="196" w:lineRule="exact"/>
        <w:rPr>
          <w:sz w:val="20"/>
          <w:szCs w:val="20"/>
          <w:color w:val="auto"/>
        </w:rPr>
      </w:pPr>
    </w:p>
    <w:p>
      <w:pPr>
        <w:ind w:right="40" w:firstLine="702"/>
        <w:spacing w:after="0" w:line="297" w:lineRule="auto"/>
        <w:rPr>
          <w:sz w:val="20"/>
          <w:szCs w:val="20"/>
          <w:color w:val="auto"/>
        </w:rPr>
      </w:pPr>
      <w:r>
        <w:rPr>
          <w:rFonts w:ascii="Arial" w:cs="Arial" w:eastAsia="Arial" w:hAnsi="Arial"/>
          <w:sz w:val="17"/>
          <w:szCs w:val="17"/>
          <w:color w:val="auto"/>
        </w:rPr>
        <w:t>PAA’s business is based on the fundamental thesis that hydrocarbons are essential to the security and advancement of human quality of life and will continue to play a major long-term role in the world economy. We further believe that midstream energy infrastructure provides a critical link between energy supply and demand, and is fundamental to the maintenance and advancement of our modern-day standard of living. Acknowledging the need for multiple forms of energy to meet growing world-wide demand, we believe absolute hydrocarbon demand will increase over time, driven by global population growth and a desire to improve quality of life in lesser developed countries throughout the world. Furthermore, we believe existing energy infrastructure will play a critical role in supporting emerging energy and energy transition initiatives. As a result, we believe that midstream energy infrastructure will remain a critical and valuable component of the energy industry value chain.</w:t>
      </w:r>
    </w:p>
    <w:p>
      <w:pPr>
        <w:spacing w:after="0" w:line="171" w:lineRule="exact"/>
        <w:rPr>
          <w:sz w:val="20"/>
          <w:szCs w:val="20"/>
          <w:color w:val="auto"/>
        </w:rPr>
      </w:pPr>
    </w:p>
    <w:p>
      <w:pPr>
        <w:ind w:right="160" w:firstLine="702"/>
        <w:spacing w:after="0" w:line="269" w:lineRule="auto"/>
        <w:rPr>
          <w:sz w:val="20"/>
          <w:szCs w:val="20"/>
          <w:color w:val="auto"/>
        </w:rPr>
      </w:pPr>
      <w:r>
        <w:rPr>
          <w:rFonts w:ascii="Arial" w:cs="Arial" w:eastAsia="Arial" w:hAnsi="Arial"/>
          <w:sz w:val="19"/>
          <w:szCs w:val="19"/>
          <w:color w:val="auto"/>
        </w:rPr>
        <w:t>PAA’s assets are owned, and its operations are conducted, directly and indirectly through its primary operating subsidiaries. As used in this Form 10-K and unless the context indicates otherwise (taking into account the fact that PAGP has no operating activities apart from those conducted by PAA and its subsidiaries), the terms “Partnership,” “Plains,” “we,” “us,” “our,” “ours” and similar terms refer to PAGP and its subsidiaries.</w:t>
      </w:r>
    </w:p>
    <w:p>
      <w:pPr>
        <w:spacing w:after="0" w:line="190" w:lineRule="exact"/>
        <w:rPr>
          <w:sz w:val="20"/>
          <w:szCs w:val="20"/>
          <w:color w:val="auto"/>
        </w:rPr>
      </w:pPr>
    </w:p>
    <w:p>
      <w:pPr>
        <w:ind w:right="280" w:firstLine="702"/>
        <w:spacing w:after="0" w:line="325" w:lineRule="auto"/>
        <w:rPr>
          <w:sz w:val="20"/>
          <w:szCs w:val="20"/>
          <w:color w:val="auto"/>
        </w:rPr>
      </w:pPr>
      <w:r>
        <w:rPr>
          <w:rFonts w:ascii="Arial" w:cs="Arial" w:eastAsia="Arial" w:hAnsi="Arial"/>
          <w:sz w:val="18"/>
          <w:szCs w:val="18"/>
          <w:color w:val="auto"/>
        </w:rPr>
        <w:t>References to the “PAGP Entities” include PAA GP Holdings LLC (“PAGP GP”), PAGP, GP LLC, AAP and PAA GP LLC (“PAA GP”). References to the “Plains Entities” include the PAGP Entities and PAA and its subsidiaries.</w:t>
      </w:r>
    </w:p>
    <w:p>
      <w:pPr>
        <w:sectPr>
          <w:pgSz w:w="11880" w:h="15480" w:orient="portrait"/>
          <w:cols w:equalWidth="0" w:num="1">
            <w:col w:w="10000"/>
          </w:cols>
          <w:pgMar w:left="940" w:top="66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10000"/>
          </w:cols>
          <w:pgMar w:left="940" w:top="669" w:right="940" w:bottom="0" w:gutter="0" w:footer="0" w:header="0"/>
          <w:type w:val="continuous"/>
        </w:sectPr>
      </w:pPr>
    </w:p>
    <w:bookmarkStart w:id="5" w:name="page6"/>
    <w:bookmarkEnd w:id="5"/>
    <w:p>
      <w:pPr>
        <w:spacing w:after="0"/>
        <w:rPr>
          <w:sz w:val="20"/>
          <w:szCs w:val="20"/>
          <w:color w:val="auto"/>
        </w:rPr>
      </w:pPr>
      <w:r>
        <w:rPr>
          <w:rFonts w:ascii="Arial" w:cs="Arial" w:eastAsia="Arial" w:hAnsi="Arial"/>
          <w:sz w:val="19"/>
          <w:szCs w:val="19"/>
          <w:b w:val="1"/>
          <w:bCs w:val="1"/>
          <w:color w:val="auto"/>
        </w:rPr>
        <w:t>Organizational Structure</w:t>
      </w:r>
    </w:p>
    <w:p>
      <w:pPr>
        <w:spacing w:after="0" w:line="25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diagram below shows our organizational structure as of December 31, 2023 in a summarized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6351270" cy="7703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extLst>
                    </a:blip>
                    <a:srcRect/>
                    <a:stretch>
                      <a:fillRect/>
                    </a:stretch>
                  </pic:blipFill>
                  <pic:spPr bwMode="auto">
                    <a:xfrm>
                      <a:off x="0" y="0"/>
                      <a:ext cx="6351270" cy="7703820"/>
                    </a:xfrm>
                    <a:prstGeom prst="rect">
                      <a:avLst/>
                    </a:prstGeom>
                    <a:noFill/>
                  </pic:spPr>
                </pic:pic>
              </a:graphicData>
            </a:graphic>
          </wp:anchor>
        </w:drawing>
      </w:r>
    </w:p>
    <w:p>
      <w:pPr>
        <w:sectPr>
          <w:pgSz w:w="11880" w:h="15480" w:orient="portrait"/>
          <w:cols w:equalWidth="0" w:num="1">
            <w:col w:w="9500"/>
          </w:cols>
          <w:pgMar w:left="940" w:top="9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960"/>
        <w:spacing w:after="0"/>
        <w:rPr>
          <w:sz w:val="20"/>
          <w:szCs w:val="20"/>
          <w:color w:val="auto"/>
        </w:rPr>
      </w:pPr>
      <w:r>
        <w:rPr>
          <w:rFonts w:ascii="Arial" w:cs="Arial" w:eastAsia="Arial" w:hAnsi="Arial"/>
          <w:sz w:val="14"/>
          <w:szCs w:val="14"/>
          <w:color w:val="auto"/>
        </w:rPr>
        <w:t>6</w:t>
      </w:r>
    </w:p>
    <w:p>
      <w:pPr>
        <w:sectPr>
          <w:pgSz w:w="11880" w:h="15480" w:orient="portrait"/>
          <w:cols w:equalWidth="0" w:num="1">
            <w:col w:w="9500"/>
          </w:cols>
          <w:pgMar w:left="940" w:top="903" w:right="1440" w:bottom="0" w:gutter="0" w:footer="0" w:header="0"/>
          <w:type w:val="continuous"/>
        </w:sectPr>
      </w:pPr>
    </w:p>
    <w:bookmarkStart w:id="6" w:name="page7"/>
    <w:bookmarkEnd w:id="6"/>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ind w:right="160"/>
        <w:spacing w:after="0" w:line="262" w:lineRule="auto"/>
        <w:rPr>
          <w:sz w:val="20"/>
          <w:szCs w:val="20"/>
          <w:color w:val="auto"/>
        </w:rPr>
      </w:pPr>
      <w:r>
        <w:rPr>
          <w:rFonts w:ascii="Arial" w:cs="Arial" w:eastAsia="Arial" w:hAnsi="Arial"/>
          <w:sz w:val="19"/>
          <w:szCs w:val="19"/>
          <w:color w:val="auto"/>
        </w:rPr>
        <w:t>Each Class C share represents a non-economic limited partner interest in us. The Class C shares function as a “pass-through” voting mechanism through which PAA votes at the direction of and as proxy for the PAA common unitholders (other than AAP) and Series A preferred unitholders on the election of directors. The number of Class C shares that PAA owns is equal to the number of outstanding PAA common units and Series A Preferred units (“PAA Common Unit Equivalents”) that are entitled to vote, pro rata with the holders of our Class A and Class B shares, for the election of eligible PAGP GP directors. PAA Series B preferred units, which are non-voting securities, and PAA common units held by AAP, which already participate in such elections through our Class A and Class B shares, are not entitled to vote in the 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-444500</wp:posOffset>
                </wp:positionH>
                <wp:positionV relativeFrom="paragraph">
                  <wp:posOffset>-1308735</wp:posOffset>
                </wp:positionV>
                <wp:extent cx="204216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21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pt,-103.0499pt" to="125.8pt,-103.0499pt" o:allowincell="f" strokecolor="#000000" strokeweight="1pt"/>
            </w:pict>
          </mc:Fallback>
        </mc:AlternateContent>
      </w:r>
    </w:p>
    <w:p>
      <w:pPr>
        <w:spacing w:after="0" w:line="61"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PAA holds (i) direct and indirect ownership interests in consolidated operating subsidiaries including, but not limited to, Plains Marketing, L.P., Plains Pipeline, L.P., Plains Midstream Canada ULC (“PMC ULC”), Plains Oryx Permian Basin LLC (the “Permian JV”), Cactus II Pipeline LLC (“Cactus II”) and Red River Pipeline Company LLC (“Red River”) and (ii) indirect equity interests in unconsolidated entities including, but not limited to, BridgeTex Pipeline Company, LLC, Capline Pipeline Company LLC, Diamond Pipeline LLC, Eagle Ford Pipeline LLC, Eagle Ford Terminals Corpus Christi LLC, Saddlehorn Pipeline Company, LLC, White Cliffs Pipeline, L.L.C. and Wink to Webster Pipeline LLC.</w:t>
      </w:r>
    </w:p>
    <w:p>
      <w:pPr>
        <w:spacing w:after="0" w:line="189" w:lineRule="exact"/>
        <w:rPr>
          <w:sz w:val="20"/>
          <w:szCs w:val="20"/>
          <w:color w:val="auto"/>
        </w:rPr>
      </w:pPr>
    </w:p>
    <w:p>
      <w:pPr>
        <w:sectPr>
          <w:pgSz w:w="11880" w:h="15480" w:orient="portrait"/>
          <w:cols w:equalWidth="0" w:num="2">
            <w:col w:w="140" w:space="560"/>
            <w:col w:w="9260"/>
          </w:cols>
          <w:pgMar w:left="940" w:top="1179" w:right="980" w:bottom="0" w:gutter="0" w:footer="0" w:header="0"/>
        </w:sectPr>
      </w:pPr>
    </w:p>
    <w:p>
      <w:pPr>
        <w:spacing w:after="0"/>
        <w:rPr>
          <w:sz w:val="20"/>
          <w:szCs w:val="20"/>
          <w:color w:val="auto"/>
        </w:rPr>
      </w:pPr>
      <w:r>
        <w:rPr>
          <w:rFonts w:ascii="Arial" w:cs="Arial" w:eastAsia="Arial" w:hAnsi="Arial"/>
          <w:sz w:val="19"/>
          <w:szCs w:val="19"/>
          <w:b w:val="1"/>
          <w:bCs w:val="1"/>
          <w:color w:val="auto"/>
        </w:rPr>
        <w:t>Our Business Strategy</w:t>
      </w:r>
    </w:p>
    <w:p>
      <w:pPr>
        <w:spacing w:after="0" w:line="257" w:lineRule="exact"/>
        <w:rPr>
          <w:sz w:val="20"/>
          <w:szCs w:val="20"/>
          <w:color w:val="auto"/>
        </w:rPr>
      </w:pPr>
    </w:p>
    <w:p>
      <w:pPr>
        <w:jc w:val="both"/>
        <w:ind w:right="20" w:firstLine="702"/>
        <w:spacing w:after="0" w:line="276" w:lineRule="auto"/>
        <w:rPr>
          <w:sz w:val="20"/>
          <w:szCs w:val="20"/>
          <w:color w:val="auto"/>
        </w:rPr>
      </w:pPr>
      <w:r>
        <w:rPr>
          <w:rFonts w:ascii="Arial" w:cs="Arial" w:eastAsia="Arial" w:hAnsi="Arial"/>
          <w:sz w:val="19"/>
          <w:szCs w:val="19"/>
          <w:color w:val="auto"/>
        </w:rPr>
        <w:t>Unless we directly acquire and hold assets or businesses in the future, our cash flows will be generated solely from the cash distributions we receive on the Class A units of AAP (“AAP units”) we own. AAP currently receives all of its cash flows from distributions on the PAA common units it owns.</w:t>
      </w:r>
    </w:p>
    <w:p>
      <w:pPr>
        <w:spacing w:after="0" w:line="182" w:lineRule="exact"/>
        <w:rPr>
          <w:sz w:val="20"/>
          <w:szCs w:val="20"/>
          <w:color w:val="auto"/>
        </w:rPr>
      </w:pPr>
    </w:p>
    <w:p>
      <w:pPr>
        <w:ind w:right="400" w:firstLine="702"/>
        <w:spacing w:after="0" w:line="269" w:lineRule="auto"/>
        <w:rPr>
          <w:sz w:val="20"/>
          <w:szCs w:val="20"/>
          <w:color w:val="auto"/>
        </w:rPr>
      </w:pPr>
      <w:r>
        <w:rPr>
          <w:rFonts w:ascii="Arial" w:cs="Arial" w:eastAsia="Arial" w:hAnsi="Arial"/>
          <w:sz w:val="19"/>
          <w:szCs w:val="19"/>
          <w:color w:val="auto"/>
        </w:rPr>
        <w:t>Accordingly, our primary business objective is to increase our cash available for distribution to our Class A shareholders through the execution by PAA of its business strategy. In addition, we may facilitate PAA’s growth activities through various means, including, but not limited to, making loans, purchasing equity interests or providing other forms of financial support to PAA.</w:t>
      </w:r>
    </w:p>
    <w:p>
      <w:pPr>
        <w:spacing w:after="0" w:line="190" w:lineRule="exact"/>
        <w:rPr>
          <w:sz w:val="20"/>
          <w:szCs w:val="20"/>
          <w:color w:val="auto"/>
        </w:rPr>
      </w:pPr>
    </w:p>
    <w:p>
      <w:pPr>
        <w:ind w:right="120" w:firstLine="702"/>
        <w:spacing w:after="0" w:line="269" w:lineRule="auto"/>
        <w:rPr>
          <w:sz w:val="20"/>
          <w:szCs w:val="20"/>
          <w:color w:val="auto"/>
        </w:rPr>
      </w:pPr>
      <w:r>
        <w:rPr>
          <w:rFonts w:ascii="Arial" w:cs="Arial" w:eastAsia="Arial" w:hAnsi="Arial"/>
          <w:sz w:val="19"/>
          <w:szCs w:val="19"/>
          <w:color w:val="auto"/>
        </w:rPr>
        <w:t>We maintain a one-to-one relationship between our Class A shares and the underlying PAA common units in which we have an indirect economic interest through our ownership interest in AAP (referred to as “Economic Parity”), such that the number of our outstanding Class A shares equals the number of AAP units we own, which in turn equals the number of PAA common units held by AAP attributable to our ownership interest in AAP.</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PAA’s Business Strategy</w:t>
      </w:r>
    </w:p>
    <w:p>
      <w:pPr>
        <w:spacing w:after="0" w:line="257" w:lineRule="exact"/>
        <w:rPr>
          <w:sz w:val="20"/>
          <w:szCs w:val="20"/>
          <w:color w:val="auto"/>
        </w:rPr>
      </w:pPr>
    </w:p>
    <w:p>
      <w:pPr>
        <w:ind w:right="60" w:firstLine="702"/>
        <w:spacing w:after="0" w:line="311" w:lineRule="auto"/>
        <w:rPr>
          <w:sz w:val="20"/>
          <w:szCs w:val="20"/>
          <w:color w:val="auto"/>
        </w:rPr>
      </w:pPr>
      <w:r>
        <w:rPr>
          <w:rFonts w:ascii="Arial" w:cs="Arial" w:eastAsia="Arial" w:hAnsi="Arial"/>
          <w:sz w:val="17"/>
          <w:szCs w:val="17"/>
          <w:color w:val="auto"/>
        </w:rPr>
        <w:t>PAA’s principal business strategy is to provide competitive and efficient midstream infrastructure and logistics services to producers, refiners and other customers. PAA strives to address regional supply and demand imbalances for crude oil and NGL in the United States and Canada by combining the strategic location and capabilities of its transportation, terminalling, storage, processing and fractionation assets with its commercial expertise. PAA intends to execute its strategy by:</w:t>
      </w:r>
    </w:p>
    <w:p>
      <w:pPr>
        <w:spacing w:after="0" w:line="40" w:lineRule="exact"/>
        <w:rPr>
          <w:sz w:val="20"/>
          <w:szCs w:val="20"/>
          <w:color w:val="auto"/>
        </w:rPr>
      </w:pPr>
    </w:p>
    <w:p>
      <w:pPr>
        <w:ind w:left="1060" w:right="240" w:hanging="359"/>
        <w:spacing w:after="0" w:line="295" w:lineRule="auto"/>
        <w:tabs>
          <w:tab w:leader="none" w:pos="1060" w:val="left"/>
        </w:tabs>
        <w:numPr>
          <w:ilvl w:val="0"/>
          <w:numId w:val="5"/>
        </w:numPr>
        <w:rPr>
          <w:rFonts w:ascii="Arial" w:cs="Arial" w:eastAsia="Arial" w:hAnsi="Arial"/>
          <w:sz w:val="19"/>
          <w:szCs w:val="19"/>
          <w:color w:val="auto"/>
        </w:rPr>
      </w:pPr>
      <w:r>
        <w:rPr>
          <w:rFonts w:ascii="Arial" w:cs="Arial" w:eastAsia="Arial" w:hAnsi="Arial"/>
          <w:sz w:val="19"/>
          <w:szCs w:val="19"/>
          <w:color w:val="auto"/>
        </w:rPr>
        <w:t>Focusing on operational excellence, continuous improvement and running a safe, reliable, and environmentally and socially responsible operation;</w:t>
      </w:r>
    </w:p>
    <w:p>
      <w:pPr>
        <w:spacing w:after="0" w:line="47" w:lineRule="exact"/>
        <w:rPr>
          <w:rFonts w:ascii="Arial" w:cs="Arial" w:eastAsia="Arial" w:hAnsi="Arial"/>
          <w:sz w:val="19"/>
          <w:szCs w:val="19"/>
          <w:color w:val="auto"/>
        </w:rPr>
      </w:pPr>
    </w:p>
    <w:p>
      <w:pPr>
        <w:ind w:left="1060" w:right="200" w:hanging="359"/>
        <w:spacing w:after="0" w:line="323"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Using its well positioned network of midstream infrastructure in conjunction with its commercial capabilities to provide its customers with market access, flexibility and value chain solutions, capture market opportunities, address physical market imbalances, mitigate risks and generate and grow sustainable cash flow and margin;</w:t>
      </w:r>
    </w:p>
    <w:p>
      <w:pPr>
        <w:spacing w:after="0" w:line="29" w:lineRule="exact"/>
        <w:rPr>
          <w:rFonts w:ascii="Arial" w:cs="Arial" w:eastAsia="Arial" w:hAnsi="Arial"/>
          <w:sz w:val="17"/>
          <w:szCs w:val="17"/>
          <w:color w:val="auto"/>
        </w:rPr>
      </w:pPr>
    </w:p>
    <w:p>
      <w:pPr>
        <w:ind w:left="1060" w:hanging="359"/>
        <w:spacing w:after="0" w:line="358"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Optimizing and enhancing its asset portfolio and operations (through disciplined and accretive capital investments and through the pursuit of emerging energy opportunities) to maximize returns on invested capital; and</w:t>
      </w:r>
    </w:p>
    <w:p>
      <w:pPr>
        <w:spacing w:after="0" w:line="1" w:lineRule="exact"/>
        <w:rPr>
          <w:rFonts w:ascii="Arial" w:cs="Arial" w:eastAsia="Arial" w:hAnsi="Arial"/>
          <w:sz w:val="17"/>
          <w:szCs w:val="17"/>
          <w:color w:val="auto"/>
        </w:rPr>
      </w:pPr>
    </w:p>
    <w:p>
      <w:pPr>
        <w:ind w:left="1060" w:hanging="359"/>
        <w:spacing w:after="0" w:line="295" w:lineRule="auto"/>
        <w:tabs>
          <w:tab w:leader="none" w:pos="1060" w:val="left"/>
        </w:tabs>
        <w:numPr>
          <w:ilvl w:val="0"/>
          <w:numId w:val="5"/>
        </w:numPr>
        <w:rPr>
          <w:rFonts w:ascii="Arial" w:cs="Arial" w:eastAsia="Arial" w:hAnsi="Arial"/>
          <w:sz w:val="19"/>
          <w:szCs w:val="19"/>
          <w:color w:val="auto"/>
        </w:rPr>
      </w:pPr>
      <w:r>
        <w:rPr>
          <w:rFonts w:ascii="Arial" w:cs="Arial" w:eastAsia="Arial" w:hAnsi="Arial"/>
          <w:sz w:val="19"/>
          <w:szCs w:val="19"/>
          <w:color w:val="auto"/>
        </w:rPr>
        <w:t>Pursuing a balanced, long-term financial strategy that is focused on maintaining an investment grade credit profile and enhancing financial flexibility by making disciplined capital allocation decisions.</w:t>
      </w:r>
    </w:p>
    <w:p>
      <w:pPr>
        <w:spacing w:after="0" w:line="165" w:lineRule="exact"/>
        <w:rPr>
          <w:sz w:val="20"/>
          <w:szCs w:val="20"/>
          <w:color w:val="auto"/>
        </w:rPr>
      </w:pPr>
    </w:p>
    <w:p>
      <w:pPr>
        <w:ind w:right="240" w:firstLine="702"/>
        <w:spacing w:after="0" w:line="276" w:lineRule="auto"/>
        <w:rPr>
          <w:sz w:val="20"/>
          <w:szCs w:val="20"/>
          <w:color w:val="auto"/>
        </w:rPr>
      </w:pPr>
      <w:r>
        <w:rPr>
          <w:rFonts w:ascii="Arial" w:cs="Arial" w:eastAsia="Arial" w:hAnsi="Arial"/>
          <w:sz w:val="19"/>
          <w:szCs w:val="19"/>
          <w:color w:val="auto"/>
        </w:rPr>
        <w:t>We believe PAA’s successful execution of this strategy will enable it to generate and grow sustainable earnings and cash flow, and will position PAA to maintain an investment grade credit profile and increase returns to equity holders over time.</w:t>
      </w:r>
    </w:p>
    <w:p>
      <w:pPr>
        <w:sectPr>
          <w:pgSz w:w="11880" w:h="15480" w:orient="portrait"/>
          <w:cols w:equalWidth="0" w:num="1">
            <w:col w:w="9960"/>
          </w:cols>
          <w:pgMar w:left="940" w:top="1179"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9960"/>
          </w:cols>
          <w:pgMar w:left="940" w:top="1179" w:right="980" w:bottom="0" w:gutter="0" w:footer="0" w:header="0"/>
          <w:type w:val="continuous"/>
        </w:sectPr>
      </w:pPr>
    </w:p>
    <w:bookmarkStart w:id="7" w:name="page8"/>
    <w:bookmarkEnd w:id="7"/>
    <w:p>
      <w:pPr>
        <w:spacing w:after="0"/>
        <w:rPr>
          <w:sz w:val="20"/>
          <w:szCs w:val="20"/>
          <w:color w:val="auto"/>
        </w:rPr>
      </w:pPr>
      <w:r>
        <w:rPr>
          <w:rFonts w:ascii="Arial" w:cs="Arial" w:eastAsia="Arial" w:hAnsi="Arial"/>
          <w:sz w:val="19"/>
          <w:szCs w:val="19"/>
          <w:b w:val="1"/>
          <w:bCs w:val="1"/>
          <w:color w:val="auto"/>
        </w:rPr>
        <w:t>PAA’s Competitive Strengths</w:t>
      </w:r>
    </w:p>
    <w:p>
      <w:pPr>
        <w:spacing w:after="0" w:line="253"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We believe that the following competitive strengths position PAA to successfully execute its principal business</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strategy:</w:t>
      </w:r>
    </w:p>
    <w:p>
      <w:pPr>
        <w:spacing w:after="0" w:line="111" w:lineRule="exact"/>
        <w:rPr>
          <w:sz w:val="20"/>
          <w:szCs w:val="20"/>
          <w:color w:val="auto"/>
        </w:rPr>
      </w:pPr>
    </w:p>
    <w:p>
      <w:pPr>
        <w:ind w:left="1060" w:right="40" w:hanging="359"/>
        <w:spacing w:after="0" w:line="278" w:lineRule="auto"/>
        <w:tabs>
          <w:tab w:leader="none" w:pos="10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PAA owns a strategically located, geographically diverse and interconnected large-scale asset base that provides operational flexibility and commercial optionality. </w:t>
      </w:r>
      <w:r>
        <w:rPr>
          <w:rFonts w:ascii="Arial" w:cs="Arial" w:eastAsia="Arial" w:hAnsi="Arial"/>
          <w:sz w:val="18"/>
          <w:szCs w:val="18"/>
          <w:color w:val="auto"/>
        </w:rPr>
        <w:t>The majority of PAA’s transportation assets are in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are located in well-established crude oil producing regions (with PAA’s largest asset presence in the Permian Basin) and other transportation corridors and are connected, directly or indirectly, with PAA’s terminals and facilities assets. The majority of PAA’s terminals and facilities assets are located at major trading locations and premium markets that serve as gateways to major North American refinery and distribution markets and key export terminals where PAA has strong business relationships. In addition, PAA’s pipeline, rail, truck and storage assets provide PAA’s customers and PAA with significant flexibility and optionality to satisfy demand, balance markets, and participate in emerging energy opportunities.</w:t>
      </w:r>
    </w:p>
    <w:p>
      <w:pPr>
        <w:spacing w:after="0" w:line="123" w:lineRule="exact"/>
        <w:rPr>
          <w:rFonts w:ascii="Arial" w:cs="Arial" w:eastAsia="Arial" w:hAnsi="Arial"/>
          <w:sz w:val="18"/>
          <w:szCs w:val="18"/>
          <w:b w:val="1"/>
          <w:bCs w:val="1"/>
          <w:i w:val="1"/>
          <w:iCs w:val="1"/>
          <w:color w:val="auto"/>
        </w:rPr>
      </w:pPr>
    </w:p>
    <w:p>
      <w:pPr>
        <w:ind w:left="1060" w:right="40" w:hanging="359"/>
        <w:spacing w:after="0" w:line="262" w:lineRule="auto"/>
        <w:tabs>
          <w:tab w:leader="none" w:pos="1060" w:val="left"/>
        </w:tabs>
        <w:numPr>
          <w:ilvl w:val="0"/>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PAA’s full-service integrated model and long-term focus attracts a broad, diverse and high-quality customer base that supports sustainable fee-based cash flow generation. </w:t>
      </w:r>
      <w:r>
        <w:rPr>
          <w:rFonts w:ascii="Arial" w:cs="Arial" w:eastAsia="Arial" w:hAnsi="Arial"/>
          <w:sz w:val="19"/>
          <w:szCs w:val="19"/>
          <w:color w:val="auto"/>
        </w:rPr>
        <w:t>PAA’s strategically located and interconnected asset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base enables it to provide its customers with a wide variety of services, including supply aggregation, quality segregation, flow assurance and market access. PAA focuses on building long-term relationships and alignment of interests with its customers. PAA believes this approach has helped it build a high-quality portfolio of customers and contracts (including long-term, third-party transportation contracts and acreage dedication contracts) that provide long-term volume support for its assets and, in turn, support long-term fee-based cash flow generation from its assets.</w:t>
      </w:r>
    </w:p>
    <w:p>
      <w:pPr>
        <w:spacing w:after="0" w:line="139" w:lineRule="exact"/>
        <w:rPr>
          <w:rFonts w:ascii="Arial" w:cs="Arial" w:eastAsia="Arial" w:hAnsi="Arial"/>
          <w:sz w:val="19"/>
          <w:szCs w:val="19"/>
          <w:color w:val="auto"/>
        </w:rPr>
      </w:pPr>
    </w:p>
    <w:p>
      <w:pPr>
        <w:ind w:left="1060" w:right="120" w:hanging="359"/>
        <w:spacing w:after="0" w:line="285" w:lineRule="auto"/>
        <w:tabs>
          <w:tab w:leader="none" w:pos="10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PAA possesses specialized crude oil and NGL market knowledge. </w:t>
      </w:r>
      <w:r>
        <w:rPr>
          <w:rFonts w:ascii="Arial" w:cs="Arial" w:eastAsia="Arial" w:hAnsi="Arial"/>
          <w:sz w:val="18"/>
          <w:szCs w:val="18"/>
          <w:color w:val="auto"/>
        </w:rPr>
        <w:t>We believe PAA’s business relationships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in various phases of the crude oil and NGL distribution chain, from producers to refiners, as well as PAA’s own industry expertise (including PAA’s knowledge of North American crude oil and NGL flows), provide PAA with extensive market insight and an understanding of the North American physical crude oil and NGL markets that enables PAA to provide value chain solutions for its customers.</w:t>
      </w:r>
    </w:p>
    <w:p>
      <w:pPr>
        <w:spacing w:after="0" w:line="116" w:lineRule="exact"/>
        <w:rPr>
          <w:rFonts w:ascii="Arial" w:cs="Arial" w:eastAsia="Arial" w:hAnsi="Arial"/>
          <w:sz w:val="18"/>
          <w:szCs w:val="18"/>
          <w:b w:val="1"/>
          <w:bCs w:val="1"/>
          <w:i w:val="1"/>
          <w:iCs w:val="1"/>
          <w:color w:val="auto"/>
        </w:rPr>
      </w:pPr>
    </w:p>
    <w:p>
      <w:pPr>
        <w:ind w:left="1060" w:hanging="359"/>
        <w:spacing w:after="0" w:line="324" w:lineRule="auto"/>
        <w:tabs>
          <w:tab w:leader="none" w:pos="1060"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PAA’s merchant activities provide it with the opportunity to realize incremental margins. </w:t>
      </w:r>
      <w:r>
        <w:rPr>
          <w:rFonts w:ascii="Arial" w:cs="Arial" w:eastAsia="Arial" w:hAnsi="Arial"/>
          <w:sz w:val="17"/>
          <w:szCs w:val="17"/>
          <w:color w:val="auto"/>
        </w:rPr>
        <w:t>We believe the variety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its merchant activities provides PAA with a low-risk opportunity to generate incremental margin, the amount of which may vary depending on market conditions (such as differentials and certain competitive factors).</w:t>
      </w:r>
    </w:p>
    <w:p>
      <w:pPr>
        <w:spacing w:after="0" w:line="85" w:lineRule="exact"/>
        <w:rPr>
          <w:rFonts w:ascii="Arial" w:cs="Arial" w:eastAsia="Arial" w:hAnsi="Arial"/>
          <w:sz w:val="17"/>
          <w:szCs w:val="17"/>
          <w:b w:val="1"/>
          <w:bCs w:val="1"/>
          <w:i w:val="1"/>
          <w:iCs w:val="1"/>
          <w:color w:val="auto"/>
        </w:rPr>
      </w:pPr>
    </w:p>
    <w:p>
      <w:pPr>
        <w:ind w:left="1060" w:right="360" w:hanging="359"/>
        <w:spacing w:after="0" w:line="270" w:lineRule="auto"/>
        <w:tabs>
          <w:tab w:leader="none" w:pos="1060" w:val="left"/>
        </w:tabs>
        <w:numPr>
          <w:ilvl w:val="0"/>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PAA has the financial, strategic and technical skills needed to execute strategic transactions that support its business and financial objectives, including joint ventures, joint ownership arrangements, acquisitions and divestitures. </w:t>
      </w:r>
      <w:r>
        <w:rPr>
          <w:rFonts w:ascii="Arial" w:cs="Arial" w:eastAsia="Arial" w:hAnsi="Arial"/>
          <w:sz w:val="19"/>
          <w:szCs w:val="19"/>
          <w:color w:val="auto"/>
        </w:rPr>
        <w:t>PAA is a party to more than 25 joint ventures and/or joint ownership arrangements, including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Permian JV that was formed in October 2021.</w:t>
      </w:r>
    </w:p>
    <w:p>
      <w:pPr>
        <w:spacing w:after="0" w:line="128" w:lineRule="exact"/>
        <w:rPr>
          <w:rFonts w:ascii="Arial" w:cs="Arial" w:eastAsia="Arial" w:hAnsi="Arial"/>
          <w:sz w:val="19"/>
          <w:szCs w:val="19"/>
          <w:color w:val="auto"/>
        </w:rPr>
      </w:pPr>
    </w:p>
    <w:p>
      <w:pPr>
        <w:ind w:left="1060" w:right="200" w:hanging="359"/>
        <w:spacing w:after="0" w:line="265" w:lineRule="auto"/>
        <w:tabs>
          <w:tab w:leader="none" w:pos="1060" w:val="left"/>
        </w:tabs>
        <w:numPr>
          <w:ilvl w:val="0"/>
          <w:numId w:val="6"/>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PAA has an experienced management team whose interests are aligned with those of its equity holders. </w:t>
      </w:r>
      <w:r>
        <w:rPr>
          <w:rFonts w:ascii="Arial" w:cs="Arial" w:eastAsia="Arial" w:hAnsi="Arial"/>
          <w:sz w:val="19"/>
          <w:szCs w:val="19"/>
          <w:color w:val="auto"/>
        </w:rPr>
        <w:t>PAA’s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executive management team has an average of 30+ years of experience spanning across all sectors of the energy industry and an average of over 15 years of experience with PAA or its predecessors and affiliates. In addition, through their ownership of PAA equity interests and grants of long-term equity incentive awards, PAA’s management team has a vested interest in PAA’s continued success that is aligned with the interests of PAA’s equity holders.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Financial Strategy</w:t>
      </w:r>
    </w:p>
    <w:p>
      <w:pPr>
        <w:spacing w:after="0" w:line="257" w:lineRule="exact"/>
        <w:rPr>
          <w:sz w:val="20"/>
          <w:szCs w:val="20"/>
          <w:color w:val="auto"/>
        </w:rPr>
      </w:pPr>
    </w:p>
    <w:p>
      <w:pPr>
        <w:ind w:right="220" w:firstLine="702"/>
        <w:spacing w:after="0" w:line="276" w:lineRule="auto"/>
        <w:rPr>
          <w:sz w:val="20"/>
          <w:szCs w:val="20"/>
          <w:color w:val="auto"/>
        </w:rPr>
      </w:pPr>
      <w:r>
        <w:rPr>
          <w:rFonts w:ascii="Arial" w:cs="Arial" w:eastAsia="Arial" w:hAnsi="Arial"/>
          <w:sz w:val="19"/>
          <w:szCs w:val="19"/>
          <w:color w:val="auto"/>
        </w:rPr>
        <w:t>Our financial strategy is designed to be complementary to PAA’s financial and business strategies. Our only cash-generating asset is our limited partner interest in AAP, which currently receives all of its cash flows from distributions on the PAA common units it owns.</w:t>
      </w:r>
    </w:p>
    <w:p>
      <w:pPr>
        <w:spacing w:after="0" w:line="182" w:lineRule="exact"/>
        <w:rPr>
          <w:sz w:val="20"/>
          <w:szCs w:val="20"/>
          <w:color w:val="auto"/>
        </w:rPr>
      </w:pPr>
    </w:p>
    <w:p>
      <w:pPr>
        <w:ind w:right="100" w:firstLine="702"/>
        <w:spacing w:after="0" w:line="266" w:lineRule="auto"/>
        <w:rPr>
          <w:sz w:val="20"/>
          <w:szCs w:val="20"/>
          <w:color w:val="auto"/>
        </w:rPr>
      </w:pPr>
      <w:r>
        <w:rPr>
          <w:rFonts w:ascii="Arial" w:cs="Arial" w:eastAsia="Arial" w:hAnsi="Arial"/>
          <w:sz w:val="19"/>
          <w:szCs w:val="19"/>
          <w:color w:val="auto"/>
        </w:rPr>
        <w:t>We have entered into an Omnibus Agreement with the Plains Entities which provides for (i) our ability to issue additional Class A shares and use the net proceeds therefrom to purchase a like number of AAP units from AAP, and the corresponding ability of AAP to use the net proceeds therefrom to purchase a like number of PAA common units from PAA and (ii) our ability to lend proceeds of any future indebtedness we incur to AAP, and AAP’s corresponding ability to lend such proceeds to PAA, in each case on substantially the same terms as we incur.</w:t>
      </w:r>
    </w:p>
    <w:p>
      <w:pPr>
        <w:sectPr>
          <w:pgSz w:w="11880" w:h="15480" w:orient="portrait"/>
          <w:cols w:equalWidth="0" w:num="1">
            <w:col w:w="9980"/>
          </w:cols>
          <w:pgMar w:left="940" w:top="67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9980"/>
          </w:cols>
          <w:pgMar w:left="940" w:top="672" w:right="960" w:bottom="0" w:gutter="0" w:footer="0" w:header="0"/>
          <w:type w:val="continuous"/>
        </w:sectPr>
      </w:pPr>
    </w:p>
    <w:bookmarkStart w:id="8" w:name="page9"/>
    <w:bookmarkEnd w:id="8"/>
    <w:p>
      <w:pPr>
        <w:ind w:right="20" w:firstLine="702"/>
        <w:spacing w:after="0" w:line="269" w:lineRule="auto"/>
        <w:rPr>
          <w:sz w:val="20"/>
          <w:szCs w:val="20"/>
          <w:color w:val="auto"/>
        </w:rPr>
      </w:pPr>
      <w:r>
        <w:rPr>
          <w:rFonts w:ascii="Arial" w:cs="Arial" w:eastAsia="Arial" w:hAnsi="Arial"/>
          <w:sz w:val="19"/>
          <w:szCs w:val="19"/>
          <w:color w:val="auto"/>
        </w:rPr>
        <w:t>Accordingly, we may access the equity capital markets from time to time to enhance the financial position of PAA and its ability to compete for incremental capital opportunities (including organic investments and third-party acquisitions) to drive future growth. We currently do not intend to incur any indebtedness in the near term. We would expect to fund direct acquisitions made by us, if any, with a combination of debt and equity.</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PAA’s Financial Strategy</w:t>
      </w:r>
    </w:p>
    <w:p>
      <w:pPr>
        <w:spacing w:after="0" w:line="253" w:lineRule="exact"/>
        <w:rPr>
          <w:sz w:val="20"/>
          <w:szCs w:val="20"/>
          <w:color w:val="auto"/>
        </w:rPr>
      </w:pPr>
    </w:p>
    <w:p>
      <w:pPr>
        <w:ind w:right="100" w:firstLine="702"/>
        <w:spacing w:after="0" w:line="297" w:lineRule="auto"/>
        <w:rPr>
          <w:sz w:val="20"/>
          <w:szCs w:val="20"/>
          <w:color w:val="auto"/>
        </w:rPr>
      </w:pPr>
      <w:r>
        <w:rPr>
          <w:rFonts w:ascii="Arial" w:cs="Arial" w:eastAsia="Arial" w:hAnsi="Arial"/>
          <w:sz w:val="17"/>
          <w:szCs w:val="17"/>
          <w:color w:val="auto"/>
        </w:rPr>
        <w:t>PAA’s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 Since the completion of its initial public offering in 1998, PAA has completed and integrated over 100 acquisitions with an aggregate purchase price of approximately $14.4 billion, implemented investment capital projects totaling approximately $17.7 billion, returned $18.2 billion to its equity holders, primarily in the form of distributions, and enhanced its credit rating to investment grade from non-investment grade. Additionally, since 2016 PAA has completed more than $4.9 billion of divestitures of non-core assets and/or strategic sales of partial interests in selected assets.</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Targeted Credit Profile</w:t>
      </w:r>
    </w:p>
    <w:p>
      <w:pPr>
        <w:spacing w:after="0" w:line="257" w:lineRule="exact"/>
        <w:rPr>
          <w:sz w:val="20"/>
          <w:szCs w:val="20"/>
          <w:color w:val="auto"/>
        </w:rPr>
      </w:pPr>
    </w:p>
    <w:p>
      <w:pPr>
        <w:ind w:right="100" w:firstLine="702"/>
        <w:spacing w:after="0" w:line="295" w:lineRule="auto"/>
        <w:rPr>
          <w:sz w:val="20"/>
          <w:szCs w:val="20"/>
          <w:color w:val="auto"/>
        </w:rPr>
      </w:pPr>
      <w:r>
        <w:rPr>
          <w:rFonts w:ascii="Arial" w:cs="Arial" w:eastAsia="Arial" w:hAnsi="Arial"/>
          <w:sz w:val="19"/>
          <w:szCs w:val="19"/>
          <w:color w:val="auto"/>
        </w:rPr>
        <w:t>As part of PAA’s financial strategy, it intends to maintain a credit profile that it believes is consistent with investment grade credit ratings. PAA targets a credit profile with the following attributes:</w:t>
      </w:r>
    </w:p>
    <w:p>
      <w:pPr>
        <w:spacing w:after="0" w:line="165" w:lineRule="exact"/>
        <w:rPr>
          <w:sz w:val="20"/>
          <w:szCs w:val="20"/>
          <w:color w:val="auto"/>
        </w:rPr>
      </w:pPr>
    </w:p>
    <w:p>
      <w:pPr>
        <w:ind w:left="1060" w:right="80" w:hanging="359"/>
        <w:spacing w:after="0" w:line="276" w:lineRule="auto"/>
        <w:tabs>
          <w:tab w:leader="none" w:pos="1060" w:val="left"/>
        </w:tabs>
        <w:numPr>
          <w:ilvl w:val="0"/>
          <w:numId w:val="7"/>
        </w:numPr>
        <w:rPr>
          <w:rFonts w:ascii="Arial" w:cs="Arial" w:eastAsia="Arial" w:hAnsi="Arial"/>
          <w:sz w:val="19"/>
          <w:szCs w:val="19"/>
          <w:color w:val="auto"/>
        </w:rPr>
      </w:pPr>
      <w:r>
        <w:rPr>
          <w:rFonts w:ascii="Arial" w:cs="Arial" w:eastAsia="Arial" w:hAnsi="Arial"/>
          <w:sz w:val="19"/>
          <w:szCs w:val="19"/>
          <w:color w:val="auto"/>
        </w:rPr>
        <w:t>a leverage multiple averaging between 3.25x to 3.75x, which is calculated as total debt plus 50% of the value of preferred units, divided by Adjusted EBITDA attributable to PAA (this is roughly equivalent to a long-term debt-to-Adjusted EBITDA attributable to PAA multiple of between 2.5x and 3.0x);</w:t>
      </w:r>
    </w:p>
    <w:p>
      <w:pPr>
        <w:spacing w:after="0" w:line="65" w:lineRule="exact"/>
        <w:rPr>
          <w:rFonts w:ascii="Arial" w:cs="Arial" w:eastAsia="Arial" w:hAnsi="Arial"/>
          <w:sz w:val="19"/>
          <w:szCs w:val="19"/>
          <w:color w:val="auto"/>
        </w:rPr>
      </w:pPr>
    </w:p>
    <w:p>
      <w:pPr>
        <w:ind w:left="1060" w:hanging="359"/>
        <w:spacing w:after="0"/>
        <w:tabs>
          <w:tab w:leader="none" w:pos="1060" w:val="left"/>
        </w:tabs>
        <w:numPr>
          <w:ilvl w:val="0"/>
          <w:numId w:val="7"/>
        </w:numPr>
        <w:rPr>
          <w:rFonts w:ascii="Arial" w:cs="Arial" w:eastAsia="Arial" w:hAnsi="Arial"/>
          <w:sz w:val="19"/>
          <w:szCs w:val="19"/>
          <w:color w:val="auto"/>
        </w:rPr>
      </w:pPr>
      <w:r>
        <w:rPr>
          <w:rFonts w:ascii="Arial" w:cs="Arial" w:eastAsia="Arial" w:hAnsi="Arial"/>
          <w:sz w:val="19"/>
          <w:szCs w:val="19"/>
          <w:color w:val="auto"/>
        </w:rPr>
        <w:t>an average long-term debt-to-total capitalization ratio of approximately 50% or less;</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7"/>
        </w:numPr>
        <w:rPr>
          <w:rFonts w:ascii="Arial" w:cs="Arial" w:eastAsia="Arial" w:hAnsi="Arial"/>
          <w:sz w:val="19"/>
          <w:szCs w:val="19"/>
          <w:color w:val="auto"/>
        </w:rPr>
      </w:pPr>
      <w:r>
        <w:rPr>
          <w:rFonts w:ascii="Arial" w:cs="Arial" w:eastAsia="Arial" w:hAnsi="Arial"/>
          <w:sz w:val="19"/>
          <w:szCs w:val="19"/>
          <w:color w:val="auto"/>
        </w:rPr>
        <w:t>an average total debt-to-total capitalization ratio of approximately 60% or less; and</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7"/>
        </w:numPr>
        <w:rPr>
          <w:rFonts w:ascii="Arial" w:cs="Arial" w:eastAsia="Arial" w:hAnsi="Arial"/>
          <w:sz w:val="19"/>
          <w:szCs w:val="19"/>
          <w:color w:val="auto"/>
        </w:rPr>
      </w:pPr>
      <w:r>
        <w:rPr>
          <w:rFonts w:ascii="Arial" w:cs="Arial" w:eastAsia="Arial" w:hAnsi="Arial"/>
          <w:sz w:val="19"/>
          <w:szCs w:val="19"/>
          <w:color w:val="auto"/>
        </w:rPr>
        <w:t>an average Adjusted EBITDA-to-interest coverage multiple of approximately 3.3x or better.</w:t>
      </w:r>
    </w:p>
    <w:p>
      <w:pPr>
        <w:spacing w:after="0" w:line="249" w:lineRule="exact"/>
        <w:rPr>
          <w:sz w:val="20"/>
          <w:szCs w:val="20"/>
          <w:color w:val="auto"/>
        </w:rPr>
      </w:pPr>
    </w:p>
    <w:p>
      <w:pPr>
        <w:jc w:val="both"/>
        <w:ind w:right="240" w:firstLine="702"/>
        <w:spacing w:after="0" w:line="276" w:lineRule="auto"/>
        <w:rPr>
          <w:sz w:val="20"/>
          <w:szCs w:val="20"/>
          <w:color w:val="auto"/>
        </w:rPr>
      </w:pPr>
      <w:r>
        <w:rPr>
          <w:rFonts w:ascii="Arial" w:cs="Arial" w:eastAsia="Arial" w:hAnsi="Arial"/>
          <w:sz w:val="19"/>
          <w:szCs w:val="19"/>
          <w:color w:val="auto"/>
        </w:rPr>
        <w:t>See Item 7. “Management’s Discussion and Analysis of Financial Condition and Results of Operations—Results of Operations—Non-GAAP Financial Measures” for our definition of Adjusted EBITDA and Adjusted EBITDA attributable to PAA.</w:t>
      </w:r>
    </w:p>
    <w:p>
      <w:pPr>
        <w:spacing w:after="0" w:line="182" w:lineRule="exact"/>
        <w:rPr>
          <w:sz w:val="20"/>
          <w:szCs w:val="20"/>
          <w:color w:val="auto"/>
        </w:rPr>
      </w:pPr>
    </w:p>
    <w:p>
      <w:pPr>
        <w:ind w:firstLine="702"/>
        <w:spacing w:after="0" w:line="279" w:lineRule="auto"/>
        <w:rPr>
          <w:sz w:val="20"/>
          <w:szCs w:val="20"/>
          <w:color w:val="auto"/>
        </w:rPr>
      </w:pPr>
      <w:r>
        <w:rPr>
          <w:rFonts w:ascii="Arial" w:cs="Arial" w:eastAsia="Arial" w:hAnsi="Arial"/>
          <w:sz w:val="18"/>
          <w:szCs w:val="18"/>
          <w:color w:val="auto"/>
        </w:rPr>
        <w:t>At December 31, 2023, PAA’s publicly-traded senior notes comprised approximately 99% of its long-term debt. Additionally, PAA also routinely incurs short-term debt primarily in connection with its merchant activities that involve the simultaneous purchase and forward sale of crude oil and NGL. The crude oil and NGL purchased in these transactions are volumetrically hedged. These borrowings are self-liquidating as they are repaid with sales proceeds. PAA also incurs short-term debt to fund New York Mercantile Exchange (“NYMEX”) and Intercontinental Exchange (“ICE”) margin requirements. In certain market conditions, these routine short-term debt levels may increase above baseline levels. Similar to PAA’s working capital borrowings, these borrowings are self-liquidating. PAA does not consider the working capital borrowings or margin requirements associated with these activities to be part of its long-term capital structure.</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Values and Sustainability</w:t>
      </w:r>
    </w:p>
    <w:p>
      <w:pPr>
        <w:spacing w:after="0" w:line="257" w:lineRule="exact"/>
        <w:rPr>
          <w:sz w:val="20"/>
          <w:szCs w:val="20"/>
          <w:color w:val="auto"/>
        </w:rPr>
      </w:pPr>
    </w:p>
    <w:p>
      <w:pPr>
        <w:ind w:right="20" w:firstLine="702"/>
        <w:spacing w:after="0" w:line="292" w:lineRule="auto"/>
        <w:rPr>
          <w:sz w:val="20"/>
          <w:szCs w:val="20"/>
          <w:color w:val="auto"/>
        </w:rPr>
      </w:pPr>
      <w:r>
        <w:rPr>
          <w:rFonts w:ascii="Arial" w:cs="Arial" w:eastAsia="Arial" w:hAnsi="Arial"/>
          <w:sz w:val="17"/>
          <w:szCs w:val="17"/>
          <w:color w:val="auto"/>
        </w:rPr>
        <w:t>Our Core Values include Safety and Environmental Stewardship; Ownership and Accountability; Respect, Fairness, and Inclusion; Ethics and Integrity; Teamwork; and Entrepreneurship and Innovation. Our Code of Business Conduct sets forth the ways in which these Core Values govern how we conduct ourselves and engage in business relationships. Our approach to sustainability involves integrating prudent environmental, social and governance (“ESG”) practices throughout the organization with a focus on transparency and building trust among stakeholders, managing operating and business risks and minimizing environmental impacts, and utilizing our people, assets and systems to maximize long-term value for our stakeholders. The tenets of sustainability align with our values, underpin our business strategy and offer a framework to measure and report our progress. Annual environmental, safety and operational performance targets help us measure progress toward meeting our sustainability objectives. Performance against such targets is also a factor in determining annual bonus compensation for our employees, which further incentivizes desired behaviors and outcomes. In addition, our Health, Safety, Environmental and Sustainability (“HSES”) Board Committee provides additional oversight and perspectives with respect to HSES matters. Additional information regarding our Core Values and our commitment to environmental and social responsibility, including our annual Sustainability Report, is available in the Sustainability section of our website. References to sustainability in this report incorporate ESG or environmental, social and governance factors. See “—Available Information” below.</w:t>
      </w:r>
    </w:p>
    <w:p>
      <w:pPr>
        <w:sectPr>
          <w:pgSz w:w="11880" w:h="15480" w:orient="portrait"/>
          <w:cols w:equalWidth="0" w:num="1">
            <w:col w:w="9980"/>
          </w:cols>
          <w:pgMar w:left="940" w:top="676" w:right="960"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9980"/>
          </w:cols>
          <w:pgMar w:left="940" w:top="676" w:right="960" w:bottom="0" w:gutter="0" w:footer="0" w:header="0"/>
          <w:type w:val="continuous"/>
        </w:sectPr>
      </w:pPr>
    </w:p>
    <w:bookmarkStart w:id="9" w:name="page10"/>
    <w:bookmarkEnd w:id="9"/>
    <w:p>
      <w:pPr>
        <w:spacing w:after="0"/>
        <w:rPr>
          <w:sz w:val="20"/>
          <w:szCs w:val="20"/>
          <w:color w:val="auto"/>
        </w:rPr>
      </w:pPr>
      <w:r>
        <w:rPr>
          <w:rFonts w:ascii="Arial" w:cs="Arial" w:eastAsia="Arial" w:hAnsi="Arial"/>
          <w:sz w:val="19"/>
          <w:szCs w:val="19"/>
          <w:b w:val="1"/>
          <w:bCs w:val="1"/>
          <w:color w:val="auto"/>
        </w:rPr>
        <w:t>Description of Segments and Associated Assets</w:t>
      </w:r>
    </w:p>
    <w:p>
      <w:pPr>
        <w:spacing w:after="0" w:line="257" w:lineRule="exact"/>
        <w:rPr>
          <w:sz w:val="20"/>
          <w:szCs w:val="20"/>
          <w:color w:val="auto"/>
        </w:rPr>
      </w:pPr>
    </w:p>
    <w:p>
      <w:pPr>
        <w:ind w:firstLine="702"/>
        <w:spacing w:after="0" w:line="266" w:lineRule="auto"/>
        <w:rPr>
          <w:sz w:val="20"/>
          <w:szCs w:val="20"/>
          <w:color w:val="auto"/>
        </w:rPr>
      </w:pPr>
      <w:r>
        <w:rPr>
          <w:rFonts w:ascii="Arial" w:cs="Arial" w:eastAsia="Arial" w:hAnsi="Arial"/>
          <w:sz w:val="19"/>
          <w:szCs w:val="19"/>
          <w:color w:val="auto"/>
        </w:rPr>
        <w:t>Under GAAP, we consolidate GP LLC, AAP and PAA and its subsidiaries. We currently have no separate operating activities apart from those conducted by PAA. As such, our segment analysis, presentation and discussion is the same as that of PAA, which conducts its operations through two segments — Crude Oil and NGL. Accordingly, any references to “we,” “us,” “our,” and similar terms describing assets, business characteristics or other related matters are references to assets, business characteristics or other matters involving PAA’s assets and operations.</w:t>
      </w:r>
    </w:p>
    <w:p>
      <w:pPr>
        <w:spacing w:after="0" w:line="193" w:lineRule="exact"/>
        <w:rPr>
          <w:sz w:val="20"/>
          <w:szCs w:val="20"/>
          <w:color w:val="auto"/>
        </w:rPr>
      </w:pPr>
    </w:p>
    <w:p>
      <w:pPr>
        <w:ind w:right="220" w:firstLine="702"/>
        <w:spacing w:after="0" w:line="325" w:lineRule="auto"/>
        <w:rPr>
          <w:sz w:val="20"/>
          <w:szCs w:val="20"/>
          <w:color w:val="auto"/>
        </w:rPr>
      </w:pPr>
      <w:r>
        <w:rPr>
          <w:rFonts w:ascii="Arial" w:cs="Arial" w:eastAsia="Arial" w:hAnsi="Arial"/>
          <w:sz w:val="18"/>
          <w:szCs w:val="18"/>
          <w:color w:val="auto"/>
        </w:rPr>
        <w:t>We have an extensive network of pipeline transportation, terminalling, storage and gathering assets in key crude oil and NGL producing basins and transportation corridors and at major market hubs in the United States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351270" cy="5474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extLst>
                    </a:blip>
                    <a:srcRect/>
                    <a:stretch>
                      <a:fillRect/>
                    </a:stretch>
                  </pic:blipFill>
                  <pic:spPr bwMode="auto">
                    <a:xfrm>
                      <a:off x="0" y="0"/>
                      <a:ext cx="6351270" cy="5474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00"/>
        <w:spacing w:after="0"/>
        <w:rPr>
          <w:sz w:val="20"/>
          <w:szCs w:val="20"/>
          <w:color w:val="auto"/>
        </w:rPr>
      </w:pPr>
      <w:r>
        <w:rPr>
          <w:rFonts w:ascii="Arial" w:cs="Arial" w:eastAsia="Arial" w:hAnsi="Arial"/>
          <w:sz w:val="19"/>
          <w:szCs w:val="19"/>
          <w:color w:val="auto"/>
        </w:rPr>
        <w:t>Following is a description of the activities and assets for each of our segments.</w:t>
      </w:r>
    </w:p>
    <w:p>
      <w:pPr>
        <w:sectPr>
          <w:pgSz w:w="11880" w:h="15480" w:orient="portrait"/>
          <w:cols w:equalWidth="0" w:num="1">
            <w:col w:w="9920"/>
          </w:cols>
          <w:pgMar w:left="940" w:top="90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9920"/>
          </w:cols>
          <w:pgMar w:left="940" w:top="903" w:right="1020" w:bottom="0" w:gutter="0" w:footer="0" w:header="0"/>
          <w:type w:val="continuous"/>
        </w:sectPr>
      </w:pPr>
    </w:p>
    <w:bookmarkStart w:id="10" w:name="page11"/>
    <w:bookmarkEnd w:id="10"/>
    <w:p>
      <w:pPr>
        <w:spacing w:after="0"/>
        <w:rPr>
          <w:sz w:val="20"/>
          <w:szCs w:val="20"/>
          <w:color w:val="auto"/>
        </w:rPr>
      </w:pPr>
      <w:r>
        <w:rPr>
          <w:rFonts w:ascii="Arial" w:cs="Arial" w:eastAsia="Arial" w:hAnsi="Arial"/>
          <w:sz w:val="19"/>
          <w:szCs w:val="19"/>
          <w:b w:val="1"/>
          <w:bCs w:val="1"/>
          <w:i w:val="1"/>
          <w:iCs w:val="1"/>
          <w:color w:val="auto"/>
        </w:rPr>
        <w:t>Crude Oil Segment</w:t>
      </w:r>
    </w:p>
    <w:p>
      <w:pPr>
        <w:spacing w:after="0" w:line="249"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Crude Oil Market and Business Overview</w:t>
      </w:r>
    </w:p>
    <w:p>
      <w:pPr>
        <w:spacing w:after="0" w:line="257" w:lineRule="exact"/>
        <w:rPr>
          <w:sz w:val="20"/>
          <w:szCs w:val="20"/>
          <w:color w:val="auto"/>
        </w:rPr>
      </w:pPr>
    </w:p>
    <w:p>
      <w:pPr>
        <w:ind w:right="80" w:firstLine="702"/>
        <w:spacing w:after="0" w:line="297" w:lineRule="auto"/>
        <w:rPr>
          <w:sz w:val="20"/>
          <w:szCs w:val="20"/>
          <w:color w:val="auto"/>
        </w:rPr>
      </w:pPr>
      <w:r>
        <w:rPr>
          <w:rFonts w:ascii="Arial" w:cs="Arial" w:eastAsia="Arial" w:hAnsi="Arial"/>
          <w:sz w:val="17"/>
          <w:szCs w:val="17"/>
          <w:color w:val="auto"/>
        </w:rPr>
        <w:t>Crude oil is a global commodity that serves as feedstock for many of the world’s essential refined products such as transportation fuels (gasoline, diesel, jet fuel) and heating oil, among others. While commodities are typically considered unspecialized, mass-produced and fungible, crude oil is neither unspecialized nor fungible. The crude slate available to North American and world-wide refineries consists of a substantial number of different grades and varieties.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of a particular grade or type of crude oil. In many cases, these factors result in the need for such grades to be batched or segregated in the transportation and storage processes, blended to precise specifications or adjusted in value.</w:t>
      </w:r>
    </w:p>
    <w:p>
      <w:pPr>
        <w:spacing w:after="0" w:line="171" w:lineRule="exact"/>
        <w:rPr>
          <w:sz w:val="20"/>
          <w:szCs w:val="20"/>
          <w:color w:val="auto"/>
        </w:rPr>
      </w:pPr>
    </w:p>
    <w:p>
      <w:pPr>
        <w:ind w:firstLine="702"/>
        <w:spacing w:after="0" w:line="305" w:lineRule="auto"/>
        <w:rPr>
          <w:sz w:val="20"/>
          <w:szCs w:val="20"/>
          <w:color w:val="auto"/>
        </w:rPr>
      </w:pPr>
      <w:r>
        <w:rPr>
          <w:rFonts w:ascii="Arial" w:cs="Arial" w:eastAsia="Arial" w:hAnsi="Arial"/>
          <w:sz w:val="17"/>
          <w:szCs w:val="17"/>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combined with the value of finished goods created, drive a refinery’s choice of feedstock.</w:t>
      </w:r>
    </w:p>
    <w:p>
      <w:pPr>
        <w:spacing w:after="0" w:line="162" w:lineRule="exact"/>
        <w:rPr>
          <w:sz w:val="20"/>
          <w:szCs w:val="20"/>
          <w:color w:val="auto"/>
        </w:rPr>
      </w:pPr>
    </w:p>
    <w:p>
      <w:pPr>
        <w:ind w:right="100" w:firstLine="702"/>
        <w:spacing w:after="0" w:line="263" w:lineRule="auto"/>
        <w:rPr>
          <w:sz w:val="20"/>
          <w:szCs w:val="20"/>
          <w:color w:val="auto"/>
        </w:rPr>
      </w:pPr>
      <w:r>
        <w:rPr>
          <w:rFonts w:ascii="Arial" w:cs="Arial" w:eastAsia="Arial" w:hAnsi="Arial"/>
          <w:sz w:val="19"/>
          <w:szCs w:val="19"/>
          <w:color w:val="auto"/>
        </w:rPr>
        <w:t>Our business model integrates large-scale supply aggregation capabilities with the ownership and operation of critical infrastructure systems that connect major producing regions (supply) to key demand centers (refineries) and export terminals. Our assets and our business strategy are designed to serve our producer and refiner customers by addressing regional crude oil supply and demand imbalances that exist in the United States and Canada. The nature and extent of supply and demand imbalances change from time to time as a result of a variety of factors, including global demand for exports; regional production declines and/or increases; refinery expansions, modifications and shut-downs; available transportation and storage capacity; and government mandates and related regulatory factors.</w:t>
      </w:r>
    </w:p>
    <w:p>
      <w:pPr>
        <w:spacing w:after="0" w:line="196" w:lineRule="exact"/>
        <w:rPr>
          <w:sz w:val="20"/>
          <w:szCs w:val="20"/>
          <w:color w:val="auto"/>
        </w:rPr>
      </w:pPr>
    </w:p>
    <w:p>
      <w:pPr>
        <w:ind w:firstLine="702"/>
        <w:spacing w:after="0" w:line="264" w:lineRule="auto"/>
        <w:rPr>
          <w:sz w:val="20"/>
          <w:szCs w:val="20"/>
          <w:color w:val="auto"/>
        </w:rPr>
      </w:pPr>
      <w:r>
        <w:rPr>
          <w:rFonts w:ascii="Arial" w:cs="Arial" w:eastAsia="Arial" w:hAnsi="Arial"/>
          <w:sz w:val="19"/>
          <w:szCs w:val="19"/>
          <w:color w:val="auto"/>
        </w:rPr>
        <w:t>Our Crude Oil segment operations generally consist of gathering and transporting crude oil using pipelines, gathering systems, trucks and at times on barges or railcars, in addition to providing terminalling, storage and other facilities-related services utilizing our integrated assets across the United States and Canada. Our assets serve third parties and are also supported by our merchant activities. Our merchant activities include the purchase of crude oil supply and the movement of this supply on our assets or third-party assets to sales locations, including our terminals, third-party connecting carriers, regional hubs or to refineries.</w:t>
      </w:r>
    </w:p>
    <w:p>
      <w:pPr>
        <w:spacing w:after="0" w:line="196" w:lineRule="exact"/>
        <w:rPr>
          <w:sz w:val="20"/>
          <w:szCs w:val="20"/>
          <w:color w:val="auto"/>
        </w:rPr>
      </w:pPr>
    </w:p>
    <w:p>
      <w:pPr>
        <w:ind w:firstLine="702"/>
        <w:spacing w:after="0" w:line="295" w:lineRule="auto"/>
        <w:rPr>
          <w:sz w:val="20"/>
          <w:szCs w:val="20"/>
          <w:color w:val="auto"/>
        </w:rPr>
      </w:pPr>
      <w:r>
        <w:rPr>
          <w:rFonts w:ascii="Arial" w:cs="Arial" w:eastAsia="Arial" w:hAnsi="Arial"/>
          <w:sz w:val="19"/>
          <w:szCs w:val="19"/>
          <w:color w:val="auto"/>
        </w:rPr>
        <w:t>The figure below provides an illustrative and simplified overview of the assets and activities associated with our Crude Oil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6351270" cy="15106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extLst>
                    </a:blip>
                    <a:srcRect/>
                    <a:stretch>
                      <a:fillRect/>
                    </a:stretch>
                  </pic:blipFill>
                  <pic:spPr bwMode="auto">
                    <a:xfrm>
                      <a:off x="0" y="0"/>
                      <a:ext cx="6351270" cy="151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60" w:firstLine="702"/>
        <w:spacing w:after="0" w:line="264" w:lineRule="auto"/>
        <w:rPr>
          <w:sz w:val="20"/>
          <w:szCs w:val="20"/>
          <w:color w:val="auto"/>
        </w:rPr>
      </w:pPr>
      <w:r>
        <w:rPr>
          <w:rFonts w:ascii="Arial" w:cs="Arial" w:eastAsia="Arial" w:hAnsi="Arial"/>
          <w:sz w:val="19"/>
          <w:szCs w:val="19"/>
          <w:color w:val="auto"/>
        </w:rPr>
        <w:t>With respect to the transportation assets in this segment, we primarily generate revenue through a combination of tariffs, pipeline capacity agreements and other transportation fees. With respect to our crude oil terminal and condensate processing assets in this segment, we primarily generate revenue through a combination of month-to-month and multi-year agreements and arrangements which include storage, throughput and loading/unloading fees at our crude oil terminals. We also generate significant revenue through a variety of commercial and merchant activities that often result in increased utilization of our transportation and storage assets.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Crude Oil Segment Assets Overview</w:t>
      </w:r>
    </w:p>
    <w:p>
      <w:pPr>
        <w:spacing w:after="0" w:line="25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As of December 31, 2023, the assets utilized in our Crude Oil segment included the following:</w:t>
      </w:r>
    </w:p>
    <w:p>
      <w:pPr>
        <w:sectPr>
          <w:pgSz w:w="11880" w:h="15480" w:orient="portrait"/>
          <w:cols w:equalWidth="0" w:num="1">
            <w:col w:w="9980"/>
          </w:cols>
          <w:pgMar w:left="940" w:top="669" w:right="960"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9980"/>
          </w:cols>
          <w:pgMar w:left="940" w:top="669" w:right="960" w:bottom="0" w:gutter="0" w:footer="0" w:header="0"/>
          <w:type w:val="continuous"/>
        </w:sectPr>
      </w:pPr>
    </w:p>
    <w:bookmarkStart w:id="11" w:name="page12"/>
    <w:bookmarkEnd w:id="11"/>
    <w:p>
      <w:pPr>
        <w:ind w:left="1061" w:hanging="359"/>
        <w:spacing w:after="0"/>
        <w:tabs>
          <w:tab w:leader="none" w:pos="1061" w:val="left"/>
        </w:tabs>
        <w:numPr>
          <w:ilvl w:val="0"/>
          <w:numId w:val="8"/>
        </w:numPr>
        <w:rPr>
          <w:rFonts w:ascii="Arial" w:cs="Arial" w:eastAsia="Arial" w:hAnsi="Arial"/>
          <w:sz w:val="19"/>
          <w:szCs w:val="19"/>
          <w:color w:val="auto"/>
        </w:rPr>
      </w:pPr>
      <w:r>
        <w:rPr>
          <w:rFonts w:ascii="Arial" w:cs="Arial" w:eastAsia="Arial" w:hAnsi="Arial"/>
          <w:sz w:val="19"/>
          <w:szCs w:val="19"/>
          <w:color w:val="auto"/>
        </w:rPr>
        <w:t>18,335 miles of active crude oil transportation pipelines and gathering systems;</w:t>
      </w:r>
    </w:p>
    <w:p>
      <w:pPr>
        <w:spacing w:after="0" w:line="132" w:lineRule="exact"/>
        <w:rPr>
          <w:rFonts w:ascii="Arial" w:cs="Arial" w:eastAsia="Arial" w:hAnsi="Arial"/>
          <w:sz w:val="19"/>
          <w:szCs w:val="19"/>
          <w:color w:val="auto"/>
        </w:rPr>
      </w:pPr>
    </w:p>
    <w:p>
      <w:pPr>
        <w:ind w:left="1061" w:hanging="359"/>
        <w:spacing w:after="0"/>
        <w:tabs>
          <w:tab w:leader="none" w:pos="1061" w:val="left"/>
        </w:tabs>
        <w:numPr>
          <w:ilvl w:val="0"/>
          <w:numId w:val="8"/>
        </w:numPr>
        <w:rPr>
          <w:rFonts w:ascii="Arial" w:cs="Arial" w:eastAsia="Arial" w:hAnsi="Arial"/>
          <w:sz w:val="19"/>
          <w:szCs w:val="19"/>
          <w:color w:val="auto"/>
        </w:rPr>
      </w:pPr>
      <w:r>
        <w:rPr>
          <w:rFonts w:ascii="Arial" w:cs="Arial" w:eastAsia="Arial" w:hAnsi="Arial"/>
          <w:sz w:val="19"/>
          <w:szCs w:val="19"/>
          <w:color w:val="auto"/>
        </w:rPr>
        <w:t>72 million barrels of commercial crude oil storage capacity at our terminalling and storage locations;</w:t>
      </w:r>
    </w:p>
    <w:p>
      <w:pPr>
        <w:spacing w:after="0" w:line="132" w:lineRule="exact"/>
        <w:rPr>
          <w:rFonts w:ascii="Arial" w:cs="Arial" w:eastAsia="Arial" w:hAnsi="Arial"/>
          <w:sz w:val="19"/>
          <w:szCs w:val="19"/>
          <w:color w:val="auto"/>
        </w:rPr>
      </w:pPr>
    </w:p>
    <w:p>
      <w:pPr>
        <w:ind w:left="1061" w:right="200" w:hanging="359"/>
        <w:spacing w:after="0" w:line="295" w:lineRule="auto"/>
        <w:tabs>
          <w:tab w:leader="none" w:pos="1061" w:val="left"/>
        </w:tabs>
        <w:numPr>
          <w:ilvl w:val="0"/>
          <w:numId w:val="8"/>
        </w:numPr>
        <w:rPr>
          <w:rFonts w:ascii="Arial" w:cs="Arial" w:eastAsia="Arial" w:hAnsi="Arial"/>
          <w:sz w:val="19"/>
          <w:szCs w:val="19"/>
          <w:color w:val="auto"/>
        </w:rPr>
      </w:pPr>
      <w:r>
        <w:rPr>
          <w:rFonts w:ascii="Arial" w:cs="Arial" w:eastAsia="Arial" w:hAnsi="Arial"/>
          <w:sz w:val="19"/>
          <w:szCs w:val="19"/>
          <w:color w:val="auto"/>
        </w:rPr>
        <w:t>40 million barrels of active, above-ground tank capacity used to facilitate pipeline throughput or support our rail assets and help maintain product quality segregation;</w:t>
      </w:r>
    </w:p>
    <w:p>
      <w:pPr>
        <w:spacing w:after="0" w:line="47" w:lineRule="exact"/>
        <w:rPr>
          <w:rFonts w:ascii="Arial" w:cs="Arial" w:eastAsia="Arial" w:hAnsi="Arial"/>
          <w:sz w:val="19"/>
          <w:szCs w:val="19"/>
          <w:color w:val="auto"/>
        </w:rPr>
      </w:pPr>
    </w:p>
    <w:p>
      <w:pPr>
        <w:ind w:left="1061" w:hanging="359"/>
        <w:spacing w:after="0"/>
        <w:tabs>
          <w:tab w:leader="none" w:pos="1061" w:val="left"/>
        </w:tabs>
        <w:numPr>
          <w:ilvl w:val="0"/>
          <w:numId w:val="8"/>
        </w:numPr>
        <w:rPr>
          <w:rFonts w:ascii="Arial" w:cs="Arial" w:eastAsia="Arial" w:hAnsi="Arial"/>
          <w:sz w:val="19"/>
          <w:szCs w:val="19"/>
          <w:color w:val="auto"/>
        </w:rPr>
      </w:pPr>
      <w:r>
        <w:rPr>
          <w:rFonts w:ascii="Arial" w:cs="Arial" w:eastAsia="Arial" w:hAnsi="Arial"/>
          <w:sz w:val="19"/>
          <w:szCs w:val="19"/>
          <w:color w:val="auto"/>
        </w:rPr>
        <w:t>four marine facilities in the United States;</w:t>
      </w:r>
    </w:p>
    <w:p>
      <w:pPr>
        <w:spacing w:after="0" w:line="132" w:lineRule="exact"/>
        <w:rPr>
          <w:rFonts w:ascii="Arial" w:cs="Arial" w:eastAsia="Arial" w:hAnsi="Arial"/>
          <w:sz w:val="19"/>
          <w:szCs w:val="19"/>
          <w:color w:val="auto"/>
        </w:rPr>
      </w:pPr>
    </w:p>
    <w:p>
      <w:pPr>
        <w:ind w:left="1061" w:right="540" w:hanging="359"/>
        <w:spacing w:after="0" w:line="295" w:lineRule="auto"/>
        <w:tabs>
          <w:tab w:leader="none" w:pos="1061" w:val="left"/>
        </w:tabs>
        <w:numPr>
          <w:ilvl w:val="0"/>
          <w:numId w:val="8"/>
        </w:numPr>
        <w:rPr>
          <w:rFonts w:ascii="Arial" w:cs="Arial" w:eastAsia="Arial" w:hAnsi="Arial"/>
          <w:sz w:val="19"/>
          <w:szCs w:val="19"/>
          <w:color w:val="auto"/>
        </w:rPr>
      </w:pPr>
      <w:r>
        <w:rPr>
          <w:rFonts w:ascii="Arial" w:cs="Arial" w:eastAsia="Arial" w:hAnsi="Arial"/>
          <w:sz w:val="19"/>
          <w:szCs w:val="19"/>
          <w:color w:val="auto"/>
        </w:rPr>
        <w:t>a condensate processing facility located in the Eagle Ford area of South Texas with an aggregate processing capacity of 120,000 barrels per day;</w:t>
      </w:r>
    </w:p>
    <w:p>
      <w:pPr>
        <w:spacing w:after="0" w:line="47" w:lineRule="exact"/>
        <w:rPr>
          <w:rFonts w:ascii="Arial" w:cs="Arial" w:eastAsia="Arial" w:hAnsi="Arial"/>
          <w:sz w:val="19"/>
          <w:szCs w:val="19"/>
          <w:color w:val="auto"/>
        </w:rPr>
      </w:pPr>
    </w:p>
    <w:p>
      <w:pPr>
        <w:ind w:left="1061" w:right="220" w:hanging="359"/>
        <w:spacing w:after="0" w:line="295" w:lineRule="auto"/>
        <w:tabs>
          <w:tab w:leader="none" w:pos="1061" w:val="left"/>
        </w:tabs>
        <w:numPr>
          <w:ilvl w:val="0"/>
          <w:numId w:val="8"/>
        </w:numPr>
        <w:rPr>
          <w:rFonts w:ascii="Arial" w:cs="Arial" w:eastAsia="Arial" w:hAnsi="Arial"/>
          <w:sz w:val="19"/>
          <w:szCs w:val="19"/>
          <w:color w:val="auto"/>
        </w:rPr>
      </w:pPr>
      <w:r>
        <w:rPr>
          <w:rFonts w:ascii="Arial" w:cs="Arial" w:eastAsia="Arial" w:hAnsi="Arial"/>
          <w:sz w:val="19"/>
          <w:szCs w:val="19"/>
          <w:color w:val="auto"/>
        </w:rPr>
        <w:t>seven crude oil rail terminals with aggregate loading and unloading capacity of 264,000 and 350,000 barrels per day, respectively;</w:t>
      </w:r>
    </w:p>
    <w:p>
      <w:pPr>
        <w:spacing w:after="0" w:line="47" w:lineRule="exact"/>
        <w:rPr>
          <w:rFonts w:ascii="Arial" w:cs="Arial" w:eastAsia="Arial" w:hAnsi="Arial"/>
          <w:sz w:val="19"/>
          <w:szCs w:val="19"/>
          <w:color w:val="auto"/>
        </w:rPr>
      </w:pPr>
    </w:p>
    <w:p>
      <w:pPr>
        <w:ind w:left="1061" w:hanging="359"/>
        <w:spacing w:after="0"/>
        <w:tabs>
          <w:tab w:leader="none" w:pos="1061" w:val="left"/>
        </w:tabs>
        <w:numPr>
          <w:ilvl w:val="0"/>
          <w:numId w:val="8"/>
        </w:numPr>
        <w:rPr>
          <w:rFonts w:ascii="Arial" w:cs="Arial" w:eastAsia="Arial" w:hAnsi="Arial"/>
          <w:sz w:val="19"/>
          <w:szCs w:val="19"/>
          <w:color w:val="auto"/>
        </w:rPr>
      </w:pPr>
      <w:r>
        <w:rPr>
          <w:rFonts w:ascii="Arial" w:cs="Arial" w:eastAsia="Arial" w:hAnsi="Arial"/>
          <w:sz w:val="19"/>
          <w:szCs w:val="19"/>
          <w:color w:val="auto"/>
        </w:rPr>
        <w:t>1,420 crude oil railcars; and</w:t>
      </w:r>
    </w:p>
    <w:p>
      <w:pPr>
        <w:spacing w:after="0" w:line="132" w:lineRule="exact"/>
        <w:rPr>
          <w:rFonts w:ascii="Arial" w:cs="Arial" w:eastAsia="Arial" w:hAnsi="Arial"/>
          <w:sz w:val="19"/>
          <w:szCs w:val="19"/>
          <w:color w:val="auto"/>
        </w:rPr>
      </w:pPr>
    </w:p>
    <w:p>
      <w:pPr>
        <w:ind w:left="1061" w:hanging="359"/>
        <w:spacing w:after="0"/>
        <w:tabs>
          <w:tab w:leader="none" w:pos="1061" w:val="left"/>
        </w:tabs>
        <w:numPr>
          <w:ilvl w:val="0"/>
          <w:numId w:val="8"/>
        </w:numPr>
        <w:rPr>
          <w:rFonts w:ascii="Arial" w:cs="Arial" w:eastAsia="Arial" w:hAnsi="Arial"/>
          <w:sz w:val="19"/>
          <w:szCs w:val="19"/>
          <w:color w:val="auto"/>
        </w:rPr>
      </w:pPr>
      <w:r>
        <w:rPr>
          <w:rFonts w:ascii="Arial" w:cs="Arial" w:eastAsia="Arial" w:hAnsi="Arial"/>
          <w:sz w:val="19"/>
          <w:szCs w:val="19"/>
          <w:color w:val="auto"/>
        </w:rPr>
        <w:t>740 trucks and 1,355 trailers.</w:t>
      </w:r>
    </w:p>
    <w:p>
      <w:pPr>
        <w:spacing w:after="0" w:line="249" w:lineRule="exact"/>
        <w:rPr>
          <w:rFonts w:ascii="Arial" w:cs="Arial" w:eastAsia="Arial" w:hAnsi="Arial"/>
          <w:sz w:val="19"/>
          <w:szCs w:val="19"/>
          <w:color w:val="auto"/>
        </w:rPr>
      </w:pPr>
    </w:p>
    <w:p>
      <w:pPr>
        <w:ind w:left="1061"/>
        <w:spacing w:after="0"/>
        <w:rPr>
          <w:rFonts w:ascii="Arial" w:cs="Arial" w:eastAsia="Arial" w:hAnsi="Arial"/>
          <w:sz w:val="19"/>
          <w:szCs w:val="19"/>
          <w:color w:val="auto"/>
        </w:rPr>
      </w:pPr>
      <w:r>
        <w:rPr>
          <w:rFonts w:ascii="Arial" w:cs="Arial" w:eastAsia="Arial" w:hAnsi="Arial"/>
          <w:sz w:val="18"/>
          <w:szCs w:val="18"/>
          <w:color w:val="auto"/>
        </w:rPr>
        <w:t>Additionally, our assets include the linefill associated with our commercial activities, including approximately:</w:t>
      </w:r>
    </w:p>
    <w:p>
      <w:pPr>
        <w:spacing w:after="0" w:line="143" w:lineRule="exact"/>
        <w:rPr>
          <w:rFonts w:ascii="Arial" w:cs="Arial" w:eastAsia="Arial" w:hAnsi="Arial"/>
          <w:sz w:val="19"/>
          <w:szCs w:val="19"/>
          <w:color w:val="auto"/>
        </w:rPr>
      </w:pPr>
    </w:p>
    <w:p>
      <w:pPr>
        <w:ind w:left="1061" w:hanging="359"/>
        <w:spacing w:after="0"/>
        <w:tabs>
          <w:tab w:leader="none" w:pos="1061" w:val="left"/>
        </w:tabs>
        <w:numPr>
          <w:ilvl w:val="0"/>
          <w:numId w:val="8"/>
        </w:numPr>
        <w:rPr>
          <w:rFonts w:ascii="Arial" w:cs="Arial" w:eastAsia="Arial" w:hAnsi="Arial"/>
          <w:sz w:val="19"/>
          <w:szCs w:val="19"/>
          <w:color w:val="auto"/>
        </w:rPr>
      </w:pPr>
      <w:r>
        <w:rPr>
          <w:rFonts w:ascii="Arial" w:cs="Arial" w:eastAsia="Arial" w:hAnsi="Arial"/>
          <w:sz w:val="19"/>
          <w:szCs w:val="19"/>
          <w:color w:val="auto"/>
        </w:rPr>
        <w:t>15 million barrels of crude oil linefill in pipelines and tanks owned by us; and</w:t>
      </w:r>
    </w:p>
    <w:p>
      <w:pPr>
        <w:spacing w:after="0" w:line="132" w:lineRule="exact"/>
        <w:rPr>
          <w:rFonts w:ascii="Arial" w:cs="Arial" w:eastAsia="Arial" w:hAnsi="Arial"/>
          <w:sz w:val="19"/>
          <w:szCs w:val="19"/>
          <w:color w:val="auto"/>
        </w:rPr>
      </w:pPr>
    </w:p>
    <w:p>
      <w:pPr>
        <w:ind w:left="1061" w:right="160" w:hanging="359"/>
        <w:spacing w:after="0" w:line="295" w:lineRule="auto"/>
        <w:tabs>
          <w:tab w:leader="none" w:pos="1061" w:val="left"/>
        </w:tabs>
        <w:numPr>
          <w:ilvl w:val="0"/>
          <w:numId w:val="8"/>
        </w:numPr>
        <w:rPr>
          <w:rFonts w:ascii="Arial" w:cs="Arial" w:eastAsia="Arial" w:hAnsi="Arial"/>
          <w:sz w:val="19"/>
          <w:szCs w:val="19"/>
          <w:color w:val="auto"/>
        </w:rPr>
      </w:pPr>
      <w:r>
        <w:rPr>
          <w:rFonts w:ascii="Arial" w:cs="Arial" w:eastAsia="Arial" w:hAnsi="Arial"/>
          <w:sz w:val="19"/>
          <w:szCs w:val="19"/>
          <w:color w:val="auto"/>
        </w:rPr>
        <w:t>3 million barrels of crude oil utilized as linefill in pipelines owned by third parties or otherwise required as long-term inventory.</w:t>
      </w:r>
    </w:p>
    <w:p>
      <w:pPr>
        <w:spacing w:after="0" w:line="165" w:lineRule="exact"/>
        <w:rPr>
          <w:sz w:val="20"/>
          <w:szCs w:val="20"/>
          <w:color w:val="auto"/>
        </w:rPr>
      </w:pPr>
    </w:p>
    <w:p>
      <w:pPr>
        <w:ind w:left="1" w:right="760" w:firstLine="702"/>
        <w:spacing w:after="0" w:line="276" w:lineRule="auto"/>
        <w:rPr>
          <w:sz w:val="20"/>
          <w:szCs w:val="20"/>
          <w:color w:val="auto"/>
        </w:rPr>
      </w:pPr>
      <w:r>
        <w:rPr>
          <w:rFonts w:ascii="Arial" w:cs="Arial" w:eastAsia="Arial" w:hAnsi="Arial"/>
          <w:sz w:val="19"/>
          <w:szCs w:val="19"/>
          <w:color w:val="auto"/>
        </w:rPr>
        <w:t>The following table presents additional information about our pipelines and terminals by geographic location, including active pipeline miles and commercial storage capacity as of December 31, 2023 and average daily volumes transported on our crude oil pipelines for the year ended December 31, 2023:</w:t>
      </w:r>
    </w:p>
    <w:p>
      <w:pPr>
        <w:spacing w:after="0" w:line="226" w:lineRule="exact"/>
        <w:rPr>
          <w:sz w:val="20"/>
          <w:szCs w:val="20"/>
          <w:color w:val="auto"/>
        </w:rPr>
      </w:pPr>
    </w:p>
    <w:tbl>
      <w:tblPr>
        <w:tblLayout w:type="fixed"/>
        <w:tblInd w:w="1" w:type="dxa"/>
        <w:tblCellMar>
          <w:top w:w="0" w:type="dxa"/>
          <w:left w:w="0" w:type="dxa"/>
          <w:bottom w:w="0" w:type="dxa"/>
          <w:right w:w="0" w:type="dxa"/>
        </w:tblCellMar>
      </w:tblPr>
      <w:tr>
        <w:trPr>
          <w:trHeight w:val="195"/>
        </w:trPr>
        <w:tc>
          <w:tcPr>
            <w:tcW w:w="3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jc w:val="right"/>
              <w:ind w:right="112"/>
              <w:spacing w:after="0"/>
              <w:rPr>
                <w:sz w:val="20"/>
                <w:szCs w:val="20"/>
                <w:color w:val="auto"/>
              </w:rPr>
            </w:pPr>
            <w:r>
              <w:rPr>
                <w:rFonts w:ascii="Arial" w:cs="Arial" w:eastAsia="Arial" w:hAnsi="Arial"/>
                <w:sz w:val="17"/>
                <w:szCs w:val="17"/>
                <w:b w:val="1"/>
                <w:bCs w:val="1"/>
                <w:color w:val="auto"/>
              </w:rPr>
              <w:t>Approximate</w:t>
            </w:r>
          </w:p>
        </w:tc>
        <w:tc>
          <w:tcPr>
            <w:tcW w:w="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7"/>
                <w:szCs w:val="17"/>
                <w:b w:val="1"/>
                <w:bCs w:val="1"/>
                <w:color w:val="auto"/>
                <w:w w:val="89"/>
              </w:rPr>
              <w:t>2023 Average</w:t>
            </w:r>
          </w:p>
        </w:tc>
        <w:tc>
          <w:tcPr>
            <w:tcW w:w="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7"/>
                <w:szCs w:val="17"/>
                <w:b w:val="1"/>
                <w:bCs w:val="1"/>
                <w:color w:val="auto"/>
                <w:w w:val="89"/>
              </w:rPr>
              <w:t>Commercial Storage</w:t>
            </w:r>
          </w:p>
        </w:tc>
      </w:tr>
      <w:tr>
        <w:trPr>
          <w:trHeight w:val="221"/>
        </w:trPr>
        <w:tc>
          <w:tcPr>
            <w:tcW w:w="3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Region</w:t>
            </w:r>
          </w:p>
        </w:tc>
        <w:tc>
          <w:tcPr>
            <w:tcW w:w="60" w:type="dxa"/>
            <w:vAlign w:val="bottom"/>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Ownership Percentage</w:t>
            </w:r>
          </w:p>
        </w:tc>
        <w:tc>
          <w:tcPr>
            <w:tcW w:w="60" w:type="dxa"/>
            <w:vAlign w:val="bottom"/>
          </w:tcPr>
          <w:p>
            <w:pPr>
              <w:spacing w:after="0"/>
              <w:rPr>
                <w:sz w:val="19"/>
                <w:szCs w:val="19"/>
                <w:color w:val="auto"/>
              </w:rPr>
            </w:pPr>
          </w:p>
        </w:tc>
        <w:tc>
          <w:tcPr>
            <w:tcW w:w="1360" w:type="dxa"/>
            <w:vAlign w:val="bottom"/>
            <w:tcBorders>
              <w:bottom w:val="single" w:sz="8" w:color="auto"/>
            </w:tcBorders>
          </w:tcPr>
          <w:p>
            <w:pPr>
              <w:jc w:val="right"/>
              <w:ind w:right="32"/>
              <w:spacing w:after="0" w:line="221" w:lineRule="exact"/>
              <w:rPr>
                <w:sz w:val="20"/>
                <w:szCs w:val="20"/>
                <w:color w:val="auto"/>
              </w:rPr>
            </w:pPr>
            <w:r>
              <w:rPr>
                <w:rFonts w:ascii="Arial" w:cs="Arial" w:eastAsia="Arial" w:hAnsi="Arial"/>
                <w:sz w:val="17"/>
                <w:szCs w:val="17"/>
                <w:b w:val="1"/>
                <w:bCs w:val="1"/>
                <w:color w:val="auto"/>
                <w:w w:val="94"/>
              </w:rPr>
              <w:t xml:space="preserve">System Miles </w:t>
            </w:r>
            <w:r>
              <w:rPr>
                <w:rFonts w:ascii="Arial" w:cs="Arial" w:eastAsia="Arial" w:hAnsi="Arial"/>
                <w:sz w:val="21"/>
                <w:szCs w:val="21"/>
                <w:b w:val="1"/>
                <w:bCs w:val="1"/>
                <w:color w:val="auto"/>
                <w:w w:val="94"/>
                <w:vertAlign w:val="superscript"/>
              </w:rPr>
              <w:t>(1)</w:t>
            </w:r>
          </w:p>
        </w:tc>
        <w:tc>
          <w:tcPr>
            <w:tcW w:w="80" w:type="dxa"/>
            <w:vAlign w:val="bottom"/>
          </w:tcPr>
          <w:p>
            <w:pPr>
              <w:spacing w:after="0"/>
              <w:rPr>
                <w:sz w:val="19"/>
                <w:szCs w:val="19"/>
                <w:color w:val="auto"/>
              </w:rPr>
            </w:pPr>
          </w:p>
        </w:tc>
        <w:tc>
          <w:tcPr>
            <w:tcW w:w="1540" w:type="dxa"/>
            <w:vAlign w:val="bottom"/>
            <w:tcBorders>
              <w:bottom w:val="single" w:sz="8" w:color="auto"/>
            </w:tcBorders>
          </w:tcPr>
          <w:p>
            <w:pPr>
              <w:jc w:val="center"/>
              <w:spacing w:after="0" w:line="221" w:lineRule="exact"/>
              <w:rPr>
                <w:sz w:val="20"/>
                <w:szCs w:val="20"/>
                <w:color w:val="auto"/>
              </w:rPr>
            </w:pPr>
            <w:r>
              <w:rPr>
                <w:rFonts w:ascii="Arial" w:cs="Arial" w:eastAsia="Arial" w:hAnsi="Arial"/>
                <w:sz w:val="17"/>
                <w:szCs w:val="17"/>
                <w:b w:val="1"/>
                <w:bCs w:val="1"/>
                <w:color w:val="auto"/>
                <w:w w:val="88"/>
              </w:rPr>
              <w:t xml:space="preserve">Barrels per Day </w:t>
            </w:r>
            <w:r>
              <w:rPr>
                <w:rFonts w:ascii="Arial" w:cs="Arial" w:eastAsia="Arial" w:hAnsi="Arial"/>
                <w:sz w:val="21"/>
                <w:szCs w:val="21"/>
                <w:b w:val="1"/>
                <w:bCs w:val="1"/>
                <w:color w:val="auto"/>
                <w:w w:val="88"/>
                <w:vertAlign w:val="superscript"/>
              </w:rPr>
              <w:t>(2)</w:t>
            </w:r>
          </w:p>
        </w:tc>
        <w:tc>
          <w:tcPr>
            <w:tcW w:w="60" w:type="dxa"/>
            <w:vAlign w:val="bottom"/>
          </w:tcPr>
          <w:p>
            <w:pPr>
              <w:spacing w:after="0"/>
              <w:rPr>
                <w:sz w:val="19"/>
                <w:szCs w:val="19"/>
                <w:color w:val="auto"/>
              </w:rPr>
            </w:pPr>
          </w:p>
        </w:tc>
        <w:tc>
          <w:tcPr>
            <w:tcW w:w="1560" w:type="dxa"/>
            <w:vAlign w:val="bottom"/>
            <w:tcBorders>
              <w:bottom w:val="single" w:sz="8" w:color="auto"/>
            </w:tcBorders>
          </w:tcPr>
          <w:p>
            <w:pPr>
              <w:jc w:val="right"/>
              <w:ind w:right="292"/>
              <w:spacing w:after="0" w:line="221" w:lineRule="exact"/>
              <w:rPr>
                <w:sz w:val="20"/>
                <w:szCs w:val="20"/>
                <w:color w:val="auto"/>
              </w:rPr>
            </w:pPr>
            <w:r>
              <w:rPr>
                <w:rFonts w:ascii="Arial" w:cs="Arial" w:eastAsia="Arial" w:hAnsi="Arial"/>
                <w:sz w:val="17"/>
                <w:szCs w:val="17"/>
                <w:b w:val="1"/>
                <w:bCs w:val="1"/>
                <w:color w:val="auto"/>
              </w:rPr>
              <w:t xml:space="preserve">Capacity </w:t>
            </w:r>
            <w:r>
              <w:rPr>
                <w:rFonts w:ascii="Arial" w:cs="Arial" w:eastAsia="Arial" w:hAnsi="Arial"/>
                <w:sz w:val="21"/>
                <w:szCs w:val="21"/>
                <w:b w:val="1"/>
                <w:bCs w:val="1"/>
                <w:color w:val="auto"/>
                <w:vertAlign w:val="superscript"/>
              </w:rPr>
              <w:t>(3)</w:t>
            </w:r>
          </w:p>
        </w:tc>
      </w:tr>
      <w:tr>
        <w:trPr>
          <w:trHeight w:val="222"/>
        </w:trPr>
        <w:tc>
          <w:tcPr>
            <w:tcW w:w="3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85"/>
              </w:rPr>
              <w:t>(in thousands)</w:t>
            </w:r>
          </w:p>
        </w:tc>
        <w:tc>
          <w:tcPr>
            <w:tcW w:w="60" w:type="dxa"/>
            <w:vAlign w:val="bottom"/>
          </w:tcPr>
          <w:p>
            <w:pPr>
              <w:spacing w:after="0"/>
              <w:rPr>
                <w:sz w:val="19"/>
                <w:szCs w:val="19"/>
                <w:color w:val="auto"/>
              </w:rPr>
            </w:pPr>
          </w:p>
        </w:tc>
        <w:tc>
          <w:tcPr>
            <w:tcW w:w="1560" w:type="dxa"/>
            <w:vAlign w:val="bottom"/>
          </w:tcPr>
          <w:p>
            <w:pPr>
              <w:jc w:val="right"/>
              <w:ind w:right="292"/>
              <w:spacing w:after="0"/>
              <w:rPr>
                <w:sz w:val="20"/>
                <w:szCs w:val="20"/>
                <w:color w:val="auto"/>
              </w:rPr>
            </w:pPr>
            <w:r>
              <w:rPr>
                <w:rFonts w:ascii="Arial" w:cs="Arial" w:eastAsia="Arial" w:hAnsi="Arial"/>
                <w:sz w:val="16"/>
                <w:szCs w:val="16"/>
                <w:b w:val="1"/>
                <w:bCs w:val="1"/>
                <w:color w:val="auto"/>
              </w:rPr>
              <w:t>(in millions)</w:t>
            </w:r>
          </w:p>
        </w:tc>
      </w:tr>
      <w:tr>
        <w:trPr>
          <w:trHeight w:val="281"/>
        </w:trPr>
        <w:tc>
          <w:tcPr>
            <w:tcW w:w="3560" w:type="dxa"/>
            <w:vAlign w:val="bottom"/>
            <w:gridSpan w:val="2"/>
          </w:tcPr>
          <w:p>
            <w:pPr>
              <w:ind w:left="180"/>
              <w:spacing w:after="0"/>
              <w:rPr>
                <w:sz w:val="20"/>
                <w:szCs w:val="20"/>
                <w:color w:val="auto"/>
              </w:rPr>
            </w:pPr>
            <w:r>
              <w:rPr>
                <w:rFonts w:ascii="Arial" w:cs="Arial" w:eastAsia="Arial" w:hAnsi="Arial"/>
                <w:sz w:val="19"/>
                <w:szCs w:val="19"/>
                <w:color w:val="auto"/>
              </w:rPr>
              <w:t>Permian Basin:</w:t>
            </w: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13"/>
        </w:trPr>
        <w:tc>
          <w:tcPr>
            <w:tcW w:w="3560" w:type="dxa"/>
            <w:vAlign w:val="bottom"/>
            <w:gridSpan w:val="2"/>
          </w:tcPr>
          <w:p>
            <w:pPr>
              <w:ind w:left="280"/>
              <w:spacing w:after="0"/>
              <w:rPr>
                <w:sz w:val="20"/>
                <w:szCs w:val="20"/>
                <w:color w:val="auto"/>
              </w:rPr>
            </w:pPr>
            <w:r>
              <w:rPr>
                <w:rFonts w:ascii="Arial" w:cs="Arial" w:eastAsia="Arial" w:hAnsi="Arial"/>
                <w:sz w:val="19"/>
                <w:szCs w:val="19"/>
                <w:color w:val="auto"/>
              </w:rPr>
              <w:t xml:space="preserve">Gathering pipelines </w:t>
            </w:r>
            <w:r>
              <w:rPr>
                <w:rFonts w:ascii="Arial" w:cs="Arial" w:eastAsia="Arial" w:hAnsi="Arial"/>
                <w:sz w:val="25"/>
                <w:szCs w:val="25"/>
                <w:color w:val="auto"/>
                <w:vertAlign w:val="superscript"/>
              </w:rPr>
              <w:t>(4)</w:t>
            </w:r>
          </w:p>
        </w:tc>
        <w:tc>
          <w:tcPr>
            <w:tcW w:w="178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65%</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5,240</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2,643</w:t>
            </w: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2"/>
        </w:trPr>
        <w:tc>
          <w:tcPr>
            <w:tcW w:w="3560" w:type="dxa"/>
            <w:vAlign w:val="bottom"/>
            <w:gridSpan w:val="2"/>
          </w:tcPr>
          <w:p>
            <w:pPr>
              <w:ind w:left="280"/>
              <w:spacing w:after="0"/>
              <w:rPr>
                <w:sz w:val="20"/>
                <w:szCs w:val="20"/>
                <w:color w:val="auto"/>
              </w:rPr>
            </w:pPr>
            <w:r>
              <w:rPr>
                <w:rFonts w:ascii="Arial" w:cs="Arial" w:eastAsia="Arial" w:hAnsi="Arial"/>
                <w:sz w:val="19"/>
                <w:szCs w:val="19"/>
                <w:color w:val="auto"/>
              </w:rPr>
              <w:t xml:space="preserve">Intra-basin pipelines </w:t>
            </w:r>
            <w:r>
              <w:rPr>
                <w:rFonts w:ascii="Arial" w:cs="Arial" w:eastAsia="Arial" w:hAnsi="Arial"/>
                <w:sz w:val="25"/>
                <w:szCs w:val="25"/>
                <w:color w:val="auto"/>
                <w:vertAlign w:val="superscript"/>
              </w:rPr>
              <w:t>(4)</w:t>
            </w:r>
          </w:p>
        </w:tc>
        <w:tc>
          <w:tcPr>
            <w:tcW w:w="1780" w:type="dxa"/>
            <w:vAlign w:val="bottom"/>
            <w:gridSpan w:val="2"/>
          </w:tcPr>
          <w:p>
            <w:pPr>
              <w:jc w:val="center"/>
              <w:spacing w:after="0"/>
              <w:rPr>
                <w:sz w:val="20"/>
                <w:szCs w:val="20"/>
                <w:color w:val="auto"/>
              </w:rPr>
            </w:pPr>
            <w:r>
              <w:rPr>
                <w:rFonts w:ascii="Arial" w:cs="Arial" w:eastAsia="Arial" w:hAnsi="Arial"/>
                <w:sz w:val="19"/>
                <w:szCs w:val="19"/>
                <w:color w:val="auto"/>
                <w:w w:val="92"/>
              </w:rPr>
              <w:t>65% - 100%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785</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2,210</w:t>
            </w: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5"/>
        </w:trPr>
        <w:tc>
          <w:tcPr>
            <w:tcW w:w="3560" w:type="dxa"/>
            <w:vAlign w:val="bottom"/>
            <w:gridSpan w:val="2"/>
          </w:tcPr>
          <w:p>
            <w:pPr>
              <w:ind w:left="280"/>
              <w:spacing w:after="0" w:line="275" w:lineRule="exact"/>
              <w:rPr>
                <w:sz w:val="20"/>
                <w:szCs w:val="20"/>
                <w:color w:val="auto"/>
              </w:rPr>
            </w:pPr>
            <w:r>
              <w:rPr>
                <w:rFonts w:ascii="Arial" w:cs="Arial" w:eastAsia="Arial" w:hAnsi="Arial"/>
                <w:sz w:val="19"/>
                <w:szCs w:val="19"/>
                <w:color w:val="auto"/>
              </w:rPr>
              <w:t xml:space="preserve">Long-haul pipelines </w:t>
            </w:r>
            <w:r>
              <w:rPr>
                <w:rFonts w:ascii="Arial" w:cs="Arial" w:eastAsia="Arial" w:hAnsi="Arial"/>
                <w:sz w:val="25"/>
                <w:szCs w:val="25"/>
                <w:color w:val="auto"/>
                <w:vertAlign w:val="superscript"/>
              </w:rPr>
              <w:t>(5)</w:t>
            </w:r>
          </w:p>
        </w:tc>
        <w:tc>
          <w:tcPr>
            <w:tcW w:w="1780" w:type="dxa"/>
            <w:vAlign w:val="bottom"/>
            <w:gridSpan w:val="2"/>
          </w:tcPr>
          <w:p>
            <w:pPr>
              <w:jc w:val="center"/>
              <w:spacing w:after="0"/>
              <w:rPr>
                <w:sz w:val="20"/>
                <w:szCs w:val="20"/>
                <w:color w:val="auto"/>
              </w:rPr>
            </w:pPr>
            <w:r>
              <w:rPr>
                <w:rFonts w:ascii="Arial" w:cs="Arial" w:eastAsia="Arial" w:hAnsi="Arial"/>
                <w:sz w:val="19"/>
                <w:szCs w:val="19"/>
                <w:color w:val="auto"/>
                <w:w w:val="92"/>
              </w:rPr>
              <w:t>16% - 100%</w:t>
            </w:r>
          </w:p>
        </w:tc>
        <w:tc>
          <w:tcPr>
            <w:tcW w:w="6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1,620</w:t>
            </w:r>
          </w:p>
        </w:tc>
        <w:tc>
          <w:tcPr>
            <w:tcW w:w="80" w:type="dxa"/>
            <w:vAlign w:val="bottom"/>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1,503</w:t>
            </w:r>
          </w:p>
        </w:tc>
        <w:tc>
          <w:tcPr>
            <w:tcW w:w="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69"/>
        </w:trPr>
        <w:tc>
          <w:tcPr>
            <w:tcW w:w="3560" w:type="dxa"/>
            <w:vAlign w:val="bottom"/>
            <w:gridSpan w:val="2"/>
          </w:tcPr>
          <w:p>
            <w:pPr>
              <w:ind w:left="60"/>
              <w:spacing w:after="0"/>
              <w:rPr>
                <w:sz w:val="20"/>
                <w:szCs w:val="20"/>
                <w:color w:val="auto"/>
              </w:rPr>
            </w:pPr>
            <w:r>
              <w:rPr>
                <w:rFonts w:ascii="Arial" w:cs="Arial" w:eastAsia="Arial" w:hAnsi="Arial"/>
                <w:sz w:val="19"/>
                <w:szCs w:val="19"/>
                <w:color w:val="auto"/>
              </w:rPr>
              <w:t>Permian Basin Total</w:t>
            </w:r>
          </w:p>
        </w:tc>
        <w:tc>
          <w:tcPr>
            <w:tcW w:w="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7,645</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6,356</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8</w:t>
            </w:r>
          </w:p>
        </w:tc>
      </w:tr>
      <w:tr>
        <w:trPr>
          <w:trHeight w:val="570"/>
        </w:trPr>
        <w:tc>
          <w:tcPr>
            <w:tcW w:w="3560" w:type="dxa"/>
            <w:vAlign w:val="bottom"/>
            <w:gridSpan w:val="2"/>
          </w:tcPr>
          <w:p>
            <w:pPr>
              <w:ind w:left="180"/>
              <w:spacing w:after="0"/>
              <w:rPr>
                <w:sz w:val="20"/>
                <w:szCs w:val="20"/>
                <w:color w:val="auto"/>
              </w:rPr>
            </w:pPr>
            <w:r>
              <w:rPr>
                <w:rFonts w:ascii="Arial" w:cs="Arial" w:eastAsia="Arial" w:hAnsi="Arial"/>
                <w:sz w:val="19"/>
                <w:szCs w:val="19"/>
                <w:color w:val="auto"/>
              </w:rPr>
              <w:t>South Texas/Eagle Ford</w:t>
            </w:r>
          </w:p>
        </w:tc>
        <w:tc>
          <w:tcPr>
            <w:tcW w:w="1780" w:type="dxa"/>
            <w:vAlign w:val="bottom"/>
            <w:gridSpan w:val="2"/>
          </w:tcPr>
          <w:p>
            <w:pPr>
              <w:jc w:val="center"/>
              <w:spacing w:after="0"/>
              <w:rPr>
                <w:sz w:val="20"/>
                <w:szCs w:val="20"/>
                <w:color w:val="auto"/>
              </w:rPr>
            </w:pPr>
            <w:r>
              <w:rPr>
                <w:rFonts w:ascii="Arial" w:cs="Arial" w:eastAsia="Arial" w:hAnsi="Arial"/>
                <w:sz w:val="19"/>
                <w:szCs w:val="19"/>
                <w:color w:val="auto"/>
                <w:w w:val="92"/>
              </w:rPr>
              <w:t>50% - 100%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790</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410</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1</w:t>
            </w:r>
          </w:p>
        </w:tc>
      </w:tr>
      <w:tr>
        <w:trPr>
          <w:trHeight w:val="570"/>
        </w:trPr>
        <w:tc>
          <w:tcPr>
            <w:tcW w:w="3560" w:type="dxa"/>
            <w:vAlign w:val="bottom"/>
            <w:gridSpan w:val="2"/>
          </w:tcPr>
          <w:p>
            <w:pPr>
              <w:ind w:left="180"/>
              <w:spacing w:after="0"/>
              <w:rPr>
                <w:sz w:val="20"/>
                <w:szCs w:val="20"/>
                <w:color w:val="auto"/>
              </w:rPr>
            </w:pPr>
            <w:r>
              <w:rPr>
                <w:rFonts w:ascii="Arial" w:cs="Arial" w:eastAsia="Arial" w:hAnsi="Arial"/>
                <w:sz w:val="19"/>
                <w:szCs w:val="19"/>
                <w:color w:val="auto"/>
              </w:rPr>
              <w:t>Mid-Continent</w:t>
            </w:r>
          </w:p>
        </w:tc>
        <w:tc>
          <w:tcPr>
            <w:tcW w:w="1780" w:type="dxa"/>
            <w:vAlign w:val="bottom"/>
            <w:gridSpan w:val="2"/>
          </w:tcPr>
          <w:p>
            <w:pPr>
              <w:jc w:val="center"/>
              <w:spacing w:after="0"/>
              <w:rPr>
                <w:sz w:val="20"/>
                <w:szCs w:val="20"/>
                <w:color w:val="auto"/>
              </w:rPr>
            </w:pPr>
            <w:r>
              <w:rPr>
                <w:rFonts w:ascii="Arial" w:cs="Arial" w:eastAsia="Arial" w:hAnsi="Arial"/>
                <w:sz w:val="19"/>
                <w:szCs w:val="19"/>
                <w:color w:val="auto"/>
                <w:w w:val="92"/>
              </w:rPr>
              <w:t>50% - 100%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2,440</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507</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36</w:t>
            </w:r>
          </w:p>
        </w:tc>
      </w:tr>
      <w:tr>
        <w:trPr>
          <w:trHeight w:val="647"/>
        </w:trPr>
        <w:tc>
          <w:tcPr>
            <w:tcW w:w="3560" w:type="dxa"/>
            <w:vAlign w:val="bottom"/>
            <w:gridSpan w:val="2"/>
          </w:tcPr>
          <w:p>
            <w:pPr>
              <w:ind w:left="180"/>
              <w:spacing w:after="0"/>
              <w:rPr>
                <w:sz w:val="20"/>
                <w:szCs w:val="20"/>
                <w:color w:val="auto"/>
              </w:rPr>
            </w:pPr>
            <w:r>
              <w:rPr>
                <w:rFonts w:ascii="Arial" w:cs="Arial" w:eastAsia="Arial" w:hAnsi="Arial"/>
                <w:sz w:val="19"/>
                <w:szCs w:val="19"/>
                <w:color w:val="auto"/>
              </w:rPr>
              <w:t xml:space="preserve">Gulf Coast </w:t>
            </w:r>
            <w:r>
              <w:rPr>
                <w:rFonts w:ascii="Arial" w:cs="Arial" w:eastAsia="Arial" w:hAnsi="Arial"/>
                <w:sz w:val="25"/>
                <w:szCs w:val="25"/>
                <w:color w:val="auto"/>
                <w:vertAlign w:val="superscript"/>
              </w:rPr>
              <w:t>(5)</w:t>
            </w:r>
          </w:p>
        </w:tc>
        <w:tc>
          <w:tcPr>
            <w:tcW w:w="1780" w:type="dxa"/>
            <w:vAlign w:val="bottom"/>
            <w:gridSpan w:val="2"/>
          </w:tcPr>
          <w:p>
            <w:pPr>
              <w:jc w:val="center"/>
              <w:spacing w:after="0"/>
              <w:rPr>
                <w:sz w:val="20"/>
                <w:szCs w:val="20"/>
                <w:color w:val="auto"/>
              </w:rPr>
            </w:pPr>
            <w:r>
              <w:rPr>
                <w:rFonts w:ascii="Arial" w:cs="Arial" w:eastAsia="Arial" w:hAnsi="Arial"/>
                <w:sz w:val="19"/>
                <w:szCs w:val="19"/>
                <w:color w:val="auto"/>
                <w:w w:val="92"/>
              </w:rPr>
              <w:t>54% - 100%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1,155</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260</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24</w:t>
            </w:r>
          </w:p>
        </w:tc>
      </w:tr>
      <w:tr>
        <w:trPr>
          <w:trHeight w:val="585"/>
        </w:trPr>
        <w:tc>
          <w:tcPr>
            <w:tcW w:w="3560" w:type="dxa"/>
            <w:vAlign w:val="bottom"/>
            <w:gridSpan w:val="2"/>
          </w:tcPr>
          <w:p>
            <w:pPr>
              <w:ind w:left="180"/>
              <w:spacing w:after="0"/>
              <w:rPr>
                <w:sz w:val="20"/>
                <w:szCs w:val="20"/>
                <w:color w:val="auto"/>
              </w:rPr>
            </w:pPr>
            <w:r>
              <w:rPr>
                <w:rFonts w:ascii="Arial" w:cs="Arial" w:eastAsia="Arial" w:hAnsi="Arial"/>
                <w:sz w:val="19"/>
                <w:szCs w:val="19"/>
                <w:color w:val="auto"/>
              </w:rPr>
              <w:t xml:space="preserve">Rocky Mountain </w:t>
            </w:r>
            <w:r>
              <w:rPr>
                <w:rFonts w:ascii="Arial" w:cs="Arial" w:eastAsia="Arial" w:hAnsi="Arial"/>
                <w:sz w:val="25"/>
                <w:szCs w:val="25"/>
                <w:color w:val="auto"/>
                <w:vertAlign w:val="superscript"/>
              </w:rPr>
              <w:t>(5)</w:t>
            </w:r>
          </w:p>
        </w:tc>
        <w:tc>
          <w:tcPr>
            <w:tcW w:w="1780" w:type="dxa"/>
            <w:vAlign w:val="bottom"/>
            <w:gridSpan w:val="2"/>
          </w:tcPr>
          <w:p>
            <w:pPr>
              <w:jc w:val="center"/>
              <w:spacing w:after="0"/>
              <w:rPr>
                <w:sz w:val="20"/>
                <w:szCs w:val="20"/>
                <w:color w:val="auto"/>
              </w:rPr>
            </w:pPr>
            <w:r>
              <w:rPr>
                <w:rFonts w:ascii="Arial" w:cs="Arial" w:eastAsia="Arial" w:hAnsi="Arial"/>
                <w:sz w:val="19"/>
                <w:szCs w:val="19"/>
                <w:color w:val="auto"/>
                <w:w w:val="92"/>
              </w:rPr>
              <w:t>21% - 100%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3,365</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372</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3</w:t>
            </w:r>
          </w:p>
        </w:tc>
      </w:tr>
      <w:tr>
        <w:trPr>
          <w:trHeight w:val="522"/>
        </w:trPr>
        <w:tc>
          <w:tcPr>
            <w:tcW w:w="3560" w:type="dxa"/>
            <w:vAlign w:val="bottom"/>
            <w:gridSpan w:val="2"/>
          </w:tcPr>
          <w:p>
            <w:pPr>
              <w:ind w:left="160"/>
              <w:spacing w:after="0"/>
              <w:rPr>
                <w:sz w:val="20"/>
                <w:szCs w:val="20"/>
                <w:color w:val="auto"/>
              </w:rPr>
            </w:pPr>
            <w:r>
              <w:rPr>
                <w:rFonts w:ascii="Arial" w:cs="Arial" w:eastAsia="Arial" w:hAnsi="Arial"/>
                <w:sz w:val="19"/>
                <w:szCs w:val="19"/>
                <w:color w:val="auto"/>
              </w:rPr>
              <w:t>Canada</w:t>
            </w:r>
          </w:p>
        </w:tc>
        <w:tc>
          <w:tcPr>
            <w:tcW w:w="1780" w:type="dxa"/>
            <w:vAlign w:val="bottom"/>
            <w:gridSpan w:val="2"/>
          </w:tcPr>
          <w:p>
            <w:pPr>
              <w:jc w:val="center"/>
              <w:ind w:left="3"/>
              <w:spacing w:after="0"/>
              <w:rPr>
                <w:sz w:val="20"/>
                <w:szCs w:val="20"/>
                <w:color w:val="auto"/>
              </w:rPr>
            </w:pPr>
            <w:r>
              <w:rPr>
                <w:rFonts w:ascii="Arial" w:cs="Arial" w:eastAsia="Arial" w:hAnsi="Arial"/>
                <w:sz w:val="19"/>
                <w:szCs w:val="19"/>
                <w:color w:val="auto"/>
                <w:w w:val="90"/>
              </w:rPr>
              <w:t>100%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2,550</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341</w:t>
            </w:r>
          </w:p>
        </w:tc>
        <w:tc>
          <w:tcPr>
            <w:tcW w:w="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585"/>
        </w:trPr>
        <w:tc>
          <w:tcPr>
            <w:tcW w:w="3560" w:type="dxa"/>
            <w:vAlign w:val="bottom"/>
            <w:gridSpan w:val="2"/>
          </w:tcPr>
          <w:p>
            <w:pPr>
              <w:ind w:left="180"/>
              <w:spacing w:after="0"/>
              <w:rPr>
                <w:sz w:val="20"/>
                <w:szCs w:val="20"/>
                <w:color w:val="auto"/>
              </w:rPr>
            </w:pPr>
            <w:r>
              <w:rPr>
                <w:rFonts w:ascii="Arial" w:cs="Arial" w:eastAsia="Arial" w:hAnsi="Arial"/>
                <w:sz w:val="19"/>
                <w:szCs w:val="19"/>
                <w:color w:val="auto"/>
              </w:rPr>
              <w:t>Western</w:t>
            </w:r>
          </w:p>
        </w:tc>
        <w:tc>
          <w:tcPr>
            <w:tcW w:w="1780" w:type="dxa"/>
            <w:vAlign w:val="bottom"/>
            <w:gridSpan w:val="2"/>
          </w:tcPr>
          <w:p>
            <w:pPr>
              <w:jc w:val="center"/>
              <w:ind w:left="3"/>
              <w:spacing w:after="0"/>
              <w:rPr>
                <w:sz w:val="20"/>
                <w:szCs w:val="20"/>
                <w:color w:val="auto"/>
              </w:rPr>
            </w:pPr>
            <w:r>
              <w:rPr>
                <w:rFonts w:ascii="Arial" w:cs="Arial" w:eastAsia="Arial" w:hAnsi="Arial"/>
                <w:sz w:val="19"/>
                <w:szCs w:val="19"/>
                <w:color w:val="auto"/>
                <w:w w:val="90"/>
              </w:rPr>
              <w:t>100%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390</w:t>
            </w:r>
          </w:p>
        </w:tc>
        <w:tc>
          <w:tcPr>
            <w:tcW w:w="1620" w:type="dxa"/>
            <w:vAlign w:val="bottom"/>
            <w:gridSpan w:val="2"/>
          </w:tcPr>
          <w:p>
            <w:pPr>
              <w:jc w:val="right"/>
              <w:spacing w:after="0"/>
              <w:rPr>
                <w:sz w:val="20"/>
                <w:szCs w:val="20"/>
                <w:color w:val="auto"/>
              </w:rPr>
            </w:pPr>
            <w:r>
              <w:rPr>
                <w:rFonts w:ascii="Arial" w:cs="Arial" w:eastAsia="Arial" w:hAnsi="Arial"/>
                <w:sz w:val="19"/>
                <w:szCs w:val="19"/>
                <w:color w:val="auto"/>
              </w:rPr>
              <w:t>214</w:t>
            </w:r>
          </w:p>
        </w:tc>
        <w:tc>
          <w:tcPr>
            <w:tcW w:w="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95"/>
        </w:trPr>
        <w:tc>
          <w:tcPr>
            <w:tcW w:w="3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253"/>
        </w:trPr>
        <w:tc>
          <w:tcPr>
            <w:tcW w:w="3560" w:type="dxa"/>
            <w:vAlign w:val="bottom"/>
            <w:gridSpan w:val="2"/>
          </w:tcPr>
          <w:p>
            <w:pPr>
              <w:ind w:left="260"/>
              <w:spacing w:after="0"/>
              <w:rPr>
                <w:sz w:val="20"/>
                <w:szCs w:val="20"/>
                <w:color w:val="auto"/>
              </w:rPr>
            </w:pPr>
            <w:r>
              <w:rPr>
                <w:rFonts w:ascii="Arial" w:cs="Arial" w:eastAsia="Arial" w:hAnsi="Arial"/>
                <w:sz w:val="19"/>
                <w:szCs w:val="19"/>
                <w:b w:val="1"/>
                <w:bCs w:val="1"/>
                <w:color w:val="auto"/>
              </w:rPr>
              <w:t>Total</w:t>
            </w:r>
          </w:p>
        </w:tc>
        <w:tc>
          <w:tcPr>
            <w:tcW w:w="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9"/>
                <w:szCs w:val="19"/>
                <w:b w:val="1"/>
                <w:bCs w:val="1"/>
                <w:color w:val="auto"/>
              </w:rPr>
              <w:t>18,335</w:t>
            </w:r>
          </w:p>
        </w:tc>
        <w:tc>
          <w:tcPr>
            <w:tcW w:w="1620" w:type="dxa"/>
            <w:vAlign w:val="bottom"/>
            <w:gridSpan w:val="2"/>
          </w:tcPr>
          <w:p>
            <w:pPr>
              <w:jc w:val="right"/>
              <w:spacing w:after="0"/>
              <w:rPr>
                <w:sz w:val="20"/>
                <w:szCs w:val="20"/>
                <w:color w:val="auto"/>
              </w:rPr>
            </w:pPr>
            <w:r>
              <w:rPr>
                <w:rFonts w:ascii="Arial" w:cs="Arial" w:eastAsia="Arial" w:hAnsi="Arial"/>
                <w:sz w:val="19"/>
                <w:szCs w:val="19"/>
                <w:b w:val="1"/>
                <w:bCs w:val="1"/>
                <w:color w:val="auto"/>
              </w:rPr>
              <w:t>8,460</w:t>
            </w:r>
          </w:p>
        </w:tc>
        <w:tc>
          <w:tcPr>
            <w:tcW w:w="1620" w:type="dxa"/>
            <w:vAlign w:val="bottom"/>
            <w:gridSpan w:val="2"/>
          </w:tcPr>
          <w:p>
            <w:pPr>
              <w:jc w:val="right"/>
              <w:spacing w:after="0"/>
              <w:rPr>
                <w:sz w:val="20"/>
                <w:szCs w:val="20"/>
                <w:color w:val="auto"/>
              </w:rPr>
            </w:pPr>
            <w:r>
              <w:rPr>
                <w:rFonts w:ascii="Arial" w:cs="Arial" w:eastAsia="Arial" w:hAnsi="Arial"/>
                <w:sz w:val="19"/>
                <w:szCs w:val="19"/>
                <w:b w:val="1"/>
                <w:bCs w:val="1"/>
                <w:color w:val="auto"/>
              </w:rPr>
              <w:t>72</w:t>
            </w:r>
          </w:p>
        </w:tc>
      </w:tr>
      <w:tr>
        <w:trPr>
          <w:trHeight w:val="20"/>
        </w:trPr>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130"/>
        </w:trPr>
        <w:tc>
          <w:tcPr>
            <w:tcW w:w="32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-3627120</wp:posOffset>
            </wp:positionV>
            <wp:extent cx="6376670" cy="3538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extLst>
                    </a:blip>
                    <a:srcRect/>
                    <a:stretch>
                      <a:fillRect/>
                    </a:stretch>
                  </pic:blipFill>
                  <pic:spPr bwMode="auto">
                    <a:xfrm>
                      <a:off x="0" y="0"/>
                      <a:ext cx="6376670" cy="3538220"/>
                    </a:xfrm>
                    <a:prstGeom prst="rect">
                      <a:avLst/>
                    </a:prstGeom>
                    <a:noFill/>
                  </pic:spPr>
                </pic:pic>
              </a:graphicData>
            </a:graphic>
          </wp:anchor>
        </w:drawing>
      </w:r>
    </w:p>
    <w:p>
      <w:pPr>
        <w:spacing w:after="0" w:line="90" w:lineRule="exact"/>
        <w:rPr>
          <w:sz w:val="20"/>
          <w:szCs w:val="20"/>
          <w:color w:val="auto"/>
        </w:rPr>
      </w:pPr>
    </w:p>
    <w:p>
      <w:pPr>
        <w:ind w:left="701" w:hanging="701"/>
        <w:spacing w:after="0"/>
        <w:tabs>
          <w:tab w:leader="none" w:pos="701" w:val="left"/>
        </w:tabs>
        <w:numPr>
          <w:ilvl w:val="0"/>
          <w:numId w:val="9"/>
        </w:numPr>
        <w:rPr>
          <w:rFonts w:ascii="Arial" w:cs="Arial" w:eastAsia="Arial" w:hAnsi="Arial"/>
          <w:sz w:val="25"/>
          <w:szCs w:val="25"/>
          <w:color w:val="auto"/>
          <w:vertAlign w:val="superscript"/>
        </w:rPr>
      </w:pPr>
      <w:r>
        <w:rPr>
          <w:rFonts w:ascii="Arial" w:cs="Arial" w:eastAsia="Arial" w:hAnsi="Arial"/>
          <w:sz w:val="19"/>
          <w:szCs w:val="19"/>
          <w:color w:val="auto"/>
        </w:rPr>
        <w:t>Includes total mileage of pipelines in which we own less than 100%.</w:t>
      </w:r>
    </w:p>
    <w:p>
      <w:pPr>
        <w:sectPr>
          <w:pgSz w:w="11880" w:h="15480" w:orient="portrait"/>
          <w:cols w:equalWidth="0" w:num="1">
            <w:col w:w="10001"/>
          </w:cols>
          <w:pgMar w:left="939" w:top="910"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10001"/>
          </w:cols>
          <w:pgMar w:left="939" w:top="910" w:right="940" w:bottom="0" w:gutter="0" w:footer="0" w:header="0"/>
          <w:type w:val="continuous"/>
        </w:sectPr>
      </w:pPr>
    </w:p>
    <w:bookmarkStart w:id="12" w:name="page13"/>
    <w:bookmarkEnd w:id="12"/>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Arial" w:cs="Arial" w:eastAsia="Arial" w:hAnsi="Arial"/>
          <w:sz w:val="18"/>
          <w:szCs w:val="18"/>
          <w:color w:val="auto"/>
        </w:rPr>
        <w:t>Represents average daily volumes for the entire year attributable to our interest for pipelines owned by consolidated entities, unconsolidated entities or through undivided joint interests (“UJI”). Average daily volumes are calculated as the total volumes (attributable to our interest) for the year divided by the number of days in the year. Volumes reflect tariff movements and thus may be included multiple times as volumes move through our integrated system. Volumes associated with assets acquired or sold during the year represent total volumes for the number of days we actually owned the assets divided by the number of days in the period.</w:t>
      </w:r>
    </w:p>
    <w:p>
      <w:pPr>
        <w:spacing w:after="0" w:line="62" w:lineRule="exact"/>
        <w:rPr>
          <w:sz w:val="20"/>
          <w:szCs w:val="20"/>
          <w:color w:val="auto"/>
        </w:rPr>
      </w:pPr>
    </w:p>
    <w:p>
      <w:pPr>
        <w:ind w:right="360"/>
        <w:spacing w:after="0" w:line="295" w:lineRule="auto"/>
        <w:rPr>
          <w:sz w:val="20"/>
          <w:szCs w:val="20"/>
          <w:color w:val="auto"/>
        </w:rPr>
      </w:pPr>
      <w:r>
        <w:rPr>
          <w:rFonts w:ascii="Arial" w:cs="Arial" w:eastAsia="Arial" w:hAnsi="Arial"/>
          <w:sz w:val="19"/>
          <w:szCs w:val="19"/>
          <w:color w:val="auto"/>
        </w:rPr>
        <w:t>Commercial storage capacity in millions of barrels. Does not include operational storage capacity used to facilitate pipeline throughput and maintain product quality segregation.</w:t>
      </w:r>
    </w:p>
    <w:p>
      <w:pPr>
        <w:spacing w:after="0" w:line="48" w:lineRule="exact"/>
        <w:rPr>
          <w:sz w:val="20"/>
          <w:szCs w:val="20"/>
          <w:color w:val="auto"/>
        </w:rPr>
      </w:pPr>
    </w:p>
    <w:p>
      <w:pPr>
        <w:ind w:right="80"/>
        <w:spacing w:after="0" w:line="276" w:lineRule="auto"/>
        <w:rPr>
          <w:sz w:val="20"/>
          <w:szCs w:val="20"/>
          <w:color w:val="auto"/>
        </w:rPr>
      </w:pPr>
      <w:r>
        <w:rPr>
          <w:rFonts w:ascii="Arial" w:cs="Arial" w:eastAsia="Arial" w:hAnsi="Arial"/>
          <w:sz w:val="19"/>
          <w:szCs w:val="19"/>
          <w:color w:val="auto"/>
        </w:rPr>
        <w:t>All of our gathering pipelines and a majority of our intra-basin pipelines in the Permian Basin are owned by the Permian JV, a consolidated entity in which we own a 65% interest. The Permian JV has a 63% UJI in one of the intra-basin pipelines in the Permian Basin.</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Includes pipelines operated by a third party.</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Crude Oil Infrastructure</w:t>
      </w:r>
    </w:p>
    <w:p>
      <w:pPr>
        <w:spacing w:after="0" w:line="200" w:lineRule="exact"/>
        <w:rPr>
          <w:sz w:val="20"/>
          <w:szCs w:val="20"/>
          <w:color w:val="auto"/>
        </w:rPr>
      </w:pPr>
    </w:p>
    <w:p>
      <w:pPr>
        <w:sectPr>
          <w:pgSz w:w="11880" w:h="15480" w:orient="portrait"/>
          <w:cols w:equalWidth="0" w:num="2">
            <w:col w:w="140" w:space="560"/>
            <w:col w:w="9300"/>
          </w:cols>
          <w:pgMar w:left="940" w:top="658" w:right="940" w:bottom="0" w:gutter="0" w:footer="0" w:header="0"/>
        </w:sectPr>
      </w:pPr>
    </w:p>
    <w:p>
      <w:pPr>
        <w:spacing w:after="0" w:line="57" w:lineRule="exact"/>
        <w:rPr>
          <w:sz w:val="20"/>
          <w:szCs w:val="20"/>
          <w:color w:val="auto"/>
        </w:rPr>
      </w:pPr>
    </w:p>
    <w:p>
      <w:pPr>
        <w:ind w:firstLine="702"/>
        <w:spacing w:after="0" w:line="299" w:lineRule="auto"/>
        <w:rPr>
          <w:sz w:val="20"/>
          <w:szCs w:val="20"/>
          <w:color w:val="auto"/>
        </w:rPr>
      </w:pPr>
      <w:r>
        <w:rPr>
          <w:rFonts w:ascii="Arial" w:cs="Arial" w:eastAsia="Arial" w:hAnsi="Arial"/>
          <w:sz w:val="17"/>
          <w:szCs w:val="17"/>
          <w:color w:val="auto"/>
        </w:rPr>
        <w:t>A significant portion of our crude oil assets are interconnected and are operated as a contiguous system. The following descriptions are organized by geographic location and asset type and represent our most significant assets. Pipeline capacities throughout these descriptions are based on our reasonable estimate of volumes that can be delivered from origin to final destination on our pipeline systems. We report pipeline volumes based on the tariffs charged for individual movements, some of which may only utilize a certain segment of a pipeline system (i.e. two short-haul movements on a pipeline from point A to point B and another from point B to point C would double the pipeline tariff volumes on a particular system versus a single point A to point C movement). As a result, at times, our reported tariff barrel movements may exceed our total capacity.</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Our crude oil pipelines are comprised of:</w:t>
      </w:r>
    </w:p>
    <w:p>
      <w:pPr>
        <w:spacing w:after="0" w:line="248" w:lineRule="exact"/>
        <w:rPr>
          <w:sz w:val="20"/>
          <w:szCs w:val="20"/>
          <w:color w:val="auto"/>
        </w:rPr>
      </w:pPr>
    </w:p>
    <w:p>
      <w:pPr>
        <w:ind w:left="1400" w:hanging="348"/>
        <w:spacing w:after="0"/>
        <w:tabs>
          <w:tab w:leader="none" w:pos="14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gathering pipelines </w:t>
      </w:r>
      <w:r>
        <w:rPr>
          <w:rFonts w:ascii="Arial" w:cs="Arial" w:eastAsia="Arial" w:hAnsi="Arial"/>
          <w:sz w:val="17"/>
          <w:szCs w:val="17"/>
          <w:color w:val="auto"/>
        </w:rPr>
        <w:t>that move crude oil from wellhead or central battery connections to regional market hubs;</w:t>
      </w:r>
    </w:p>
    <w:p>
      <w:pPr>
        <w:spacing w:after="0" w:line="272" w:lineRule="exact"/>
        <w:rPr>
          <w:rFonts w:ascii="Arial" w:cs="Arial" w:eastAsia="Arial" w:hAnsi="Arial"/>
          <w:sz w:val="17"/>
          <w:szCs w:val="17"/>
          <w:color w:val="auto"/>
        </w:rPr>
      </w:pPr>
    </w:p>
    <w:p>
      <w:pPr>
        <w:ind w:left="1400" w:right="80" w:hanging="348"/>
        <w:spacing w:after="0" w:line="297" w:lineRule="auto"/>
        <w:tabs>
          <w:tab w:leader="none" w:pos="1400" w:val="left"/>
        </w:tabs>
        <w:numPr>
          <w:ilvl w:val="0"/>
          <w:numId w:val="1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intra-basin pipelines </w:t>
      </w:r>
      <w:r>
        <w:rPr>
          <w:rFonts w:ascii="Arial" w:cs="Arial" w:eastAsia="Arial" w:hAnsi="Arial"/>
          <w:sz w:val="19"/>
          <w:szCs w:val="19"/>
          <w:color w:val="auto"/>
        </w:rPr>
        <w:t>that are used as a hub system allowing for a significant amount of flexibility by creating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connections between regional hub locations; and</w:t>
      </w:r>
    </w:p>
    <w:p>
      <w:pPr>
        <w:spacing w:after="0" w:line="161" w:lineRule="exact"/>
        <w:rPr>
          <w:rFonts w:ascii="Arial" w:cs="Arial" w:eastAsia="Arial" w:hAnsi="Arial"/>
          <w:sz w:val="19"/>
          <w:szCs w:val="19"/>
          <w:color w:val="auto"/>
        </w:rPr>
      </w:pPr>
    </w:p>
    <w:p>
      <w:pPr>
        <w:ind w:left="1400" w:right="100" w:hanging="348"/>
        <w:spacing w:after="0" w:line="277" w:lineRule="auto"/>
        <w:tabs>
          <w:tab w:leader="none" w:pos="1400" w:val="left"/>
        </w:tabs>
        <w:numPr>
          <w:ilvl w:val="0"/>
          <w:numId w:val="1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long-haul pipelines </w:t>
      </w:r>
      <w:r>
        <w:rPr>
          <w:rFonts w:ascii="Arial" w:cs="Arial" w:eastAsia="Arial" w:hAnsi="Arial"/>
          <w:sz w:val="19"/>
          <w:szCs w:val="19"/>
          <w:color w:val="auto"/>
        </w:rPr>
        <w:t>that move crude oil from (i) regional market hubs to major market hubs such as Cushing,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Oklahoma or to export facilities, including our Corpus Christi terminal, or (ii) a refinery or other major market hubs, such as the Houston market.</w:t>
      </w:r>
    </w:p>
    <w:p>
      <w:pPr>
        <w:spacing w:after="0" w:line="181" w:lineRule="exact"/>
        <w:rPr>
          <w:sz w:val="20"/>
          <w:szCs w:val="20"/>
          <w:color w:val="auto"/>
        </w:rPr>
      </w:pPr>
    </w:p>
    <w:p>
      <w:pPr>
        <w:ind w:right="100" w:firstLine="702"/>
        <w:spacing w:after="0" w:line="289" w:lineRule="auto"/>
        <w:rPr>
          <w:sz w:val="20"/>
          <w:szCs w:val="20"/>
          <w:color w:val="auto"/>
        </w:rPr>
      </w:pPr>
      <w:r>
        <w:rPr>
          <w:rFonts w:ascii="Arial" w:cs="Arial" w:eastAsia="Arial" w:hAnsi="Arial"/>
          <w:sz w:val="18"/>
          <w:szCs w:val="18"/>
          <w:color w:val="auto"/>
        </w:rPr>
        <w:t>Our crude oil terminals have significant flexibility and operational capabilities, including large-scale multi-grade handling and segregation capabilities and multiple marine transportation loading and unloading capabilities. Our largest crude oil terminals are located in key market hubs, including Cushing, Oklahoma; St. James, Louisiana; Midland, Texas; and Patoka, Illinois, and have connectivity to major inbound and outbound pipelines and other terminals at these hubs.</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9"/>
          <w:szCs w:val="19"/>
          <w:color w:val="auto"/>
        </w:rPr>
        <w:t>Our most significant assets are described further below by region.</w:t>
      </w:r>
    </w:p>
    <w:p>
      <w:pPr>
        <w:spacing w:after="0" w:line="227"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Permian Basin</w:t>
      </w:r>
    </w:p>
    <w:p>
      <w:pPr>
        <w:spacing w:after="0" w:line="255" w:lineRule="exact"/>
        <w:rPr>
          <w:sz w:val="20"/>
          <w:szCs w:val="20"/>
          <w:color w:val="auto"/>
        </w:rPr>
      </w:pPr>
    </w:p>
    <w:p>
      <w:pPr>
        <w:ind w:right="100" w:firstLine="702"/>
        <w:spacing w:after="0" w:line="305" w:lineRule="auto"/>
        <w:rPr>
          <w:sz w:val="20"/>
          <w:szCs w:val="20"/>
          <w:color w:val="auto"/>
        </w:rPr>
      </w:pPr>
      <w:r>
        <w:rPr>
          <w:rFonts w:ascii="Arial" w:cs="Arial" w:eastAsia="Arial" w:hAnsi="Arial"/>
          <w:sz w:val="17"/>
          <w:szCs w:val="17"/>
          <w:b w:val="1"/>
          <w:bCs w:val="1"/>
          <w:i w:val="1"/>
          <w:iCs w:val="1"/>
          <w:color w:val="auto"/>
        </w:rPr>
        <w:t xml:space="preserve">Gathering Pipelines. </w:t>
      </w:r>
      <w:r>
        <w:rPr>
          <w:rFonts w:ascii="Arial" w:cs="Arial" w:eastAsia="Arial" w:hAnsi="Arial"/>
          <w:sz w:val="17"/>
          <w:szCs w:val="17"/>
          <w:color w:val="auto"/>
        </w:rPr>
        <w:t>We operate over 5,200 miles of gathering pipelines in both the Midland Basin and the Delaware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Basin that in aggregate represent approximately 3.8 million barrels per day of pipeline capacity. This gathering capacity includes pipeline capacity that delivers volumes to regional market hubs. Approximately 75% of the capacity of our gathering systems is in the Delaware Basin. Our gathering pipelines are supported by long-term acreage dedications. All of our gathering pipelines in the Permian Basin are owned by the Permian JV, a consolidated entity in which we own a 65% interest.</w:t>
      </w:r>
    </w:p>
    <w:p>
      <w:pPr>
        <w:spacing w:after="0" w:line="162"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i w:val="1"/>
          <w:iCs w:val="1"/>
          <w:color w:val="auto"/>
        </w:rPr>
        <w:t xml:space="preserve">Intra-Basin Pipelines. </w:t>
      </w:r>
      <w:r>
        <w:rPr>
          <w:rFonts w:ascii="Arial" w:cs="Arial" w:eastAsia="Arial" w:hAnsi="Arial"/>
          <w:sz w:val="19"/>
          <w:szCs w:val="19"/>
          <w:color w:val="auto"/>
        </w:rPr>
        <w:t>Our intra-basin pipeline system in the Permian Basin has a capacity of approximately</w:t>
      </w:r>
    </w:p>
    <w:p>
      <w:pPr>
        <w:spacing w:after="0" w:line="37" w:lineRule="exact"/>
        <w:rPr>
          <w:sz w:val="20"/>
          <w:szCs w:val="20"/>
          <w:color w:val="auto"/>
        </w:rPr>
      </w:pPr>
    </w:p>
    <w:p>
      <w:pPr>
        <w:ind w:right="60"/>
        <w:spacing w:after="0" w:line="261" w:lineRule="auto"/>
        <w:rPr>
          <w:sz w:val="20"/>
          <w:szCs w:val="20"/>
          <w:color w:val="auto"/>
        </w:rPr>
      </w:pPr>
      <w:r>
        <w:rPr>
          <w:rFonts w:ascii="Arial" w:cs="Arial" w:eastAsia="Arial" w:hAnsi="Arial"/>
          <w:sz w:val="19"/>
          <w:szCs w:val="19"/>
          <w:color w:val="auto"/>
        </w:rPr>
        <w:t>3.1 million barrels per day and connects gathering pipelines and truck injection volumes to our owned and operated as well as third-party mainline pipelines that transport crude oil to major market hubs. This interconnected pipeline system is designed to provide shippers with flow assurance, flexibility and access to multiple markets and support downstream movements on certain Permian Basin long-haul pipelines. A majority of the intra-basin pipeline system is owned by the Permian JV, a consolidated entity in which we own a 65% interest.</w:t>
      </w:r>
    </w:p>
    <w:p>
      <w:pPr>
        <w:sectPr>
          <w:pgSz w:w="11880" w:h="15480" w:orient="portrait"/>
          <w:cols w:equalWidth="0" w:num="1">
            <w:col w:w="10000"/>
          </w:cols>
          <w:pgMar w:left="940" w:top="658"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10000"/>
          </w:cols>
          <w:pgMar w:left="940" w:top="658" w:right="940" w:bottom="0" w:gutter="0" w:footer="0" w:header="0"/>
          <w:type w:val="continuous"/>
        </w:sectPr>
      </w:pPr>
    </w:p>
    <w:bookmarkStart w:id="13" w:name="page14"/>
    <w:bookmarkEnd w:id="13"/>
    <w:p>
      <w:pPr>
        <w:ind w:right="120" w:firstLine="702"/>
        <w:spacing w:after="0" w:line="267" w:lineRule="auto"/>
        <w:rPr>
          <w:sz w:val="20"/>
          <w:szCs w:val="20"/>
          <w:color w:val="auto"/>
        </w:rPr>
      </w:pPr>
      <w:r>
        <w:rPr>
          <w:rFonts w:ascii="Arial" w:cs="Arial" w:eastAsia="Arial" w:hAnsi="Arial"/>
          <w:sz w:val="19"/>
          <w:szCs w:val="19"/>
          <w:b w:val="1"/>
          <w:bCs w:val="1"/>
          <w:i w:val="1"/>
          <w:iCs w:val="1"/>
          <w:color w:val="auto"/>
        </w:rPr>
        <w:t xml:space="preserve">Long-Haul Pipelines. </w:t>
      </w:r>
      <w:r>
        <w:rPr>
          <w:rFonts w:ascii="Arial" w:cs="Arial" w:eastAsia="Arial" w:hAnsi="Arial"/>
          <w:sz w:val="19"/>
          <w:szCs w:val="19"/>
          <w:color w:val="auto"/>
        </w:rPr>
        <w:t>We own interests in multiple long-haul pipeline systems that, on a combined basis, represent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approximately 2.1 million barrels per day of currently operational takeaway capacity out of the Permian Basin to major market hubs in Corpus Christi and Houston, Texas and Cushing, Oklahoma. Our long-haul pipelines are supported by long-term commitments. Below is a description of some of our most significant long-haul pipeline systems originating from the Permian Basin region.</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Permian to Cushing/Mid-Continent</w:t>
      </w:r>
    </w:p>
    <w:p>
      <w:pPr>
        <w:spacing w:after="0" w:line="255" w:lineRule="exact"/>
        <w:rPr>
          <w:sz w:val="20"/>
          <w:szCs w:val="20"/>
          <w:color w:val="auto"/>
        </w:rPr>
      </w:pPr>
    </w:p>
    <w:p>
      <w:pPr>
        <w:ind w:left="1060" w:right="40" w:hanging="359"/>
        <w:spacing w:after="0" w:line="267" w:lineRule="auto"/>
        <w:tabs>
          <w:tab w:leader="none" w:pos="1060" w:val="left"/>
        </w:tabs>
        <w:numPr>
          <w:ilvl w:val="0"/>
          <w:numId w:val="1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Basin Pipeline (Permian to Cushing). </w:t>
      </w:r>
      <w:r>
        <w:rPr>
          <w:rFonts w:ascii="Arial" w:cs="Arial" w:eastAsia="Arial" w:hAnsi="Arial"/>
          <w:sz w:val="19"/>
          <w:szCs w:val="19"/>
          <w:color w:val="auto"/>
        </w:rPr>
        <w:t>We own an 87% UJI in and are the operator of Basin Pipeline. Basin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Pipeline has three primary origination locations: Jal, New Mexico; Wink, Texas; and Midland, Texas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spacing w:after="0" w:line="188" w:lineRule="exact"/>
        <w:rPr>
          <w:rFonts w:ascii="Arial" w:cs="Arial" w:eastAsia="Arial" w:hAnsi="Arial"/>
          <w:sz w:val="19"/>
          <w:szCs w:val="19"/>
          <w:color w:val="auto"/>
        </w:rPr>
      </w:pPr>
    </w:p>
    <w:p>
      <w:pPr>
        <w:ind w:left="1060" w:right="160" w:hanging="359"/>
        <w:spacing w:after="0" w:line="277" w:lineRule="auto"/>
        <w:tabs>
          <w:tab w:leader="none" w:pos="1060" w:val="left"/>
        </w:tabs>
        <w:numPr>
          <w:ilvl w:val="0"/>
          <w:numId w:val="1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Sunrise II Pipeline. </w:t>
      </w:r>
      <w:r>
        <w:rPr>
          <w:rFonts w:ascii="Arial" w:cs="Arial" w:eastAsia="Arial" w:hAnsi="Arial"/>
          <w:sz w:val="19"/>
          <w:szCs w:val="19"/>
          <w:color w:val="auto"/>
        </w:rPr>
        <w:t>We operate the Sunrise II Pipeline and, through a UJI arrangement, own 80% of the capacity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the pipeline, which equates to approximately 400,000 barrels of capacity. Our Sunrise II Pipeline transports crude oil from Midland and Colorado City to connecting carriers at Wichita Falls.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Permian to Gulf Coast</w:t>
      </w:r>
    </w:p>
    <w:p>
      <w:pPr>
        <w:spacing w:after="0" w:line="255" w:lineRule="exact"/>
        <w:rPr>
          <w:sz w:val="20"/>
          <w:szCs w:val="20"/>
          <w:color w:val="auto"/>
        </w:rPr>
      </w:pPr>
    </w:p>
    <w:p>
      <w:pPr>
        <w:ind w:left="1060" w:hanging="359"/>
        <w:spacing w:after="0" w:line="270" w:lineRule="auto"/>
        <w:tabs>
          <w:tab w:leader="none" w:pos="1060" w:val="left"/>
        </w:tabs>
        <w:numPr>
          <w:ilvl w:val="0"/>
          <w:numId w:val="12"/>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BridgeTex Pipeline (Permian to Houston). </w:t>
      </w:r>
      <w:r>
        <w:rPr>
          <w:rFonts w:ascii="Arial" w:cs="Arial" w:eastAsia="Arial" w:hAnsi="Arial"/>
          <w:sz w:val="19"/>
          <w:szCs w:val="19"/>
          <w:color w:val="auto"/>
        </w:rPr>
        <w:t>We own a 20% interest in the entity that owns the BridgeTex Pipeline.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pipeline, operated by a subsidiary of ONEOK, Inc. (“ONEOK”), originates at Colorado City, Texas and extends to Houston, Texas. The BridgeTex pipeline has a capacity of approximately 440,000 barrels per day and is capable of receiving supply from both our Basin and Midland South pipelines.</w:t>
      </w:r>
    </w:p>
    <w:p>
      <w:pPr>
        <w:spacing w:after="0" w:line="186" w:lineRule="exact"/>
        <w:rPr>
          <w:rFonts w:ascii="Arial" w:cs="Arial" w:eastAsia="Arial" w:hAnsi="Arial"/>
          <w:sz w:val="19"/>
          <w:szCs w:val="19"/>
          <w:b w:val="1"/>
          <w:bCs w:val="1"/>
          <w:i w:val="1"/>
          <w:iCs w:val="1"/>
          <w:color w:val="auto"/>
        </w:rPr>
      </w:pPr>
    </w:p>
    <w:p>
      <w:pPr>
        <w:jc w:val="both"/>
        <w:ind w:left="1060" w:right="260" w:hanging="359"/>
        <w:spacing w:after="0" w:line="311"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Cactus Pipeline (Permian to Corpus Christi). </w:t>
      </w:r>
      <w:r>
        <w:rPr>
          <w:rFonts w:ascii="Arial" w:cs="Arial" w:eastAsia="Arial" w:hAnsi="Arial"/>
          <w:sz w:val="17"/>
          <w:szCs w:val="17"/>
          <w:color w:val="auto"/>
        </w:rPr>
        <w:t>We own and operate the Cactus Pipeline, which has a capacity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390,000 barrels per day, originates at McCamey, Texas and extends to Gardendale, Texas. The Cactus Pipeline connects to our Eagle Ford joint venture pipeline system at Gardendale for access to the Corpus Christi, Texas market. Movements to Corpus Christi are made on a joint tariff with the Eagle Ford joint venture pipeline.</w:t>
      </w:r>
    </w:p>
    <w:p>
      <w:pPr>
        <w:spacing w:after="0" w:line="156" w:lineRule="exact"/>
        <w:rPr>
          <w:rFonts w:ascii="Arial" w:cs="Arial" w:eastAsia="Arial" w:hAnsi="Arial"/>
          <w:sz w:val="17"/>
          <w:szCs w:val="17"/>
          <w:color w:val="auto"/>
        </w:rPr>
      </w:pPr>
    </w:p>
    <w:p>
      <w:pPr>
        <w:jc w:val="both"/>
        <w:ind w:left="1060" w:right="60" w:hanging="359"/>
        <w:spacing w:after="0" w:line="270" w:lineRule="auto"/>
        <w:tabs>
          <w:tab w:leader="none" w:pos="1060" w:val="left"/>
        </w:tabs>
        <w:numPr>
          <w:ilvl w:val="0"/>
          <w:numId w:val="12"/>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Cactus II Pipeline (Permian to Corpus Christi). </w:t>
      </w:r>
      <w:r>
        <w:rPr>
          <w:rFonts w:ascii="Arial" w:cs="Arial" w:eastAsia="Arial" w:hAnsi="Arial"/>
          <w:sz w:val="19"/>
          <w:szCs w:val="19"/>
          <w:color w:val="auto"/>
        </w:rPr>
        <w:t>The Cactus II Pipeline is a Permian mainline system that extends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directly to the Corpus Christi market and has a capacity of approximately 670,000 barrels per day. We operate the Cactus II Pipeline and own a 70% interest in Cactus II, the entity that owns the Cactus II Pipeline, through a joint venture with Enbridge Inc.</w:t>
      </w:r>
    </w:p>
    <w:p>
      <w:pPr>
        <w:spacing w:after="0" w:line="186" w:lineRule="exact"/>
        <w:rPr>
          <w:rFonts w:ascii="Arial" w:cs="Arial" w:eastAsia="Arial" w:hAnsi="Arial"/>
          <w:sz w:val="19"/>
          <w:szCs w:val="19"/>
          <w:b w:val="1"/>
          <w:bCs w:val="1"/>
          <w:i w:val="1"/>
          <w:iCs w:val="1"/>
          <w:color w:val="auto"/>
        </w:rPr>
      </w:pPr>
    </w:p>
    <w:p>
      <w:pPr>
        <w:ind w:left="1060" w:right="240" w:hanging="359"/>
        <w:spacing w:after="0" w:line="265" w:lineRule="auto"/>
        <w:tabs>
          <w:tab w:leader="none" w:pos="1060" w:val="left"/>
        </w:tabs>
        <w:numPr>
          <w:ilvl w:val="0"/>
          <w:numId w:val="1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Wink to Webster Pipeline. </w:t>
      </w:r>
      <w:r>
        <w:rPr>
          <w:rFonts w:ascii="Arial" w:cs="Arial" w:eastAsia="Arial" w:hAnsi="Arial"/>
          <w:sz w:val="19"/>
          <w:szCs w:val="19"/>
          <w:color w:val="auto"/>
        </w:rPr>
        <w:t>We own a 16% interest in the entity that owns the Wink to Webster Pipeline (“W2W</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Pipeline”), which in turn owns 100% of certain segments of the W2W Pipeline and a 71% UJI in the segment from Midland, Texas to Webster, Texas. The W2W Pipeline originates in the Permian Basin in West Texas and transports crude oil to multiple destinations in the Houston and Galveston market areas. The pipeline system provides approximately 1.5 million barrels per day of crude oil capacity (approximately 1.1 million barrels per day, net to the UJI interest).</w:t>
      </w:r>
    </w:p>
    <w:p>
      <w:pPr>
        <w:spacing w:after="0" w:line="190" w:lineRule="exact"/>
        <w:rPr>
          <w:sz w:val="20"/>
          <w:szCs w:val="20"/>
          <w:color w:val="auto"/>
        </w:rPr>
      </w:pPr>
    </w:p>
    <w:p>
      <w:pPr>
        <w:ind w:right="120" w:firstLine="702"/>
        <w:spacing w:after="0" w:line="290" w:lineRule="auto"/>
        <w:rPr>
          <w:sz w:val="20"/>
          <w:szCs w:val="20"/>
          <w:color w:val="auto"/>
        </w:rPr>
      </w:pPr>
      <w:r>
        <w:rPr>
          <w:rFonts w:ascii="Arial" w:cs="Arial" w:eastAsia="Arial" w:hAnsi="Arial"/>
          <w:sz w:val="18"/>
          <w:szCs w:val="18"/>
          <w:b w:val="1"/>
          <w:bCs w:val="1"/>
          <w:i w:val="1"/>
          <w:iCs w:val="1"/>
          <w:color w:val="auto"/>
        </w:rPr>
        <w:t>Terminals</w:t>
      </w:r>
      <w:r>
        <w:rPr>
          <w:rFonts w:ascii="Arial" w:cs="Arial" w:eastAsia="Arial" w:hAnsi="Arial"/>
          <w:sz w:val="18"/>
          <w:szCs w:val="18"/>
          <w:color w:val="auto"/>
        </w:rPr>
        <w:t>. Our Midland terminal has access to all of the Permian JV gathering pipelines, either through 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connections, or through the Permian JV intra-basin pipelines. Likewise, the terminal is also either directly connected, or connected through the Permian JV intra-basin pipelines, to all of our Permian Basin long-haul pipelines. Our Midland terminal also has connectivity to third-party inbound and outbound pipelines and terminals at the Midland, Texas hub.</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South Texas/Eagle Ford</w:t>
      </w:r>
    </w:p>
    <w:p>
      <w:pPr>
        <w:spacing w:after="0" w:line="255" w:lineRule="exact"/>
        <w:rPr>
          <w:sz w:val="20"/>
          <w:szCs w:val="20"/>
          <w:color w:val="auto"/>
        </w:rPr>
      </w:pPr>
    </w:p>
    <w:p>
      <w:pPr>
        <w:ind w:right="180" w:firstLine="702"/>
        <w:spacing w:after="0" w:line="297" w:lineRule="auto"/>
        <w:rPr>
          <w:sz w:val="20"/>
          <w:szCs w:val="20"/>
          <w:color w:val="auto"/>
        </w:rPr>
      </w:pPr>
      <w:r>
        <w:rPr>
          <w:rFonts w:ascii="Arial" w:cs="Arial" w:eastAsia="Arial" w:hAnsi="Arial"/>
          <w:sz w:val="19"/>
          <w:szCs w:val="19"/>
          <w:b w:val="1"/>
          <w:bCs w:val="1"/>
          <w:i w:val="1"/>
          <w:iCs w:val="1"/>
          <w:color w:val="auto"/>
        </w:rPr>
        <w:t xml:space="preserve">Gathering Pipelines. </w:t>
      </w:r>
      <w:r>
        <w:rPr>
          <w:rFonts w:ascii="Arial" w:cs="Arial" w:eastAsia="Arial" w:hAnsi="Arial"/>
          <w:sz w:val="19"/>
          <w:szCs w:val="19"/>
          <w:color w:val="auto"/>
        </w:rPr>
        <w:t>We own and operate various gathering systems in the Eagle Ford producing region that connect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into our Eagle Ford joint venture pipeline system or to third-party pipelines.</w:t>
      </w:r>
    </w:p>
    <w:p>
      <w:pPr>
        <w:spacing w:after="0" w:line="161" w:lineRule="exact"/>
        <w:rPr>
          <w:sz w:val="20"/>
          <w:szCs w:val="20"/>
          <w:color w:val="auto"/>
        </w:rPr>
      </w:pPr>
    </w:p>
    <w:p>
      <w:pPr>
        <w:ind w:right="200" w:firstLine="702"/>
        <w:spacing w:after="0" w:line="265" w:lineRule="auto"/>
        <w:rPr>
          <w:sz w:val="20"/>
          <w:szCs w:val="20"/>
          <w:color w:val="auto"/>
        </w:rPr>
      </w:pPr>
      <w:r>
        <w:rPr>
          <w:rFonts w:ascii="Arial" w:cs="Arial" w:eastAsia="Arial" w:hAnsi="Arial"/>
          <w:sz w:val="19"/>
          <w:szCs w:val="19"/>
          <w:b w:val="1"/>
          <w:bCs w:val="1"/>
          <w:i w:val="1"/>
          <w:iCs w:val="1"/>
          <w:color w:val="auto"/>
        </w:rPr>
        <w:t xml:space="preserve">Long-Haul Pipelines. </w:t>
      </w:r>
      <w:r>
        <w:rPr>
          <w:rFonts w:ascii="Arial" w:cs="Arial" w:eastAsia="Arial" w:hAnsi="Arial"/>
          <w:sz w:val="19"/>
          <w:szCs w:val="19"/>
          <w:color w:val="auto"/>
        </w:rPr>
        <w:t>We own a 50% interest in the entity that owns the Eagle Ford Pipeline through a joint venture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with a subsidiary of Enterprise Products Partners, L.P. (“Enterprise”). We serve as the operator of the Eagle Ford Pipeline, which has a total capacity of approximately 660,000 barrels per day and connects Permian, through a connection with our Cactus Pipeline, and Eagle Ford area production to Corpus Christi, Texas refiners and terminals. Additionally, the Eagle Ford Pipeline has connectivity to Houston, Texas via a connection with Enterprise’s pipeline at Lyssy, Texas. The Eagle Ford Pipeline is supported by long-term shipper commitments.</w:t>
      </w:r>
    </w:p>
    <w:p>
      <w:pPr>
        <w:sectPr>
          <w:pgSz w:w="11880" w:h="15480" w:orient="portrait"/>
          <w:cols w:equalWidth="0" w:num="1">
            <w:col w:w="10000"/>
          </w:cols>
          <w:pgMar w:left="940" w:top="674" w:right="940"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10000"/>
          </w:cols>
          <w:pgMar w:left="940" w:top="674" w:right="940" w:bottom="0" w:gutter="0" w:footer="0" w:header="0"/>
          <w:type w:val="continuous"/>
        </w:sectPr>
      </w:pPr>
    </w:p>
    <w:bookmarkStart w:id="14" w:name="page15"/>
    <w:bookmarkEnd w:id="14"/>
    <w:p>
      <w:pPr>
        <w:ind w:right="20" w:firstLine="702"/>
        <w:spacing w:after="0" w:line="277" w:lineRule="auto"/>
        <w:rPr>
          <w:sz w:val="20"/>
          <w:szCs w:val="20"/>
          <w:color w:val="auto"/>
        </w:rPr>
      </w:pPr>
      <w:r>
        <w:rPr>
          <w:rFonts w:ascii="Arial" w:cs="Arial" w:eastAsia="Arial" w:hAnsi="Arial"/>
          <w:sz w:val="19"/>
          <w:szCs w:val="19"/>
          <w:b w:val="1"/>
          <w:bCs w:val="1"/>
          <w:i w:val="1"/>
          <w:iCs w:val="1"/>
          <w:color w:val="auto"/>
        </w:rPr>
        <w:t>Terminals</w:t>
      </w:r>
      <w:r>
        <w:rPr>
          <w:rFonts w:ascii="Arial" w:cs="Arial" w:eastAsia="Arial" w:hAnsi="Arial"/>
          <w:sz w:val="19"/>
          <w:szCs w:val="19"/>
          <w:color w:val="auto"/>
        </w:rPr>
        <w:t>. We own a 50% interest in the entity that owns the Eagle Ford Corpus Christi terminal through a joint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venture with a subsidiary of Enterprise. The Eagle Ford Corpus Christi terminal has a dock with the capacity to export crude oil and approximately one million barrels of commercial storage capacity.</w:t>
      </w:r>
    </w:p>
    <w:p>
      <w:pPr>
        <w:spacing w:after="0" w:line="179" w:lineRule="exact"/>
        <w:rPr>
          <w:sz w:val="20"/>
          <w:szCs w:val="20"/>
          <w:color w:val="auto"/>
        </w:rPr>
      </w:pPr>
    </w:p>
    <w:p>
      <w:pPr>
        <w:jc w:val="both"/>
        <w:ind w:right="260" w:firstLine="702"/>
        <w:spacing w:after="0" w:line="277" w:lineRule="auto"/>
        <w:rPr>
          <w:sz w:val="20"/>
          <w:szCs w:val="20"/>
          <w:color w:val="auto"/>
        </w:rPr>
      </w:pPr>
      <w:r>
        <w:rPr>
          <w:rFonts w:ascii="Arial" w:cs="Arial" w:eastAsia="Arial" w:hAnsi="Arial"/>
          <w:sz w:val="19"/>
          <w:szCs w:val="19"/>
          <w:b w:val="1"/>
          <w:bCs w:val="1"/>
          <w:i w:val="1"/>
          <w:iCs w:val="1"/>
          <w:color w:val="auto"/>
        </w:rPr>
        <w:t xml:space="preserve">Condensate Processing. </w:t>
      </w:r>
      <w:r>
        <w:rPr>
          <w:rFonts w:ascii="Arial" w:cs="Arial" w:eastAsia="Arial" w:hAnsi="Arial"/>
          <w:sz w:val="19"/>
          <w:szCs w:val="19"/>
          <w:color w:val="auto"/>
        </w:rPr>
        <w:t>We own a condensate processing facility located in La Salle County, Texas that stabilizes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condensate that is primarily sourced from our Eagle Ford area gathering systems. The processed NGL is delivered to a third-party pipeline that delivers into Mont Belvieu, Texas.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Mid-Continent</w:t>
      </w:r>
    </w:p>
    <w:p>
      <w:pPr>
        <w:spacing w:after="0" w:line="255" w:lineRule="exact"/>
        <w:rPr>
          <w:sz w:val="20"/>
          <w:szCs w:val="20"/>
          <w:color w:val="auto"/>
        </w:rPr>
      </w:pPr>
    </w:p>
    <w:p>
      <w:pPr>
        <w:ind w:right="760" w:firstLine="702"/>
        <w:spacing w:after="0" w:line="361" w:lineRule="auto"/>
        <w:rPr>
          <w:sz w:val="20"/>
          <w:szCs w:val="20"/>
          <w:color w:val="auto"/>
        </w:rPr>
      </w:pPr>
      <w:r>
        <w:rPr>
          <w:rFonts w:ascii="Arial" w:cs="Arial" w:eastAsia="Arial" w:hAnsi="Arial"/>
          <w:sz w:val="17"/>
          <w:szCs w:val="17"/>
          <w:b w:val="1"/>
          <w:bCs w:val="1"/>
          <w:i w:val="1"/>
          <w:iCs w:val="1"/>
          <w:color w:val="auto"/>
        </w:rPr>
        <w:t xml:space="preserve">Gathering Pipelines. </w:t>
      </w:r>
      <w:r>
        <w:rPr>
          <w:rFonts w:ascii="Arial" w:cs="Arial" w:eastAsia="Arial" w:hAnsi="Arial"/>
          <w:sz w:val="17"/>
          <w:szCs w:val="17"/>
          <w:color w:val="auto"/>
        </w:rPr>
        <w:t>We own and operate gathering pipelines that source crude oil from Western and Central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Oklahoma and Southwest Kansas for transportation and delivery into our terminal facilities at Cushing, Oklahoma.</w:t>
      </w:r>
    </w:p>
    <w:p>
      <w:pPr>
        <w:spacing w:after="0" w:line="114" w:lineRule="exact"/>
        <w:rPr>
          <w:sz w:val="20"/>
          <w:szCs w:val="20"/>
          <w:color w:val="auto"/>
        </w:rPr>
      </w:pPr>
    </w:p>
    <w:p>
      <w:pPr>
        <w:ind w:firstLine="702"/>
        <w:spacing w:after="0" w:line="277" w:lineRule="auto"/>
        <w:rPr>
          <w:sz w:val="20"/>
          <w:szCs w:val="20"/>
          <w:color w:val="auto"/>
        </w:rPr>
      </w:pPr>
      <w:r>
        <w:rPr>
          <w:rFonts w:ascii="Arial" w:cs="Arial" w:eastAsia="Arial" w:hAnsi="Arial"/>
          <w:sz w:val="19"/>
          <w:szCs w:val="19"/>
          <w:b w:val="1"/>
          <w:bCs w:val="1"/>
          <w:i w:val="1"/>
          <w:iCs w:val="1"/>
          <w:color w:val="auto"/>
        </w:rPr>
        <w:t xml:space="preserve">Long-haul Pipelines. </w:t>
      </w:r>
      <w:r>
        <w:rPr>
          <w:rFonts w:ascii="Arial" w:cs="Arial" w:eastAsia="Arial" w:hAnsi="Arial"/>
          <w:sz w:val="19"/>
          <w:szCs w:val="19"/>
          <w:color w:val="auto"/>
        </w:rPr>
        <w:t>We own and operate various pipeline systems that extend from our Cushing terminal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Oklahoma to various refineries and/or crude oil hubs. Below is a description of some of our most significant pipeline systems in the Mid-Continent region.</w:t>
      </w:r>
    </w:p>
    <w:p>
      <w:pPr>
        <w:spacing w:after="0" w:line="179" w:lineRule="exact"/>
        <w:rPr>
          <w:sz w:val="20"/>
          <w:szCs w:val="20"/>
          <w:color w:val="auto"/>
        </w:rPr>
      </w:pPr>
    </w:p>
    <w:p>
      <w:pPr>
        <w:ind w:left="1060" w:right="280" w:hanging="359"/>
        <w:spacing w:after="0" w:line="270" w:lineRule="auto"/>
        <w:tabs>
          <w:tab w:leader="none" w:pos="1060" w:val="left"/>
        </w:tabs>
        <w:numPr>
          <w:ilvl w:val="0"/>
          <w:numId w:val="1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Diamond Pipeline (Cushing to Memphis). </w:t>
      </w:r>
      <w:r>
        <w:rPr>
          <w:rFonts w:ascii="Arial" w:cs="Arial" w:eastAsia="Arial" w:hAnsi="Arial"/>
          <w:sz w:val="19"/>
          <w:szCs w:val="19"/>
          <w:color w:val="auto"/>
        </w:rPr>
        <w:t>We own a 50% interest in the entity that owns the Diamond Pipeline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through a joint venture with Valero Energy Corporation (“Valero”). We operate the Diamond Pipeline, which extends from our Cushing Terminal to Valero’s refinery in Memphis, Tennessee. The Diamond Pipeline has a total capacity of approximately 200,000 barrels per day.</w:t>
      </w:r>
    </w:p>
    <w:p>
      <w:pPr>
        <w:spacing w:after="0" w:line="186" w:lineRule="exact"/>
        <w:rPr>
          <w:rFonts w:ascii="Arial" w:cs="Arial" w:eastAsia="Arial" w:hAnsi="Arial"/>
          <w:sz w:val="19"/>
          <w:szCs w:val="19"/>
          <w:b w:val="1"/>
          <w:bCs w:val="1"/>
          <w:i w:val="1"/>
          <w:iCs w:val="1"/>
          <w:color w:val="auto"/>
        </w:rPr>
      </w:pPr>
    </w:p>
    <w:p>
      <w:pPr>
        <w:ind w:left="1060" w:right="60" w:hanging="359"/>
        <w:spacing w:after="0" w:line="282" w:lineRule="auto"/>
        <w:tabs>
          <w:tab w:leader="none" w:pos="10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Red River Pipeline (Cushing to Longview)</w:t>
      </w:r>
      <w:r>
        <w:rPr>
          <w:rFonts w:ascii="Arial" w:cs="Arial" w:eastAsia="Arial" w:hAnsi="Arial"/>
          <w:sz w:val="18"/>
          <w:szCs w:val="18"/>
          <w:color w:val="auto"/>
        </w:rPr>
        <w:t>. We own 67% of the entity that owns the Red River Pipeline through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joint venture with Delek Logistics Partners, LP (“Delek”). The Red River Pipeline is an approximately 235,000 barrel per day capacity pipeline that extends from our Cushing Terminal in Oklahoma to Longview, Texas, where it connects with various pipelines. We serve as operator of the Red River Pipeline. The Red River joint venture owns an approximate 69% UJI in the pipeline segment from Cushing to Hewitt, Oklahoma and owns 100% of the segment of the pipeline extending from Hewitt to Longview, Texas.</w:t>
      </w:r>
    </w:p>
    <w:p>
      <w:pPr>
        <w:spacing w:after="0" w:line="180" w:lineRule="exact"/>
        <w:rPr>
          <w:sz w:val="20"/>
          <w:szCs w:val="20"/>
          <w:color w:val="auto"/>
        </w:rPr>
      </w:pPr>
    </w:p>
    <w:p>
      <w:pPr>
        <w:ind w:right="40" w:firstLine="702"/>
        <w:spacing w:after="0" w:line="276" w:lineRule="auto"/>
        <w:rPr>
          <w:sz w:val="20"/>
          <w:szCs w:val="20"/>
          <w:color w:val="auto"/>
        </w:rPr>
      </w:pPr>
      <w:r>
        <w:rPr>
          <w:rFonts w:ascii="Arial" w:cs="Arial" w:eastAsia="Arial" w:hAnsi="Arial"/>
          <w:sz w:val="19"/>
          <w:szCs w:val="19"/>
          <w:color w:val="auto"/>
        </w:rPr>
        <w:t>In addition, we own 50% interests in both the Cushing Connect and Midway pipelines that originate at our Cushing terminal and terminate at refineries in Tulsa, Oklahoma and Coffeyville, Kansas, respectively. Our partners in each pipeline are the refiner customers at the terminus of the pipelines.</w:t>
      </w:r>
    </w:p>
    <w:p>
      <w:pPr>
        <w:spacing w:after="0" w:line="180" w:lineRule="exact"/>
        <w:rPr>
          <w:sz w:val="20"/>
          <w:szCs w:val="20"/>
          <w:color w:val="auto"/>
        </w:rPr>
      </w:pPr>
    </w:p>
    <w:p>
      <w:pPr>
        <w:ind w:right="540" w:firstLine="702"/>
        <w:spacing w:after="0" w:line="270" w:lineRule="auto"/>
        <w:rPr>
          <w:sz w:val="20"/>
          <w:szCs w:val="20"/>
          <w:color w:val="auto"/>
        </w:rPr>
      </w:pPr>
      <w:r>
        <w:rPr>
          <w:rFonts w:ascii="Arial" w:cs="Arial" w:eastAsia="Arial" w:hAnsi="Arial"/>
          <w:sz w:val="19"/>
          <w:szCs w:val="19"/>
          <w:b w:val="1"/>
          <w:bCs w:val="1"/>
          <w:i w:val="1"/>
          <w:iCs w:val="1"/>
          <w:color w:val="auto"/>
        </w:rPr>
        <w:t>Terminals</w:t>
      </w:r>
      <w:r>
        <w:rPr>
          <w:rFonts w:ascii="Arial" w:cs="Arial" w:eastAsia="Arial" w:hAnsi="Arial"/>
          <w:sz w:val="19"/>
          <w:szCs w:val="19"/>
          <w:color w:val="auto"/>
        </w:rPr>
        <w:t>. We are a large provider of crude oil terminalling services in Cushing, Oklahoma, which is one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largest physical trading hubs in the United States and is the delivery point for the NYMEX light sweet crude oil futures contracts (the benchmark for U.S. crude oil). Our Cushing terminal has been designated by the NYMEX as an approved delivery location.</w:t>
      </w:r>
    </w:p>
    <w:p>
      <w:pPr>
        <w:spacing w:after="0" w:line="188" w:lineRule="exact"/>
        <w:rPr>
          <w:sz w:val="20"/>
          <w:szCs w:val="20"/>
          <w:color w:val="auto"/>
        </w:rPr>
      </w:pPr>
    </w:p>
    <w:p>
      <w:pPr>
        <w:jc w:val="both"/>
        <w:ind w:right="360" w:firstLine="702"/>
        <w:spacing w:after="0" w:line="298" w:lineRule="auto"/>
        <w:rPr>
          <w:sz w:val="20"/>
          <w:szCs w:val="20"/>
          <w:color w:val="auto"/>
        </w:rPr>
      </w:pPr>
      <w:r>
        <w:rPr>
          <w:rFonts w:ascii="Arial" w:cs="Arial" w:eastAsia="Arial" w:hAnsi="Arial"/>
          <w:sz w:val="18"/>
          <w:szCs w:val="18"/>
          <w:color w:val="auto"/>
        </w:rPr>
        <w:t>Our Cushing terminal, which has 27 million barrels of commercial storage capacity, is connected to our long-haul pipelines from the Permian Basin and Rocky Mountain regions, as well as to our Mid-Continent region gathering pipelines. Additionally, the terminal supplies crude oil to all of our joint venture, Mid-Continent region long-haul pipelines.</w:t>
      </w:r>
    </w:p>
    <w:p>
      <w:pPr>
        <w:spacing w:after="0" w:line="165" w:lineRule="exact"/>
        <w:rPr>
          <w:sz w:val="20"/>
          <w:szCs w:val="20"/>
          <w:color w:val="auto"/>
        </w:rPr>
      </w:pPr>
    </w:p>
    <w:p>
      <w:pPr>
        <w:ind w:right="40" w:firstLine="702"/>
        <w:spacing w:after="0" w:line="325" w:lineRule="auto"/>
        <w:rPr>
          <w:sz w:val="20"/>
          <w:szCs w:val="20"/>
          <w:color w:val="auto"/>
        </w:rPr>
      </w:pPr>
      <w:r>
        <w:rPr>
          <w:rFonts w:ascii="Arial" w:cs="Arial" w:eastAsia="Arial" w:hAnsi="Arial"/>
          <w:sz w:val="18"/>
          <w:szCs w:val="18"/>
          <w:color w:val="auto"/>
        </w:rPr>
        <w:t>Our crude oil terminal in Patoka, Illinois, which has 7 million barrels of commercial storage capacity, has connectivity to major inbound and outbound pipelines at this hub, including the Capline Pipeline (discussed further below).</w:t>
      </w:r>
    </w:p>
    <w:p>
      <w:pPr>
        <w:spacing w:after="0" w:line="134"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Gulf Coast</w:t>
      </w:r>
    </w:p>
    <w:p>
      <w:pPr>
        <w:spacing w:after="0" w:line="255" w:lineRule="exact"/>
        <w:rPr>
          <w:sz w:val="20"/>
          <w:szCs w:val="20"/>
          <w:color w:val="auto"/>
        </w:rPr>
      </w:pPr>
    </w:p>
    <w:p>
      <w:pPr>
        <w:ind w:right="40" w:firstLine="702"/>
        <w:spacing w:after="0" w:line="277" w:lineRule="auto"/>
        <w:rPr>
          <w:sz w:val="20"/>
          <w:szCs w:val="20"/>
          <w:color w:val="auto"/>
        </w:rPr>
      </w:pPr>
      <w:r>
        <w:rPr>
          <w:rFonts w:ascii="Arial" w:cs="Arial" w:eastAsia="Arial" w:hAnsi="Arial"/>
          <w:sz w:val="19"/>
          <w:szCs w:val="19"/>
          <w:b w:val="1"/>
          <w:bCs w:val="1"/>
          <w:i w:val="1"/>
          <w:iCs w:val="1"/>
          <w:color w:val="auto"/>
        </w:rPr>
        <w:t xml:space="preserve">Long-haul Pipelines. </w:t>
      </w:r>
      <w:r>
        <w:rPr>
          <w:rFonts w:ascii="Arial" w:cs="Arial" w:eastAsia="Arial" w:hAnsi="Arial"/>
          <w:sz w:val="19"/>
          <w:szCs w:val="19"/>
          <w:color w:val="auto"/>
        </w:rPr>
        <w:t>We own an approximate 54% interest in the entity that owns the Capline Pipeline, which extends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from Patoka, Illinois to various terminals in St. James, Louisiana. The Capline Pipeline is supported by long-term shipper commitments, and a subsidiary of Marathon Petroleum Corporation serves as the operator.</w:t>
      </w:r>
    </w:p>
    <w:p>
      <w:pPr>
        <w:spacing w:after="0" w:line="179" w:lineRule="exact"/>
        <w:rPr>
          <w:sz w:val="20"/>
          <w:szCs w:val="20"/>
          <w:color w:val="auto"/>
        </w:rPr>
      </w:pPr>
    </w:p>
    <w:p>
      <w:pPr>
        <w:ind w:right="120" w:firstLine="702"/>
        <w:spacing w:after="0" w:line="267" w:lineRule="auto"/>
        <w:rPr>
          <w:sz w:val="20"/>
          <w:szCs w:val="20"/>
          <w:color w:val="auto"/>
        </w:rPr>
      </w:pPr>
      <w:r>
        <w:rPr>
          <w:rFonts w:ascii="Arial" w:cs="Arial" w:eastAsia="Arial" w:hAnsi="Arial"/>
          <w:sz w:val="19"/>
          <w:szCs w:val="19"/>
          <w:b w:val="1"/>
          <w:bCs w:val="1"/>
          <w:i w:val="1"/>
          <w:iCs w:val="1"/>
          <w:color w:val="auto"/>
        </w:rPr>
        <w:t>Terminals</w:t>
      </w:r>
      <w:r>
        <w:rPr>
          <w:rFonts w:ascii="Arial" w:cs="Arial" w:eastAsia="Arial" w:hAnsi="Arial"/>
          <w:sz w:val="19"/>
          <w:szCs w:val="19"/>
          <w:color w:val="auto"/>
        </w:rPr>
        <w:t>. Our terminal at St. James, Louisiana, which has 15 million barrels of commercial storage capacity, is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destination facility connected to the Capline Pipeline and other third-party pipelines, and also has a rail unload facility that can move crude oil from rail cars to pipelines that service local refiners, or to our docks which can receive or export crude oil. Our terminals in and near Mobile, Alabama have 4 million barrels of commercial storage capacity, along with dock capacity to receive or export crude oil.</w:t>
      </w:r>
    </w:p>
    <w:p>
      <w:pPr>
        <w:sectPr>
          <w:pgSz w:w="11880" w:h="15480" w:orient="portrait"/>
          <w:cols w:equalWidth="0" w:num="1">
            <w:col w:w="9980"/>
          </w:cols>
          <w:pgMar w:left="940" w:top="67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9980"/>
          </w:cols>
          <w:pgMar w:left="940" w:top="674" w:right="960" w:bottom="0" w:gutter="0" w:footer="0" w:header="0"/>
          <w:type w:val="continuous"/>
        </w:sectPr>
      </w:pPr>
    </w:p>
    <w:bookmarkStart w:id="15" w:name="page16"/>
    <w:bookmarkEnd w:id="15"/>
    <w:p>
      <w:pPr>
        <w:ind w:left="700"/>
        <w:spacing w:after="0"/>
        <w:rPr>
          <w:sz w:val="20"/>
          <w:szCs w:val="20"/>
          <w:color w:val="auto"/>
        </w:rPr>
      </w:pPr>
      <w:r>
        <w:rPr>
          <w:rFonts w:ascii="Arial" w:cs="Arial" w:eastAsia="Arial" w:hAnsi="Arial"/>
          <w:sz w:val="19"/>
          <w:szCs w:val="19"/>
          <w:b w:val="1"/>
          <w:bCs w:val="1"/>
          <w:i w:val="1"/>
          <w:iCs w:val="1"/>
          <w:color w:val="auto"/>
        </w:rPr>
        <w:t>Rocky Mountain</w:t>
      </w:r>
    </w:p>
    <w:p>
      <w:pPr>
        <w:spacing w:after="0" w:line="255" w:lineRule="exact"/>
        <w:rPr>
          <w:sz w:val="20"/>
          <w:szCs w:val="20"/>
          <w:color w:val="auto"/>
        </w:rPr>
      </w:pPr>
    </w:p>
    <w:p>
      <w:pPr>
        <w:ind w:right="440" w:firstLine="702"/>
        <w:spacing w:after="0" w:line="297" w:lineRule="auto"/>
        <w:rPr>
          <w:sz w:val="20"/>
          <w:szCs w:val="20"/>
          <w:color w:val="auto"/>
        </w:rPr>
      </w:pPr>
      <w:r>
        <w:rPr>
          <w:rFonts w:ascii="Arial" w:cs="Arial" w:eastAsia="Arial" w:hAnsi="Arial"/>
          <w:sz w:val="19"/>
          <w:szCs w:val="19"/>
          <w:b w:val="1"/>
          <w:bCs w:val="1"/>
          <w:i w:val="1"/>
          <w:iCs w:val="1"/>
          <w:color w:val="auto"/>
        </w:rPr>
        <w:t>Gathering Pipelines</w:t>
      </w:r>
      <w:r>
        <w:rPr>
          <w:rFonts w:ascii="Arial" w:cs="Arial" w:eastAsia="Arial" w:hAnsi="Arial"/>
          <w:sz w:val="19"/>
          <w:szCs w:val="19"/>
          <w:color w:val="auto"/>
        </w:rPr>
        <w:t>. We own and operate pipelines that provide gathering services in the Bakken and the Powder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River Basin.</w:t>
      </w:r>
    </w:p>
    <w:p>
      <w:pPr>
        <w:spacing w:after="0" w:line="161" w:lineRule="exact"/>
        <w:rPr>
          <w:sz w:val="20"/>
          <w:szCs w:val="20"/>
          <w:color w:val="auto"/>
        </w:rPr>
      </w:pPr>
    </w:p>
    <w:p>
      <w:pPr>
        <w:ind w:firstLine="702"/>
        <w:spacing w:after="0" w:line="279" w:lineRule="auto"/>
        <w:rPr>
          <w:sz w:val="20"/>
          <w:szCs w:val="20"/>
          <w:color w:val="auto"/>
        </w:rPr>
      </w:pPr>
      <w:r>
        <w:rPr>
          <w:rFonts w:ascii="Arial" w:cs="Arial" w:eastAsia="Arial" w:hAnsi="Arial"/>
          <w:sz w:val="18"/>
          <w:szCs w:val="18"/>
          <w:b w:val="1"/>
          <w:bCs w:val="1"/>
          <w:i w:val="1"/>
          <w:iCs w:val="1"/>
          <w:color w:val="auto"/>
        </w:rPr>
        <w:t xml:space="preserve">Long-haul Pipelines. </w:t>
      </w:r>
      <w:r>
        <w:rPr>
          <w:rFonts w:ascii="Arial" w:cs="Arial" w:eastAsia="Arial" w:hAnsi="Arial"/>
          <w:sz w:val="18"/>
          <w:szCs w:val="18"/>
          <w:color w:val="auto"/>
        </w:rPr>
        <w:t>Our pipeline systems in the Rocky Mountain region provide access to our terminal in Cushing,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Oklahoma as well as other major market hubs. We have two cross-border pipelines, each of which has the flexibility to move up to 30,000 barrels per day of crude oil, depending on the quality. We own and operate the Bakken North cross-border pipeline system that accommodates bidirectional flow and can move crude oil between the Bakken at Trenton, North Dakota and the Enbridge Mainline system at Regina, Saskatchewan. We own a UJI in the Western Corridor pipeline system that extends from the Canadian border to our terminal in Guernsey, Wyoming and receives crude oil from our cross-border Rangeland South pipeline. In addition to these assets, our largest Rocky Mountain region systems include the following joint venture pipelines, both of which connect to our terminal in Cushing, Oklahoma.</w:t>
      </w:r>
    </w:p>
    <w:p>
      <w:pPr>
        <w:spacing w:after="0" w:line="181" w:lineRule="exact"/>
        <w:rPr>
          <w:sz w:val="20"/>
          <w:szCs w:val="20"/>
          <w:color w:val="auto"/>
        </w:rPr>
      </w:pPr>
    </w:p>
    <w:p>
      <w:pPr>
        <w:ind w:left="1060" w:right="60" w:hanging="359"/>
        <w:spacing w:after="0" w:line="270" w:lineRule="auto"/>
        <w:tabs>
          <w:tab w:leader="none" w:pos="1060" w:val="left"/>
        </w:tabs>
        <w:numPr>
          <w:ilvl w:val="0"/>
          <w:numId w:val="14"/>
        </w:numPr>
        <w:rPr>
          <w:rFonts w:ascii="Arial" w:cs="Arial" w:eastAsia="Arial" w:hAnsi="Arial"/>
          <w:sz w:val="19"/>
          <w:szCs w:val="19"/>
          <w:color w:val="auto"/>
        </w:rPr>
      </w:pPr>
      <w:r>
        <w:rPr>
          <w:rFonts w:ascii="Arial" w:cs="Arial" w:eastAsia="Arial" w:hAnsi="Arial"/>
          <w:sz w:val="19"/>
          <w:szCs w:val="19"/>
          <w:b w:val="1"/>
          <w:bCs w:val="1"/>
          <w:i w:val="1"/>
          <w:iCs w:val="1"/>
          <w:color w:val="auto"/>
        </w:rPr>
        <w:t>Saddlehorn Pipeline</w:t>
      </w:r>
      <w:r>
        <w:rPr>
          <w:rFonts w:ascii="Arial" w:cs="Arial" w:eastAsia="Arial" w:hAnsi="Arial"/>
          <w:sz w:val="19"/>
          <w:szCs w:val="19"/>
          <w:color w:val="auto"/>
        </w:rPr>
        <w:t>. We own a 30% interest in the entity that owns the Saddlehorn Pipeline which, through a UJI</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arrangement, owns approximately 290,000 barrels per day of capacity in the Saddlehorn Pipeline. The pipeline extends from the Niobrara and Denver-Julesburg (“DJ”) Basin to Cushing and is operated by ONEOK. The Saddlehorn Pipeline is supported by minimum volume commitments.</w:t>
      </w:r>
    </w:p>
    <w:p>
      <w:pPr>
        <w:spacing w:after="0" w:line="186" w:lineRule="exact"/>
        <w:rPr>
          <w:rFonts w:ascii="Arial" w:cs="Arial" w:eastAsia="Arial" w:hAnsi="Arial"/>
          <w:sz w:val="19"/>
          <w:szCs w:val="19"/>
          <w:color w:val="auto"/>
        </w:rPr>
      </w:pPr>
    </w:p>
    <w:p>
      <w:pPr>
        <w:ind w:left="1060" w:right="60" w:hanging="359"/>
        <w:spacing w:after="0" w:line="263" w:lineRule="auto"/>
        <w:tabs>
          <w:tab w:leader="none" w:pos="1060" w:val="left"/>
        </w:tabs>
        <w:numPr>
          <w:ilvl w:val="0"/>
          <w:numId w:val="14"/>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White Cliffs Pipeline. </w:t>
      </w:r>
      <w:r>
        <w:rPr>
          <w:rFonts w:ascii="Arial" w:cs="Arial" w:eastAsia="Arial" w:hAnsi="Arial"/>
          <w:sz w:val="19"/>
          <w:szCs w:val="19"/>
          <w:color w:val="auto"/>
        </w:rPr>
        <w:t>We own an approximate 36% interest in the entity that owns the White Cliffs Pipeline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system through a joint venture with three other partners. The White Cliffs Pipeline system consists of one crude oil pipeline with approximately 100,000 barrels per day of capacity that extends from the DJ Basin to Cushing, Oklahoma and one NGL pipeline with approximately 90,000 barrels per day of capacity that extends from the DJ Basin to a tie-in location with the Southern Hills Pipeline in Oklahoma. The NGL pipeline is supported by a long-term capacity lease and long-term throughput agreements. A subsidiary of Energy Transfer LP serves as the operator of the pipelines.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Canada</w:t>
      </w:r>
    </w:p>
    <w:p>
      <w:pPr>
        <w:spacing w:after="0" w:line="255" w:lineRule="exact"/>
        <w:rPr>
          <w:sz w:val="20"/>
          <w:szCs w:val="20"/>
          <w:color w:val="auto"/>
        </w:rPr>
      </w:pPr>
    </w:p>
    <w:p>
      <w:pPr>
        <w:ind w:right="20" w:firstLine="702"/>
        <w:spacing w:after="0" w:line="361" w:lineRule="auto"/>
        <w:rPr>
          <w:sz w:val="20"/>
          <w:szCs w:val="20"/>
          <w:color w:val="auto"/>
        </w:rPr>
      </w:pPr>
      <w:r>
        <w:rPr>
          <w:rFonts w:ascii="Arial" w:cs="Arial" w:eastAsia="Arial" w:hAnsi="Arial"/>
          <w:sz w:val="17"/>
          <w:szCs w:val="17"/>
          <w:b w:val="1"/>
          <w:bCs w:val="1"/>
          <w:i w:val="1"/>
          <w:iCs w:val="1"/>
          <w:color w:val="auto"/>
        </w:rPr>
        <w:t>Gathering Pipelines</w:t>
      </w:r>
      <w:r>
        <w:rPr>
          <w:rFonts w:ascii="Arial" w:cs="Arial" w:eastAsia="Arial" w:hAnsi="Arial"/>
          <w:sz w:val="17"/>
          <w:szCs w:val="17"/>
          <w:color w:val="auto"/>
        </w:rPr>
        <w:t>. We own and operate gathering systems that source crude oil from truck terminals and pipeline-connected facilities to deliver to the Enbridge Mainline system at our Kerrobert and Regina terminals in Saskatchewan, Canada.</w:t>
      </w:r>
    </w:p>
    <w:p>
      <w:pPr>
        <w:spacing w:after="0" w:line="114" w:lineRule="exact"/>
        <w:rPr>
          <w:sz w:val="20"/>
          <w:szCs w:val="20"/>
          <w:color w:val="auto"/>
        </w:rPr>
      </w:pPr>
    </w:p>
    <w:p>
      <w:pPr>
        <w:jc w:val="both"/>
        <w:ind w:right="260" w:firstLine="702"/>
        <w:spacing w:after="0" w:line="324" w:lineRule="auto"/>
        <w:rPr>
          <w:sz w:val="20"/>
          <w:szCs w:val="20"/>
          <w:color w:val="auto"/>
        </w:rPr>
      </w:pPr>
      <w:r>
        <w:rPr>
          <w:rFonts w:ascii="Arial" w:cs="Arial" w:eastAsia="Arial" w:hAnsi="Arial"/>
          <w:sz w:val="17"/>
          <w:szCs w:val="17"/>
          <w:b w:val="1"/>
          <w:bCs w:val="1"/>
          <w:i w:val="1"/>
          <w:iCs w:val="1"/>
          <w:color w:val="auto"/>
        </w:rPr>
        <w:t xml:space="preserve">Intra-basin Pipelines. </w:t>
      </w:r>
      <w:r>
        <w:rPr>
          <w:rFonts w:ascii="Arial" w:cs="Arial" w:eastAsia="Arial" w:hAnsi="Arial"/>
          <w:sz w:val="17"/>
          <w:szCs w:val="17"/>
          <w:color w:val="auto"/>
        </w:rPr>
        <w:t>We own and operate intra-basin pipelines with capacity of approximately 290,000 barrels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 that deliver crude oil from northern and southern Alberta to the Edmonton, Alberta market hub. These pipelines provide shippers with flexibility to access the Enbridge and TransMountain long-haul pipelines along with the Imperial Oil Refinery.</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Western</w:t>
      </w:r>
    </w:p>
    <w:p>
      <w:pPr>
        <w:spacing w:after="0" w:line="255" w:lineRule="exact"/>
        <w:rPr>
          <w:sz w:val="20"/>
          <w:szCs w:val="20"/>
          <w:color w:val="auto"/>
        </w:rPr>
      </w:pPr>
    </w:p>
    <w:p>
      <w:pPr>
        <w:ind w:right="100" w:firstLine="702"/>
        <w:spacing w:after="0" w:line="277" w:lineRule="auto"/>
        <w:rPr>
          <w:sz w:val="20"/>
          <w:szCs w:val="20"/>
          <w:color w:val="auto"/>
        </w:rPr>
      </w:pPr>
      <w:r>
        <w:rPr>
          <w:rFonts w:ascii="Arial" w:cs="Arial" w:eastAsia="Arial" w:hAnsi="Arial"/>
          <w:sz w:val="19"/>
          <w:szCs w:val="19"/>
          <w:b w:val="1"/>
          <w:bCs w:val="1"/>
          <w:i w:val="1"/>
          <w:iCs w:val="1"/>
          <w:color w:val="auto"/>
        </w:rPr>
        <w:t xml:space="preserve">Gathering Pipelines. </w:t>
      </w:r>
      <w:r>
        <w:rPr>
          <w:rFonts w:ascii="Arial" w:cs="Arial" w:eastAsia="Arial" w:hAnsi="Arial"/>
          <w:sz w:val="19"/>
          <w:szCs w:val="19"/>
          <w:color w:val="auto"/>
        </w:rPr>
        <w:t>We own and operate a pipeline in the San Joaquin Valley in California that gathers locally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produced crude oil, which is then delivered via our Line 63 pipeline system and/or Line 2000 pipeline for transportation to Los Angeles area refiners.</w:t>
      </w:r>
    </w:p>
    <w:p>
      <w:pPr>
        <w:spacing w:after="0" w:line="179" w:lineRule="exact"/>
        <w:rPr>
          <w:sz w:val="20"/>
          <w:szCs w:val="20"/>
          <w:color w:val="auto"/>
        </w:rPr>
      </w:pPr>
    </w:p>
    <w:p>
      <w:pPr>
        <w:ind w:firstLine="702"/>
        <w:spacing w:after="0" w:line="256" w:lineRule="auto"/>
        <w:rPr>
          <w:sz w:val="20"/>
          <w:szCs w:val="20"/>
          <w:color w:val="auto"/>
        </w:rPr>
      </w:pPr>
      <w:r>
        <w:rPr>
          <w:rFonts w:ascii="Arial" w:cs="Arial" w:eastAsia="Arial" w:hAnsi="Arial"/>
          <w:sz w:val="19"/>
          <w:szCs w:val="19"/>
          <w:b w:val="1"/>
          <w:bCs w:val="1"/>
          <w:i w:val="1"/>
          <w:iCs w:val="1"/>
          <w:color w:val="auto"/>
        </w:rPr>
        <w:t xml:space="preserve">Long-haul Pipelines. </w:t>
      </w:r>
      <w:r>
        <w:rPr>
          <w:rFonts w:ascii="Arial" w:cs="Arial" w:eastAsia="Arial" w:hAnsi="Arial"/>
          <w:sz w:val="19"/>
          <w:szCs w:val="19"/>
          <w:color w:val="auto"/>
        </w:rPr>
        <w:t>We own and operate Line 63 and Line 2000 pipelines in California. Line 2000 is a mainline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system that has the capacity to transport approximately 110,000 barrels per day from the San Joaquin Valley to refineries and terminal facilities in the Los Angeles area. Line 63 is used as a gathering and distribution system. The pipeline gathers crude oil in the San Joaquin Valley for delivery to Line 2000 and local refiners. In the Los Angeles area, the Line 63 distribution lines are used to move crude oil from Line 2000 to local refiners.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NGL Segment</w:t>
      </w:r>
    </w:p>
    <w:p>
      <w:pPr>
        <w:spacing w:after="0" w:line="249"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NGL Market and Business Overview</w:t>
      </w:r>
    </w:p>
    <w:p>
      <w:pPr>
        <w:spacing w:after="0" w:line="257" w:lineRule="exact"/>
        <w:rPr>
          <w:sz w:val="20"/>
          <w:szCs w:val="20"/>
          <w:color w:val="auto"/>
        </w:rPr>
      </w:pPr>
    </w:p>
    <w:p>
      <w:pPr>
        <w:ind w:right="40" w:firstLine="702"/>
        <w:spacing w:after="0" w:line="266" w:lineRule="auto"/>
        <w:rPr>
          <w:sz w:val="20"/>
          <w:szCs w:val="20"/>
          <w:color w:val="auto"/>
        </w:rPr>
      </w:pPr>
      <w:r>
        <w:rPr>
          <w:rFonts w:ascii="Arial" w:cs="Arial" w:eastAsia="Arial" w:hAnsi="Arial"/>
          <w:sz w:val="19"/>
          <w:szCs w:val="19"/>
          <w:color w:val="auto"/>
        </w:rPr>
        <w:t>NGL primarily includes ethane, propane, normal butane, iso-butane and natural gasoline, and is derived from natural gas production and processing activities, as well as crude oil refining processes. The individual NGL components are used for various purposes including heating, engine and industrial fuels, a component of motor gasoline and as the primary feedstock for petrochemical facilities that produce many everyday consumer products, including a wide range of plastics and synthetic rubber.</w:t>
      </w:r>
    </w:p>
    <w:p>
      <w:pPr>
        <w:sectPr>
          <w:pgSz w:w="11880" w:h="15480" w:orient="portrait"/>
          <w:cols w:equalWidth="0" w:num="1">
            <w:col w:w="10000"/>
          </w:cols>
          <w:pgMar w:left="940" w:top="66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10000"/>
          </w:cols>
          <w:pgMar w:left="940" w:top="669" w:right="940" w:bottom="0" w:gutter="0" w:footer="0" w:header="0"/>
          <w:type w:val="continuous"/>
        </w:sectPr>
      </w:pPr>
    </w:p>
    <w:bookmarkStart w:id="16" w:name="page17"/>
    <w:bookmarkEnd w:id="16"/>
    <w:p>
      <w:pPr>
        <w:ind w:right="20" w:firstLine="702"/>
        <w:spacing w:after="0" w:line="277" w:lineRule="auto"/>
        <w:rPr>
          <w:sz w:val="20"/>
          <w:szCs w:val="20"/>
          <w:color w:val="auto"/>
        </w:rPr>
      </w:pPr>
      <w:r>
        <w:rPr>
          <w:rFonts w:ascii="Arial" w:cs="Arial" w:eastAsia="Arial" w:hAnsi="Arial"/>
          <w:sz w:val="18"/>
          <w:szCs w:val="18"/>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our merchant activities that support the assets. Our merchant activities include the acquisition of extraction rights from producers and/or shippers of the gas streams that pass through our Empress facility. The extraction rights allow us to process that gas at our Empress facility and extract the higher valued NGL from the gas stream. We then purchase natural gas to replace the thermal content attributable to the NGL that was extracted. We use our assets to transport, store and fractionate NGL mix extracted from our Empress straddle plants, or NGL mix acquired from third parties, into finished products to sell to customers. We may also acquire finished NGL products to be seasonally stored in our storage caverns, which is then resold to third-party customers. Often times we will use derivative instruments to hedge the margins related to these merchant activities.</w:t>
      </w:r>
    </w:p>
    <w:p>
      <w:pPr>
        <w:spacing w:after="0" w:line="185" w:lineRule="exact"/>
        <w:rPr>
          <w:sz w:val="20"/>
          <w:szCs w:val="20"/>
          <w:color w:val="auto"/>
        </w:rPr>
      </w:pPr>
    </w:p>
    <w:p>
      <w:pPr>
        <w:ind w:firstLine="702"/>
        <w:spacing w:after="0" w:line="295" w:lineRule="auto"/>
        <w:rPr>
          <w:sz w:val="20"/>
          <w:szCs w:val="20"/>
          <w:color w:val="auto"/>
        </w:rPr>
      </w:pPr>
      <w:r>
        <w:rPr>
          <w:rFonts w:ascii="Arial" w:cs="Arial" w:eastAsia="Arial" w:hAnsi="Arial"/>
          <w:sz w:val="19"/>
          <w:szCs w:val="19"/>
          <w:color w:val="auto"/>
        </w:rPr>
        <w:t>The figure below provides an illustrative and simplified overview of the assets and activities associated with our NGL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6351270" cy="1856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extLst>
                    </a:blip>
                    <a:srcRect/>
                    <a:stretch>
                      <a:fillRect/>
                    </a:stretch>
                  </pic:blipFill>
                  <pic:spPr bwMode="auto">
                    <a:xfrm>
                      <a:off x="0" y="0"/>
                      <a:ext cx="6351270" cy="185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NGL Segment Assets Overview</w:t>
      </w:r>
    </w:p>
    <w:p>
      <w:pPr>
        <w:spacing w:after="0" w:line="241" w:lineRule="exact"/>
        <w:rPr>
          <w:sz w:val="20"/>
          <w:szCs w:val="20"/>
          <w:color w:val="auto"/>
        </w:rPr>
      </w:pPr>
    </w:p>
    <w:p>
      <w:pPr>
        <w:jc w:val="both"/>
        <w:ind w:right="40" w:firstLine="702"/>
        <w:spacing w:after="0" w:line="259" w:lineRule="auto"/>
        <w:rPr>
          <w:sz w:val="20"/>
          <w:szCs w:val="20"/>
          <w:color w:val="auto"/>
        </w:rPr>
      </w:pPr>
      <w:r>
        <w:rPr>
          <w:rFonts w:ascii="Arial" w:cs="Arial" w:eastAsia="Arial" w:hAnsi="Arial"/>
          <w:sz w:val="19"/>
          <w:szCs w:val="19"/>
          <w:color w:val="auto"/>
        </w:rPr>
        <w:t>We operate a highly integrated network of assets, strategically positioned across Canada and the United States, with a particular focus on serving production from the liquids-rich Western Canadian Sedimentary Basin. As of December 31, 2023, the assets utilized in our NGL segment included the following:</w:t>
      </w:r>
    </w:p>
    <w:p>
      <w:pPr>
        <w:spacing w:after="0" w:line="65" w:lineRule="exact"/>
        <w:rPr>
          <w:sz w:val="20"/>
          <w:szCs w:val="20"/>
          <w:color w:val="auto"/>
        </w:rPr>
      </w:pPr>
    </w:p>
    <w:p>
      <w:pPr>
        <w:ind w:left="1060" w:hanging="359"/>
        <w:spacing w:after="0"/>
        <w:tabs>
          <w:tab w:leader="none" w:pos="10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four natural gas processing plants;</w:t>
      </w:r>
    </w:p>
    <w:p>
      <w:pPr>
        <w:spacing w:after="0" w:line="116" w:lineRule="exact"/>
        <w:rPr>
          <w:rFonts w:ascii="Arial" w:cs="Arial" w:eastAsia="Arial" w:hAnsi="Arial"/>
          <w:sz w:val="19"/>
          <w:szCs w:val="19"/>
          <w:color w:val="auto"/>
        </w:rPr>
      </w:pPr>
    </w:p>
    <w:p>
      <w:pPr>
        <w:ind w:left="1060" w:right="20" w:hanging="359"/>
        <w:spacing w:after="0" w:line="295" w:lineRule="auto"/>
        <w:tabs>
          <w:tab w:leader="none" w:pos="10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seven fractionation plants located throughout Canada and the United States with an aggregate useable capacity of approximately 171,000 barrels per day;</w:t>
      </w:r>
    </w:p>
    <w:p>
      <w:pPr>
        <w:spacing w:after="0" w:line="47" w:lineRule="exact"/>
        <w:rPr>
          <w:rFonts w:ascii="Arial" w:cs="Arial" w:eastAsia="Arial" w:hAnsi="Arial"/>
          <w:sz w:val="19"/>
          <w:szCs w:val="19"/>
          <w:color w:val="auto"/>
        </w:rPr>
      </w:pPr>
    </w:p>
    <w:p>
      <w:pPr>
        <w:ind w:left="1060" w:hanging="359"/>
        <w:spacing w:after="0"/>
        <w:tabs>
          <w:tab w:leader="none" w:pos="10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NGL storage facilities with approximately 24 million barrels of capacity;</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approximately 1,565 miles of active NGL transportation pipelines;</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16 NGL rail terminals and approximately 4,100 NGL rail cars; and</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approximately 220 trailers.</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Additionally, our assets include the linefill associated with our commercial activities, including approximately:</w:t>
      </w:r>
    </w:p>
    <w:p>
      <w:pPr>
        <w:spacing w:after="0" w:line="132" w:lineRule="exact"/>
        <w:rPr>
          <w:sz w:val="20"/>
          <w:szCs w:val="20"/>
          <w:color w:val="auto"/>
        </w:rPr>
      </w:pPr>
    </w:p>
    <w:p>
      <w:pPr>
        <w:ind w:left="1060" w:hanging="359"/>
        <w:spacing w:after="0"/>
        <w:tabs>
          <w:tab w:leader="none" w:pos="10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2 million barrels of NGL linefill in pipelines and storage owned by us; and</w:t>
      </w:r>
    </w:p>
    <w:p>
      <w:pPr>
        <w:spacing w:after="0" w:line="132" w:lineRule="exact"/>
        <w:rPr>
          <w:rFonts w:ascii="Arial" w:cs="Arial" w:eastAsia="Arial" w:hAnsi="Arial"/>
          <w:sz w:val="19"/>
          <w:szCs w:val="19"/>
          <w:color w:val="auto"/>
        </w:rPr>
      </w:pPr>
    </w:p>
    <w:p>
      <w:pPr>
        <w:ind w:left="1060" w:hanging="359"/>
        <w:spacing w:after="0" w:line="295" w:lineRule="auto"/>
        <w:tabs>
          <w:tab w:leader="none" w:pos="10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1 million barrels of NGL utilized as linefill in pipelines owned by third parties or otherwise required as long-term inventory.</w:t>
      </w:r>
    </w:p>
    <w:p>
      <w:pPr>
        <w:sectPr>
          <w:pgSz w:w="11880" w:h="15480" w:orient="portrait"/>
          <w:cols w:equalWidth="0" w:num="1">
            <w:col w:w="9900"/>
          </w:cols>
          <w:pgMar w:left="940" w:top="67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9900"/>
          </w:cols>
          <w:pgMar w:left="940" w:top="676" w:right="1040" w:bottom="0" w:gutter="0" w:footer="0" w:header="0"/>
          <w:type w:val="continuous"/>
        </w:sectPr>
      </w:pPr>
    </w:p>
    <w:bookmarkStart w:id="17" w:name="page18"/>
    <w:bookmarkEnd w:id="17"/>
    <w:p>
      <w:pPr>
        <w:ind w:right="280" w:firstLine="702"/>
        <w:spacing w:after="0" w:line="307" w:lineRule="auto"/>
        <w:rPr>
          <w:sz w:val="20"/>
          <w:szCs w:val="20"/>
          <w:color w:val="auto"/>
        </w:rPr>
      </w:pPr>
      <w:r>
        <w:rPr>
          <w:rFonts w:ascii="Arial" w:cs="Arial" w:eastAsia="Arial" w:hAnsi="Arial"/>
          <w:sz w:val="18"/>
          <w:szCs w:val="18"/>
          <w:color w:val="auto"/>
        </w:rPr>
        <w:t>The tables below present approximate volumes and capacities for our NGL assets and activities as of December 31, 2023 and our natural gas processing and NGL infrastructure and activities are described further below.</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85"/>
              </w:rPr>
              <w:t>Gas</w:t>
            </w:r>
          </w:p>
        </w:tc>
        <w:tc>
          <w:tcPr>
            <w:tcW w:w="6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5"/>
          </w:tcPr>
          <w:p>
            <w:pPr>
              <w:jc w:val="center"/>
              <w:ind w:right="80"/>
              <w:spacing w:after="0" w:line="156" w:lineRule="exact"/>
              <w:rPr>
                <w:sz w:val="20"/>
                <w:szCs w:val="20"/>
                <w:color w:val="auto"/>
              </w:rPr>
            </w:pPr>
            <w:r>
              <w:rPr>
                <w:rFonts w:ascii="Arial" w:cs="Arial" w:eastAsia="Arial" w:hAnsi="Arial"/>
                <w:sz w:val="16"/>
                <w:szCs w:val="16"/>
                <w:b w:val="1"/>
                <w:bCs w:val="1"/>
                <w:color w:val="auto"/>
                <w:w w:val="81"/>
              </w:rPr>
              <w:t>Processing</w:t>
            </w:r>
          </w:p>
        </w:tc>
        <w:tc>
          <w:tcPr>
            <w:tcW w:w="60" w:type="dxa"/>
            <w:vAlign w:val="bottom"/>
          </w:tcPr>
          <w:p>
            <w:pPr>
              <w:spacing w:after="0"/>
              <w:rPr>
                <w:sz w:val="13"/>
                <w:szCs w:val="13"/>
                <w:color w:val="auto"/>
              </w:rPr>
            </w:pPr>
          </w:p>
        </w:tc>
        <w:tc>
          <w:tcPr>
            <w:tcW w:w="1260" w:type="dxa"/>
            <w:vAlign w:val="bottom"/>
            <w:gridSpan w:val="2"/>
          </w:tcPr>
          <w:p>
            <w:pPr>
              <w:jc w:val="center"/>
              <w:ind w:right="100"/>
              <w:spacing w:after="0" w:line="156" w:lineRule="exact"/>
              <w:rPr>
                <w:sz w:val="20"/>
                <w:szCs w:val="20"/>
                <w:color w:val="auto"/>
              </w:rPr>
            </w:pPr>
            <w:r>
              <w:rPr>
                <w:rFonts w:ascii="Arial" w:cs="Arial" w:eastAsia="Arial" w:hAnsi="Arial"/>
                <w:sz w:val="16"/>
                <w:szCs w:val="16"/>
                <w:b w:val="1"/>
                <w:bCs w:val="1"/>
                <w:color w:val="auto"/>
                <w:w w:val="97"/>
              </w:rPr>
              <w:t>Inlet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Natural Gas Processing Facilities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w w:val="97"/>
              </w:rPr>
              <w:t>Ownership Interest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5"/>
          </w:tcPr>
          <w:p>
            <w:pPr>
              <w:jc w:val="center"/>
              <w:ind w:right="140"/>
              <w:spacing w:after="0" w:line="156" w:lineRule="exact"/>
              <w:rPr>
                <w:sz w:val="20"/>
                <w:szCs w:val="20"/>
                <w:color w:val="auto"/>
              </w:rPr>
            </w:pPr>
            <w:r>
              <w:rPr>
                <w:rFonts w:ascii="Arial" w:cs="Arial" w:eastAsia="Arial" w:hAnsi="Arial"/>
                <w:sz w:val="16"/>
                <w:szCs w:val="16"/>
                <w:b w:val="1"/>
                <w:bCs w:val="1"/>
                <w:color w:val="auto"/>
                <w:w w:val="89"/>
              </w:rPr>
              <w:t>Capacity</w:t>
            </w:r>
          </w:p>
        </w:tc>
        <w:tc>
          <w:tcPr>
            <w:tcW w:w="60" w:type="dxa"/>
            <w:vAlign w:val="bottom"/>
          </w:tcPr>
          <w:p>
            <w:pPr>
              <w:spacing w:after="0"/>
              <w:rPr>
                <w:sz w:val="13"/>
                <w:szCs w:val="13"/>
                <w:color w:val="auto"/>
              </w:rPr>
            </w:pPr>
          </w:p>
        </w:tc>
        <w:tc>
          <w:tcPr>
            <w:tcW w:w="1260" w:type="dxa"/>
            <w:vAlign w:val="bottom"/>
            <w:gridSpan w:val="2"/>
          </w:tcPr>
          <w:p>
            <w:pPr>
              <w:jc w:val="center"/>
              <w:ind w:right="100"/>
              <w:spacing w:after="0" w:line="156" w:lineRule="exact"/>
              <w:rPr>
                <w:sz w:val="20"/>
                <w:szCs w:val="20"/>
                <w:color w:val="auto"/>
              </w:rPr>
            </w:pPr>
            <w:r>
              <w:rPr>
                <w:rFonts w:ascii="Arial" w:cs="Arial" w:eastAsia="Arial" w:hAnsi="Arial"/>
                <w:sz w:val="14"/>
                <w:szCs w:val="14"/>
                <w:b w:val="1"/>
                <w:bCs w:val="1"/>
                <w:color w:val="auto"/>
                <w:w w:val="98"/>
              </w:rPr>
              <w:t xml:space="preserve">Volume </w:t>
            </w:r>
            <w:r>
              <w:rPr>
                <w:rFonts w:ascii="Arial" w:cs="Arial" w:eastAsia="Arial" w:hAnsi="Arial"/>
                <w:sz w:val="18"/>
                <w:szCs w:val="18"/>
                <w:b w:val="1"/>
                <w:bCs w:val="1"/>
                <w:color w:val="auto"/>
                <w:w w:val="98"/>
                <w:vertAlign w:val="superscript"/>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Borders>
              <w:bottom w:val="single" w:sz="8" w:color="auto"/>
            </w:tcBorders>
            <w:gridSpan w:val="2"/>
          </w:tcPr>
          <w:p>
            <w:pPr>
              <w:jc w:val="center"/>
              <w:spacing w:after="0" w:line="208" w:lineRule="exact"/>
              <w:rPr>
                <w:sz w:val="20"/>
                <w:szCs w:val="20"/>
                <w:color w:val="auto"/>
              </w:rPr>
            </w:pPr>
            <w:r>
              <w:rPr>
                <w:rFonts w:ascii="Arial" w:cs="Arial" w:eastAsia="Arial" w:hAnsi="Arial"/>
                <w:sz w:val="16"/>
                <w:szCs w:val="16"/>
                <w:b w:val="1"/>
                <w:bCs w:val="1"/>
                <w:color w:val="auto"/>
                <w:w w:val="83"/>
              </w:rPr>
              <w:t xml:space="preserve">(Bcf/d) </w:t>
            </w:r>
            <w:r>
              <w:rPr>
                <w:rFonts w:ascii="Arial" w:cs="Arial" w:eastAsia="Arial" w:hAnsi="Arial"/>
                <w:sz w:val="20"/>
                <w:szCs w:val="20"/>
                <w:b w:val="1"/>
                <w:bCs w:val="1"/>
                <w:color w:val="auto"/>
                <w:w w:val="83"/>
                <w:vertAlign w:val="superscript"/>
              </w:rPr>
              <w:t>(1)</w:t>
            </w:r>
          </w:p>
        </w:tc>
        <w:tc>
          <w:tcPr>
            <w:tcW w:w="60" w:type="dxa"/>
            <w:vAlign w:val="bottom"/>
          </w:tcPr>
          <w:p>
            <w:pPr>
              <w:spacing w:after="0"/>
              <w:rPr>
                <w:sz w:val="18"/>
                <w:szCs w:val="18"/>
                <w:color w:val="auto"/>
              </w:rPr>
            </w:pPr>
          </w:p>
        </w:tc>
        <w:tc>
          <w:tcPr>
            <w:tcW w:w="40" w:type="dxa"/>
            <w:vAlign w:val="bottom"/>
            <w:tcBorders>
              <w:bottom w:val="single" w:sz="8" w:color="auto"/>
            </w:tcBorders>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90"/>
              </w:rPr>
              <w:t>(Bcf/d)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20" w:type="dxa"/>
            <w:vAlign w:val="bottom"/>
            <w:gridSpan w:val="2"/>
          </w:tcPr>
          <w:p>
            <w:pPr>
              <w:ind w:left="20"/>
              <w:spacing w:after="0"/>
              <w:rPr>
                <w:sz w:val="20"/>
                <w:szCs w:val="20"/>
                <w:color w:val="auto"/>
              </w:rPr>
            </w:pPr>
            <w:r>
              <w:rPr>
                <w:rFonts w:ascii="Arial" w:cs="Arial" w:eastAsia="Arial" w:hAnsi="Arial"/>
                <w:sz w:val="19"/>
                <w:szCs w:val="19"/>
                <w:b w:val="1"/>
                <w:bCs w:val="1"/>
                <w:i w:val="1"/>
                <w:iCs w:val="1"/>
                <w:color w:val="auto"/>
              </w:rPr>
              <w:t>Empress</w:t>
            </w:r>
          </w:p>
        </w:tc>
        <w:tc>
          <w:tcPr>
            <w:tcW w:w="1620" w:type="dxa"/>
            <w:vAlign w:val="bottom"/>
            <w:gridSpan w:val="3"/>
          </w:tcPr>
          <w:p>
            <w:pPr>
              <w:jc w:val="right"/>
              <w:spacing w:after="0"/>
              <w:rPr>
                <w:sz w:val="20"/>
                <w:szCs w:val="20"/>
                <w:color w:val="auto"/>
              </w:rPr>
            </w:pPr>
            <w:r>
              <w:rPr>
                <w:rFonts w:ascii="Arial" w:cs="Arial" w:eastAsia="Arial" w:hAnsi="Arial"/>
                <w:sz w:val="19"/>
                <w:szCs w:val="19"/>
                <w:color w:val="auto"/>
              </w:rPr>
              <w:t>100 %</w:t>
            </w:r>
          </w:p>
        </w:tc>
        <w:tc>
          <w:tcPr>
            <w:tcW w:w="20" w:type="dxa"/>
            <w:vAlign w:val="bottom"/>
          </w:tcPr>
          <w:p>
            <w:pPr>
              <w:spacing w:after="0"/>
              <w:rPr>
                <w:sz w:val="22"/>
                <w:szCs w:val="22"/>
                <w:color w:val="auto"/>
              </w:rPr>
            </w:pPr>
          </w:p>
        </w:tc>
        <w:tc>
          <w:tcPr>
            <w:tcW w:w="1400" w:type="dxa"/>
            <w:vAlign w:val="bottom"/>
            <w:gridSpan w:val="3"/>
          </w:tcPr>
          <w:p>
            <w:pPr>
              <w:jc w:val="right"/>
              <w:spacing w:after="0"/>
              <w:rPr>
                <w:sz w:val="20"/>
                <w:szCs w:val="20"/>
                <w:color w:val="auto"/>
              </w:rPr>
            </w:pPr>
            <w:r>
              <w:rPr>
                <w:rFonts w:ascii="Arial" w:cs="Arial" w:eastAsia="Arial" w:hAnsi="Arial"/>
                <w:sz w:val="19"/>
                <w:szCs w:val="19"/>
                <w:color w:val="auto"/>
              </w:rPr>
              <w:t>5.7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9"/>
                <w:szCs w:val="19"/>
                <w:color w:val="auto"/>
              </w:rPr>
              <w:t>3.6</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Fractionation</w:t>
            </w:r>
          </w:p>
        </w:tc>
        <w:tc>
          <w:tcPr>
            <w:tcW w:w="60" w:type="dxa"/>
            <w:vAlign w:val="bottom"/>
          </w:tcPr>
          <w:p>
            <w:pPr>
              <w:spacing w:after="0"/>
              <w:rPr>
                <w:sz w:val="24"/>
                <w:szCs w:val="24"/>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Average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NGL Fractionation Facilities</w:t>
            </w:r>
          </w:p>
        </w:tc>
        <w:tc>
          <w:tcPr>
            <w:tcW w:w="2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vMerge w:val="restart"/>
          </w:tcPr>
          <w:p>
            <w:pPr>
              <w:ind w:left="140"/>
              <w:spacing w:after="0"/>
              <w:rPr>
                <w:sz w:val="20"/>
                <w:szCs w:val="20"/>
                <w:color w:val="auto"/>
              </w:rPr>
            </w:pPr>
            <w:r>
              <w:rPr>
                <w:rFonts w:ascii="Arial" w:cs="Arial" w:eastAsia="Arial" w:hAnsi="Arial"/>
                <w:sz w:val="16"/>
                <w:szCs w:val="16"/>
                <w:b w:val="1"/>
                <w:bCs w:val="1"/>
                <w:color w:val="auto"/>
                <w:w w:val="96"/>
              </w:rPr>
              <w:t>Ownership Interest</w:t>
            </w:r>
          </w:p>
        </w:tc>
        <w:tc>
          <w:tcPr>
            <w:tcW w:w="2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5"/>
          </w:tcPr>
          <w:p>
            <w:pPr>
              <w:jc w:val="center"/>
              <w:ind w:right="100"/>
              <w:spacing w:after="0" w:line="156" w:lineRule="exact"/>
              <w:rPr>
                <w:sz w:val="20"/>
                <w:szCs w:val="20"/>
                <w:color w:val="auto"/>
              </w:rPr>
            </w:pPr>
            <w:r>
              <w:rPr>
                <w:rFonts w:ascii="Arial" w:cs="Arial" w:eastAsia="Arial" w:hAnsi="Arial"/>
                <w:sz w:val="16"/>
                <w:szCs w:val="16"/>
                <w:b w:val="1"/>
                <w:bCs w:val="1"/>
                <w:color w:val="auto"/>
                <w:w w:val="89"/>
              </w:rPr>
              <w:t>Capacity</w:t>
            </w:r>
          </w:p>
        </w:tc>
        <w:tc>
          <w:tcPr>
            <w:tcW w:w="60" w:type="dxa"/>
            <w:vAlign w:val="bottom"/>
          </w:tcPr>
          <w:p>
            <w:pPr>
              <w:spacing w:after="0"/>
              <w:rPr>
                <w:sz w:val="13"/>
                <w:szCs w:val="13"/>
                <w:color w:val="auto"/>
              </w:rPr>
            </w:pPr>
          </w:p>
        </w:tc>
        <w:tc>
          <w:tcPr>
            <w:tcW w:w="1260" w:type="dxa"/>
            <w:vAlign w:val="bottom"/>
            <w:gridSpan w:val="2"/>
          </w:tcPr>
          <w:p>
            <w:pPr>
              <w:jc w:val="center"/>
              <w:ind w:right="60"/>
              <w:spacing w:after="0" w:line="156" w:lineRule="exact"/>
              <w:rPr>
                <w:sz w:val="20"/>
                <w:szCs w:val="20"/>
                <w:color w:val="auto"/>
              </w:rPr>
            </w:pPr>
            <w:r>
              <w:rPr>
                <w:rFonts w:ascii="Arial" w:cs="Arial" w:eastAsia="Arial" w:hAnsi="Arial"/>
                <w:sz w:val="14"/>
                <w:szCs w:val="14"/>
                <w:b w:val="1"/>
                <w:bCs w:val="1"/>
                <w:color w:val="auto"/>
                <w:w w:val="98"/>
              </w:rPr>
              <w:t xml:space="preserve">Volume </w:t>
            </w:r>
            <w:r>
              <w:rPr>
                <w:rFonts w:ascii="Arial" w:cs="Arial" w:eastAsia="Arial" w:hAnsi="Arial"/>
                <w:sz w:val="18"/>
                <w:szCs w:val="18"/>
                <w:b w:val="1"/>
                <w:bCs w:val="1"/>
                <w:color w:val="auto"/>
                <w:w w:val="98"/>
                <w:vertAlign w:val="superscript"/>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Borders>
              <w:bottom w:val="single" w:sz="8" w:color="auto"/>
            </w:tcBorders>
            <w:gridSpan w:val="2"/>
          </w:tcPr>
          <w:p>
            <w:pPr>
              <w:jc w:val="center"/>
              <w:spacing w:after="0" w:line="208" w:lineRule="exact"/>
              <w:rPr>
                <w:sz w:val="20"/>
                <w:szCs w:val="20"/>
                <w:color w:val="auto"/>
              </w:rPr>
            </w:pPr>
            <w:r>
              <w:rPr>
                <w:rFonts w:ascii="Arial" w:cs="Arial" w:eastAsia="Arial" w:hAnsi="Arial"/>
                <w:sz w:val="16"/>
                <w:szCs w:val="16"/>
                <w:b w:val="1"/>
                <w:bCs w:val="1"/>
                <w:color w:val="auto"/>
                <w:w w:val="84"/>
              </w:rPr>
              <w:t xml:space="preserve">(Bbls/d) </w:t>
            </w:r>
            <w:r>
              <w:rPr>
                <w:rFonts w:ascii="Arial" w:cs="Arial" w:eastAsia="Arial" w:hAnsi="Arial"/>
                <w:sz w:val="20"/>
                <w:szCs w:val="20"/>
                <w:b w:val="1"/>
                <w:bCs w:val="1"/>
                <w:color w:val="auto"/>
                <w:w w:val="84"/>
                <w:vertAlign w:val="superscript"/>
              </w:rPr>
              <w:t>(1)</w:t>
            </w:r>
          </w:p>
        </w:tc>
        <w:tc>
          <w:tcPr>
            <w:tcW w:w="8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90"/>
              </w:rPr>
              <w:t>(Bbls/d)</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20" w:type="dxa"/>
            <w:vAlign w:val="bottom"/>
            <w:gridSpan w:val="2"/>
          </w:tcPr>
          <w:p>
            <w:pPr>
              <w:ind w:left="20"/>
              <w:spacing w:after="0"/>
              <w:rPr>
                <w:sz w:val="20"/>
                <w:szCs w:val="20"/>
                <w:color w:val="auto"/>
              </w:rPr>
            </w:pPr>
            <w:r>
              <w:rPr>
                <w:rFonts w:ascii="Arial" w:cs="Arial" w:eastAsia="Arial" w:hAnsi="Arial"/>
                <w:sz w:val="19"/>
                <w:szCs w:val="19"/>
                <w:b w:val="1"/>
                <w:bCs w:val="1"/>
                <w:i w:val="1"/>
                <w:iCs w:val="1"/>
                <w:color w:val="auto"/>
              </w:rPr>
              <w:t>Empress</w:t>
            </w:r>
          </w:p>
        </w:tc>
        <w:tc>
          <w:tcPr>
            <w:tcW w:w="1620" w:type="dxa"/>
            <w:vAlign w:val="bottom"/>
            <w:gridSpan w:val="3"/>
          </w:tcPr>
          <w:p>
            <w:pPr>
              <w:jc w:val="right"/>
              <w:spacing w:after="0"/>
              <w:rPr>
                <w:sz w:val="20"/>
                <w:szCs w:val="20"/>
                <w:color w:val="auto"/>
              </w:rPr>
            </w:pPr>
            <w:r>
              <w:rPr>
                <w:rFonts w:ascii="Arial" w:cs="Arial" w:eastAsia="Arial" w:hAnsi="Arial"/>
                <w:sz w:val="19"/>
                <w:szCs w:val="19"/>
                <w:color w:val="auto"/>
              </w:rPr>
              <w:t>100 %</w:t>
            </w:r>
          </w:p>
        </w:tc>
        <w:tc>
          <w:tcPr>
            <w:tcW w:w="20" w:type="dxa"/>
            <w:vAlign w:val="bottom"/>
          </w:tcPr>
          <w:p>
            <w:pPr>
              <w:spacing w:after="0"/>
              <w:rPr>
                <w:sz w:val="23"/>
                <w:szCs w:val="23"/>
                <w:color w:val="auto"/>
              </w:rPr>
            </w:pPr>
          </w:p>
        </w:tc>
        <w:tc>
          <w:tcPr>
            <w:tcW w:w="1400" w:type="dxa"/>
            <w:vAlign w:val="bottom"/>
            <w:gridSpan w:val="3"/>
          </w:tcPr>
          <w:p>
            <w:pPr>
              <w:jc w:val="right"/>
              <w:spacing w:after="0"/>
              <w:rPr>
                <w:sz w:val="20"/>
                <w:szCs w:val="20"/>
                <w:color w:val="auto"/>
              </w:rPr>
            </w:pPr>
            <w:r>
              <w:rPr>
                <w:rFonts w:ascii="Arial" w:cs="Arial" w:eastAsia="Arial" w:hAnsi="Arial"/>
                <w:sz w:val="19"/>
                <w:szCs w:val="19"/>
                <w:color w:val="auto"/>
              </w:rPr>
              <w:t>26,000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9"/>
                <w:szCs w:val="19"/>
                <w:color w:val="auto"/>
              </w:rPr>
              <w:t>23,500</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gridSpan w:val="2"/>
          </w:tcPr>
          <w:p>
            <w:pPr>
              <w:ind w:left="20"/>
              <w:spacing w:after="0"/>
              <w:rPr>
                <w:sz w:val="20"/>
                <w:szCs w:val="20"/>
                <w:color w:val="auto"/>
              </w:rPr>
            </w:pPr>
            <w:r>
              <w:rPr>
                <w:rFonts w:ascii="Arial" w:cs="Arial" w:eastAsia="Arial" w:hAnsi="Arial"/>
                <w:sz w:val="19"/>
                <w:szCs w:val="19"/>
                <w:b w:val="1"/>
                <w:bCs w:val="1"/>
                <w:i w:val="1"/>
                <w:iCs w:val="1"/>
                <w:color w:val="auto"/>
              </w:rPr>
              <w:t>Fort Saskatchewan</w:t>
            </w:r>
          </w:p>
        </w:tc>
        <w:tc>
          <w:tcPr>
            <w:tcW w:w="1620" w:type="dxa"/>
            <w:vAlign w:val="bottom"/>
            <w:gridSpan w:val="3"/>
          </w:tcPr>
          <w:p>
            <w:pPr>
              <w:jc w:val="right"/>
              <w:spacing w:after="0"/>
              <w:rPr>
                <w:sz w:val="20"/>
                <w:szCs w:val="20"/>
                <w:color w:val="auto"/>
              </w:rPr>
            </w:pPr>
            <w:r>
              <w:rPr>
                <w:rFonts w:ascii="Arial" w:cs="Arial" w:eastAsia="Arial" w:hAnsi="Arial"/>
                <w:sz w:val="19"/>
                <w:szCs w:val="19"/>
                <w:color w:val="auto"/>
              </w:rPr>
              <w:t>100 %</w:t>
            </w:r>
          </w:p>
        </w:tc>
        <w:tc>
          <w:tcPr>
            <w:tcW w:w="2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9"/>
                <w:szCs w:val="19"/>
                <w:color w:val="auto"/>
              </w:rPr>
              <w:t>44,400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9"/>
                <w:szCs w:val="19"/>
                <w:color w:val="auto"/>
              </w:rPr>
              <w:t>29,300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gridSpan w:val="2"/>
          </w:tcPr>
          <w:p>
            <w:pPr>
              <w:ind w:left="20"/>
              <w:spacing w:after="0"/>
              <w:rPr>
                <w:sz w:val="20"/>
                <w:szCs w:val="20"/>
                <w:color w:val="auto"/>
              </w:rPr>
            </w:pPr>
            <w:r>
              <w:rPr>
                <w:rFonts w:ascii="Arial" w:cs="Arial" w:eastAsia="Arial" w:hAnsi="Arial"/>
                <w:sz w:val="19"/>
                <w:szCs w:val="19"/>
                <w:b w:val="1"/>
                <w:bCs w:val="1"/>
                <w:i w:val="1"/>
                <w:iCs w:val="1"/>
                <w:color w:val="auto"/>
              </w:rPr>
              <w:t>Sarnia</w:t>
            </w:r>
          </w:p>
        </w:tc>
        <w:tc>
          <w:tcPr>
            <w:tcW w:w="1620" w:type="dxa"/>
            <w:vAlign w:val="bottom"/>
            <w:gridSpan w:val="3"/>
          </w:tcPr>
          <w:p>
            <w:pPr>
              <w:jc w:val="right"/>
              <w:spacing w:after="0"/>
              <w:rPr>
                <w:sz w:val="20"/>
                <w:szCs w:val="20"/>
                <w:color w:val="auto"/>
              </w:rPr>
            </w:pPr>
            <w:r>
              <w:rPr>
                <w:rFonts w:ascii="Arial" w:cs="Arial" w:eastAsia="Arial" w:hAnsi="Arial"/>
                <w:sz w:val="19"/>
                <w:szCs w:val="19"/>
                <w:color w:val="auto"/>
              </w:rPr>
              <w:t>61-85%</w:t>
            </w:r>
          </w:p>
        </w:tc>
        <w:tc>
          <w:tcPr>
            <w:tcW w:w="2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9"/>
                <w:szCs w:val="19"/>
                <w:color w:val="auto"/>
              </w:rPr>
              <w:t>75,000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9"/>
                <w:szCs w:val="19"/>
                <w:color w:val="auto"/>
              </w:rPr>
              <w:t>55,000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gridSpan w:val="2"/>
          </w:tcPr>
          <w:p>
            <w:pPr>
              <w:ind w:left="20"/>
              <w:spacing w:after="0"/>
              <w:rPr>
                <w:sz w:val="20"/>
                <w:szCs w:val="20"/>
                <w:color w:val="auto"/>
              </w:rPr>
            </w:pPr>
            <w:r>
              <w:rPr>
                <w:rFonts w:ascii="Arial" w:cs="Arial" w:eastAsia="Arial" w:hAnsi="Arial"/>
                <w:sz w:val="19"/>
                <w:szCs w:val="19"/>
                <w:b w:val="1"/>
                <w:bCs w:val="1"/>
                <w:i w:val="1"/>
                <w:iCs w:val="1"/>
                <w:color w:val="auto"/>
              </w:rPr>
              <w:t>Other</w:t>
            </w:r>
          </w:p>
        </w:tc>
        <w:tc>
          <w:tcPr>
            <w:tcW w:w="1620" w:type="dxa"/>
            <w:vAlign w:val="bottom"/>
            <w:gridSpan w:val="3"/>
          </w:tcPr>
          <w:p>
            <w:pPr>
              <w:jc w:val="right"/>
              <w:spacing w:after="0"/>
              <w:rPr>
                <w:sz w:val="20"/>
                <w:szCs w:val="20"/>
                <w:color w:val="auto"/>
              </w:rPr>
            </w:pPr>
            <w:r>
              <w:rPr>
                <w:rFonts w:ascii="Arial" w:cs="Arial" w:eastAsia="Arial" w:hAnsi="Arial"/>
                <w:sz w:val="19"/>
                <w:szCs w:val="19"/>
                <w:color w:val="auto"/>
              </w:rPr>
              <w:t>82-100%</w:t>
            </w:r>
          </w:p>
        </w:tc>
        <w:tc>
          <w:tcPr>
            <w:tcW w:w="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25,600</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7,300</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9"/>
                <w:szCs w:val="19"/>
                <w:color w:val="auto"/>
              </w:rPr>
              <w:t>171,000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9"/>
                <w:szCs w:val="19"/>
                <w:color w:val="auto"/>
              </w:rPr>
              <w:t>115,100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3"/>
              </w:rPr>
              <w:t>Storage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NGL Storage Facilities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5"/>
            <w:vMerge w:val="restart"/>
          </w:tcPr>
          <w:p>
            <w:pPr>
              <w:ind w:left="80"/>
              <w:spacing w:after="0"/>
              <w:rPr>
                <w:sz w:val="20"/>
                <w:szCs w:val="20"/>
                <w:color w:val="auto"/>
              </w:rPr>
            </w:pPr>
            <w:r>
              <w:rPr>
                <w:rFonts w:ascii="Arial" w:cs="Arial" w:eastAsia="Arial" w:hAnsi="Arial"/>
                <w:sz w:val="16"/>
                <w:szCs w:val="16"/>
                <w:b w:val="1"/>
                <w:bCs w:val="1"/>
                <w:color w:val="auto"/>
                <w:w w:val="93"/>
              </w:rPr>
              <w:t>Ownership Interest</w:t>
            </w:r>
          </w:p>
        </w:tc>
        <w:tc>
          <w:tcPr>
            <w:tcW w:w="60" w:type="dxa"/>
            <w:vAlign w:val="bottom"/>
          </w:tcPr>
          <w:p>
            <w:pPr>
              <w:spacing w:after="0"/>
              <w:rPr>
                <w:sz w:val="13"/>
                <w:szCs w:val="13"/>
                <w:color w:val="auto"/>
              </w:rPr>
            </w:pPr>
          </w:p>
        </w:tc>
        <w:tc>
          <w:tcPr>
            <w:tcW w:w="126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w w:val="96"/>
              </w:rPr>
              <w:t xml:space="preserve">Capacity </w:t>
            </w:r>
            <w:r>
              <w:rPr>
                <w:rFonts w:ascii="Arial" w:cs="Arial" w:eastAsia="Arial" w:hAnsi="Arial"/>
                <w:sz w:val="18"/>
                <w:szCs w:val="18"/>
                <w:b w:val="1"/>
                <w:bCs w:val="1"/>
                <w:color w:val="auto"/>
                <w:w w:val="96"/>
                <w:vertAlign w:val="superscript"/>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Borders>
              <w:bottom w:val="single" w:sz="8" w:color="auto"/>
            </w:tcBorders>
            <w:gridSpan w:val="5"/>
            <w:vMerge w:val="continue"/>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(MMBbls)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20" w:type="dxa"/>
            <w:vAlign w:val="bottom"/>
            <w:gridSpan w:val="2"/>
          </w:tcPr>
          <w:p>
            <w:pPr>
              <w:ind w:left="40"/>
              <w:spacing w:after="0"/>
              <w:rPr>
                <w:sz w:val="20"/>
                <w:szCs w:val="20"/>
                <w:color w:val="auto"/>
              </w:rPr>
            </w:pPr>
            <w:r>
              <w:rPr>
                <w:rFonts w:ascii="Arial" w:cs="Arial" w:eastAsia="Arial" w:hAnsi="Arial"/>
                <w:sz w:val="19"/>
                <w:szCs w:val="19"/>
                <w:b w:val="1"/>
                <w:bCs w:val="1"/>
                <w:i w:val="1"/>
                <w:iCs w:val="1"/>
                <w:color w:val="auto"/>
              </w:rPr>
              <w:t>Fort Saskatchewan</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gridSpan w:val="7"/>
          </w:tcPr>
          <w:p>
            <w:pPr>
              <w:jc w:val="right"/>
              <w:ind w:right="20"/>
              <w:spacing w:after="0"/>
              <w:rPr>
                <w:sz w:val="20"/>
                <w:szCs w:val="20"/>
                <w:color w:val="auto"/>
              </w:rPr>
            </w:pPr>
            <w:r>
              <w:rPr>
                <w:rFonts w:ascii="Arial" w:cs="Arial" w:eastAsia="Arial" w:hAnsi="Arial"/>
                <w:sz w:val="19"/>
                <w:szCs w:val="19"/>
                <w:color w:val="auto"/>
              </w:rPr>
              <w:t>48-100%</w:t>
            </w:r>
          </w:p>
        </w:tc>
        <w:tc>
          <w:tcPr>
            <w:tcW w:w="1300" w:type="dxa"/>
            <w:vAlign w:val="bottom"/>
            <w:gridSpan w:val="2"/>
          </w:tcPr>
          <w:p>
            <w:pPr>
              <w:jc w:val="right"/>
              <w:spacing w:after="0"/>
              <w:rPr>
                <w:sz w:val="20"/>
                <w:szCs w:val="20"/>
                <w:color w:val="auto"/>
              </w:rPr>
            </w:pPr>
            <w:r>
              <w:rPr>
                <w:rFonts w:ascii="Arial" w:cs="Arial" w:eastAsia="Arial" w:hAnsi="Arial"/>
                <w:sz w:val="19"/>
                <w:szCs w:val="19"/>
                <w:color w:val="auto"/>
              </w:rPr>
              <w:t>8</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gridSpan w:val="2"/>
          </w:tcPr>
          <w:p>
            <w:pPr>
              <w:ind w:left="40"/>
              <w:spacing w:after="0"/>
              <w:rPr>
                <w:sz w:val="20"/>
                <w:szCs w:val="20"/>
                <w:color w:val="auto"/>
              </w:rPr>
            </w:pPr>
            <w:r>
              <w:rPr>
                <w:rFonts w:ascii="Arial" w:cs="Arial" w:eastAsia="Arial" w:hAnsi="Arial"/>
                <w:sz w:val="19"/>
                <w:szCs w:val="19"/>
                <w:b w:val="1"/>
                <w:bCs w:val="1"/>
                <w:i w:val="1"/>
                <w:iCs w:val="1"/>
                <w:color w:val="auto"/>
              </w:rPr>
              <w:t>Sarnia</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7"/>
          </w:tcPr>
          <w:p>
            <w:pPr>
              <w:jc w:val="right"/>
              <w:ind w:right="20"/>
              <w:spacing w:after="0"/>
              <w:rPr>
                <w:sz w:val="20"/>
                <w:szCs w:val="20"/>
                <w:color w:val="auto"/>
              </w:rPr>
            </w:pPr>
            <w:r>
              <w:rPr>
                <w:rFonts w:ascii="Arial" w:cs="Arial" w:eastAsia="Arial" w:hAnsi="Arial"/>
                <w:sz w:val="19"/>
                <w:szCs w:val="19"/>
                <w:color w:val="auto"/>
              </w:rPr>
              <w:t>70 %</w:t>
            </w:r>
          </w:p>
        </w:tc>
        <w:tc>
          <w:tcPr>
            <w:tcW w:w="1300" w:type="dxa"/>
            <w:vAlign w:val="bottom"/>
            <w:gridSpan w:val="2"/>
          </w:tcPr>
          <w:p>
            <w:pPr>
              <w:jc w:val="right"/>
              <w:spacing w:after="0"/>
              <w:rPr>
                <w:sz w:val="20"/>
                <w:szCs w:val="20"/>
                <w:color w:val="auto"/>
              </w:rPr>
            </w:pPr>
            <w:r>
              <w:rPr>
                <w:rFonts w:ascii="Arial" w:cs="Arial" w:eastAsia="Arial" w:hAnsi="Arial"/>
                <w:sz w:val="19"/>
                <w:szCs w:val="19"/>
                <w:color w:val="auto"/>
              </w:rPr>
              <w:t>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gridSpan w:val="2"/>
          </w:tcPr>
          <w:p>
            <w:pPr>
              <w:ind w:left="40"/>
              <w:spacing w:after="0"/>
              <w:rPr>
                <w:sz w:val="20"/>
                <w:szCs w:val="20"/>
                <w:color w:val="auto"/>
              </w:rPr>
            </w:pPr>
            <w:r>
              <w:rPr>
                <w:rFonts w:ascii="Arial" w:cs="Arial" w:eastAsia="Arial" w:hAnsi="Arial"/>
                <w:sz w:val="19"/>
                <w:szCs w:val="19"/>
                <w:b w:val="1"/>
                <w:bCs w:val="1"/>
                <w:i w:val="1"/>
                <w:iCs w:val="1"/>
                <w:color w:val="auto"/>
              </w:rPr>
              <w:t>Empress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7"/>
          </w:tcPr>
          <w:p>
            <w:pPr>
              <w:jc w:val="right"/>
              <w:ind w:right="20"/>
              <w:spacing w:after="0"/>
              <w:rPr>
                <w:sz w:val="20"/>
                <w:szCs w:val="20"/>
                <w:color w:val="auto"/>
              </w:rPr>
            </w:pPr>
            <w:r>
              <w:rPr>
                <w:rFonts w:ascii="Arial" w:cs="Arial" w:eastAsia="Arial" w:hAnsi="Arial"/>
                <w:sz w:val="19"/>
                <w:szCs w:val="19"/>
                <w:color w:val="auto"/>
              </w:rPr>
              <w:t>100 %</w:t>
            </w:r>
          </w:p>
        </w:tc>
        <w:tc>
          <w:tcPr>
            <w:tcW w:w="1300" w:type="dxa"/>
            <w:vAlign w:val="bottom"/>
            <w:gridSpan w:val="2"/>
          </w:tcPr>
          <w:p>
            <w:pPr>
              <w:jc w:val="right"/>
              <w:spacing w:after="0"/>
              <w:rPr>
                <w:sz w:val="20"/>
                <w:szCs w:val="20"/>
                <w:color w:val="auto"/>
              </w:rPr>
            </w:pPr>
            <w:r>
              <w:rPr>
                <w:rFonts w:ascii="Arial" w:cs="Arial" w:eastAsia="Arial" w:hAnsi="Arial"/>
                <w:sz w:val="19"/>
                <w:szCs w:val="19"/>
                <w:color w:val="auto"/>
              </w:rPr>
              <w:t>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gridSpan w:val="2"/>
          </w:tcPr>
          <w:p>
            <w:pPr>
              <w:ind w:left="40"/>
              <w:spacing w:after="0"/>
              <w:rPr>
                <w:sz w:val="20"/>
                <w:szCs w:val="20"/>
                <w:color w:val="auto"/>
              </w:rPr>
            </w:pPr>
            <w:r>
              <w:rPr>
                <w:rFonts w:ascii="Arial" w:cs="Arial" w:eastAsia="Arial" w:hAnsi="Arial"/>
                <w:sz w:val="19"/>
                <w:szCs w:val="19"/>
                <w:b w:val="1"/>
                <w:bCs w:val="1"/>
                <w:i w:val="1"/>
                <w:iCs w:val="1"/>
                <w:color w:val="auto"/>
              </w:rPr>
              <w:t>Other</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7"/>
          </w:tcPr>
          <w:p>
            <w:pPr>
              <w:jc w:val="right"/>
              <w:ind w:right="20"/>
              <w:spacing w:after="0"/>
              <w:rPr>
                <w:sz w:val="20"/>
                <w:szCs w:val="20"/>
                <w:color w:val="auto"/>
              </w:rPr>
            </w:pPr>
            <w:r>
              <w:rPr>
                <w:rFonts w:ascii="Arial" w:cs="Arial" w:eastAsia="Arial" w:hAnsi="Arial"/>
                <w:sz w:val="19"/>
                <w:szCs w:val="19"/>
                <w:color w:val="auto"/>
              </w:rPr>
              <w:t>50-100%</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5"/>
            <w:vMerge w:val="restart"/>
          </w:tcPr>
          <w:p>
            <w:pPr>
              <w:jc w:val="center"/>
              <w:ind w:right="120"/>
              <w:spacing w:after="0"/>
              <w:rPr>
                <w:sz w:val="20"/>
                <w:szCs w:val="20"/>
                <w:color w:val="auto"/>
              </w:rPr>
            </w:pPr>
            <w:r>
              <w:rPr>
                <w:rFonts w:ascii="Arial" w:cs="Arial" w:eastAsia="Arial" w:hAnsi="Arial"/>
                <w:sz w:val="17"/>
                <w:szCs w:val="17"/>
                <w:b w:val="1"/>
                <w:bCs w:val="1"/>
                <w:color w:val="auto"/>
                <w:w w:val="90"/>
              </w:rPr>
              <w:t>Approximate</w:t>
            </w:r>
          </w:p>
        </w:tc>
        <w:tc>
          <w:tcPr>
            <w:tcW w:w="60" w:type="dxa"/>
            <w:vAlign w:val="bottom"/>
          </w:tcPr>
          <w:p>
            <w:pPr>
              <w:spacing w:after="0"/>
              <w:rPr>
                <w:sz w:val="24"/>
                <w:szCs w:val="24"/>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6"/>
              </w:rPr>
              <w:t>Average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tcPr>
          <w:p>
            <w:pPr>
              <w:jc w:val="center"/>
              <w:ind w:right="80"/>
              <w:spacing w:after="0" w:line="166" w:lineRule="exact"/>
              <w:rPr>
                <w:sz w:val="20"/>
                <w:szCs w:val="20"/>
                <w:color w:val="auto"/>
              </w:rPr>
            </w:pPr>
            <w:r>
              <w:rPr>
                <w:rFonts w:ascii="Arial" w:cs="Arial" w:eastAsia="Arial" w:hAnsi="Arial"/>
                <w:sz w:val="15"/>
                <w:szCs w:val="15"/>
                <w:b w:val="1"/>
                <w:bCs w:val="1"/>
                <w:color w:val="auto"/>
                <w:w w:val="94"/>
              </w:rPr>
              <w:t xml:space="preserve">Volumes </w:t>
            </w:r>
            <w:r>
              <w:rPr>
                <w:rFonts w:ascii="Arial" w:cs="Arial" w:eastAsia="Arial" w:hAnsi="Arial"/>
                <w:sz w:val="19"/>
                <w:szCs w:val="19"/>
                <w:b w:val="1"/>
                <w:bCs w:val="1"/>
                <w:color w:val="auto"/>
                <w:w w:val="94"/>
                <w:vertAlign w:val="superscript"/>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97"/>
              </w:rPr>
              <w:t>Ownership Interest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spacing w:after="0" w:line="221" w:lineRule="exact"/>
              <w:rPr>
                <w:sz w:val="20"/>
                <w:szCs w:val="20"/>
                <w:color w:val="auto"/>
              </w:rPr>
            </w:pPr>
            <w:r>
              <w:rPr>
                <w:rFonts w:ascii="Arial" w:cs="Arial" w:eastAsia="Arial" w:hAnsi="Arial"/>
                <w:sz w:val="17"/>
                <w:szCs w:val="17"/>
                <w:b w:val="1"/>
                <w:bCs w:val="1"/>
                <w:color w:val="auto"/>
                <w:w w:val="84"/>
              </w:rPr>
              <w:t xml:space="preserve">System Miles </w:t>
            </w:r>
            <w:r>
              <w:rPr>
                <w:rFonts w:ascii="Arial" w:cs="Arial" w:eastAsia="Arial" w:hAnsi="Arial"/>
                <w:sz w:val="21"/>
                <w:szCs w:val="21"/>
                <w:b w:val="1"/>
                <w:bCs w:val="1"/>
                <w:color w:val="auto"/>
                <w:w w:val="84"/>
                <w:vertAlign w:val="superscript"/>
              </w:rPr>
              <w:t>(3)</w:t>
            </w:r>
          </w:p>
        </w:tc>
        <w:tc>
          <w:tcPr>
            <w:tcW w:w="80" w:type="dxa"/>
            <w:vAlign w:val="bottom"/>
            <w:gridSpan w:val="2"/>
          </w:tcPr>
          <w:p>
            <w:pPr>
              <w:spacing w:after="0"/>
              <w:rPr>
                <w:sz w:val="19"/>
                <w:szCs w:val="19"/>
                <w:color w:val="auto"/>
              </w:rPr>
            </w:pPr>
          </w:p>
        </w:tc>
        <w:tc>
          <w:tcPr>
            <w:tcW w:w="40" w:type="dxa"/>
            <w:vAlign w:val="bottom"/>
            <w:tcBorders>
              <w:bottom w:val="single" w:sz="8" w:color="auto"/>
            </w:tcBorders>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7"/>
                <w:szCs w:val="17"/>
                <w:b w:val="1"/>
                <w:bCs w:val="1"/>
                <w:color w:val="auto"/>
                <w:w w:val="92"/>
              </w:rPr>
              <w:t>(MBbls/d)</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20" w:type="dxa"/>
            <w:vAlign w:val="bottom"/>
            <w:gridSpan w:val="2"/>
          </w:tcPr>
          <w:p>
            <w:pPr>
              <w:spacing w:after="0"/>
              <w:rPr>
                <w:sz w:val="20"/>
                <w:szCs w:val="20"/>
                <w:color w:val="auto"/>
              </w:rPr>
            </w:pPr>
            <w:r>
              <w:rPr>
                <w:rFonts w:ascii="Arial" w:cs="Arial" w:eastAsia="Arial" w:hAnsi="Arial"/>
                <w:sz w:val="19"/>
                <w:szCs w:val="19"/>
                <w:b w:val="1"/>
                <w:bCs w:val="1"/>
                <w:i w:val="1"/>
                <w:iCs w:val="1"/>
                <w:color w:val="auto"/>
              </w:rPr>
              <w:t>NGL Pipelines</w:t>
            </w:r>
          </w:p>
        </w:tc>
        <w:tc>
          <w:tcPr>
            <w:tcW w:w="1620" w:type="dxa"/>
            <w:vAlign w:val="bottom"/>
            <w:gridSpan w:val="3"/>
          </w:tcPr>
          <w:p>
            <w:pPr>
              <w:jc w:val="right"/>
              <w:spacing w:after="0"/>
              <w:rPr>
                <w:sz w:val="20"/>
                <w:szCs w:val="20"/>
                <w:color w:val="auto"/>
              </w:rPr>
            </w:pPr>
            <w:r>
              <w:rPr>
                <w:rFonts w:ascii="Arial" w:cs="Arial" w:eastAsia="Arial" w:hAnsi="Arial"/>
                <w:sz w:val="19"/>
                <w:szCs w:val="19"/>
                <w:color w:val="auto"/>
              </w:rPr>
              <w:t>50-100%</w:t>
            </w:r>
          </w:p>
        </w:tc>
        <w:tc>
          <w:tcPr>
            <w:tcW w:w="20" w:type="dxa"/>
            <w:vAlign w:val="bottom"/>
          </w:tcPr>
          <w:p>
            <w:pPr>
              <w:spacing w:after="0"/>
              <w:rPr>
                <w:sz w:val="22"/>
                <w:szCs w:val="22"/>
                <w:color w:val="auto"/>
              </w:rPr>
            </w:pPr>
          </w:p>
        </w:tc>
        <w:tc>
          <w:tcPr>
            <w:tcW w:w="1400" w:type="dxa"/>
            <w:vAlign w:val="bottom"/>
            <w:gridSpan w:val="3"/>
          </w:tcPr>
          <w:p>
            <w:pPr>
              <w:jc w:val="right"/>
              <w:spacing w:after="0"/>
              <w:rPr>
                <w:sz w:val="20"/>
                <w:szCs w:val="20"/>
                <w:color w:val="auto"/>
              </w:rPr>
            </w:pPr>
            <w:r>
              <w:rPr>
                <w:rFonts w:ascii="Arial" w:cs="Arial" w:eastAsia="Arial" w:hAnsi="Arial"/>
                <w:sz w:val="19"/>
                <w:szCs w:val="19"/>
                <w:color w:val="auto"/>
              </w:rPr>
              <w:t>1,565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9"/>
                <w:szCs w:val="19"/>
                <w:color w:val="auto"/>
              </w:rPr>
              <w:t>180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vMerge w:val="restart"/>
          </w:tcPr>
          <w:p>
            <w:pPr>
              <w:ind w:left="120"/>
              <w:spacing w:after="0"/>
              <w:rPr>
                <w:sz w:val="20"/>
                <w:szCs w:val="20"/>
                <w:color w:val="auto"/>
              </w:rPr>
            </w:pPr>
            <w:r>
              <w:rPr>
                <w:rFonts w:ascii="Arial" w:cs="Arial" w:eastAsia="Arial" w:hAnsi="Arial"/>
                <w:sz w:val="16"/>
                <w:szCs w:val="16"/>
                <w:b w:val="1"/>
                <w:bCs w:val="1"/>
                <w:color w:val="auto"/>
                <w:w w:val="97"/>
              </w:rPr>
              <w:t>Ownership Interest</w:t>
            </w:r>
          </w:p>
        </w:tc>
        <w:tc>
          <w:tcPr>
            <w:tcW w:w="2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Number of</w:t>
            </w:r>
          </w:p>
        </w:tc>
        <w:tc>
          <w:tcPr>
            <w:tcW w:w="6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Number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Rack Spots</w:t>
            </w:r>
          </w:p>
        </w:tc>
        <w:tc>
          <w:tcPr>
            <w:tcW w:w="80" w:type="dxa"/>
            <w:vAlign w:val="bottom"/>
            <w:gridSpan w:val="2"/>
          </w:tcPr>
          <w:p>
            <w:pPr>
              <w:spacing w:after="0"/>
              <w:rPr>
                <w:sz w:val="18"/>
                <w:szCs w:val="18"/>
                <w:color w:val="auto"/>
              </w:rPr>
            </w:pPr>
          </w:p>
        </w:tc>
        <w:tc>
          <w:tcPr>
            <w:tcW w:w="40" w:type="dxa"/>
            <w:vAlign w:val="bottom"/>
            <w:tcBorders>
              <w:bottom w:val="single" w:sz="8" w:color="auto"/>
            </w:tcBorders>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82"/>
              </w:rPr>
              <w:t>Storage Spots</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20" w:type="dxa"/>
            <w:vAlign w:val="bottom"/>
            <w:gridSpan w:val="2"/>
          </w:tcPr>
          <w:p>
            <w:pPr>
              <w:spacing w:after="0"/>
              <w:rPr>
                <w:sz w:val="20"/>
                <w:szCs w:val="20"/>
                <w:color w:val="auto"/>
              </w:rPr>
            </w:pPr>
            <w:r>
              <w:rPr>
                <w:rFonts w:ascii="Arial" w:cs="Arial" w:eastAsia="Arial" w:hAnsi="Arial"/>
                <w:sz w:val="19"/>
                <w:szCs w:val="19"/>
                <w:b w:val="1"/>
                <w:bCs w:val="1"/>
                <w:i w:val="1"/>
                <w:iCs w:val="1"/>
                <w:color w:val="auto"/>
              </w:rPr>
              <w:t>NGL Rail Facilities</w:t>
            </w:r>
          </w:p>
        </w:tc>
        <w:tc>
          <w:tcPr>
            <w:tcW w:w="1620" w:type="dxa"/>
            <w:vAlign w:val="bottom"/>
            <w:gridSpan w:val="3"/>
          </w:tcPr>
          <w:p>
            <w:pPr>
              <w:jc w:val="right"/>
              <w:spacing w:after="0"/>
              <w:rPr>
                <w:sz w:val="20"/>
                <w:szCs w:val="20"/>
                <w:color w:val="auto"/>
              </w:rPr>
            </w:pPr>
            <w:r>
              <w:rPr>
                <w:rFonts w:ascii="Arial" w:cs="Arial" w:eastAsia="Arial" w:hAnsi="Arial"/>
                <w:sz w:val="19"/>
                <w:szCs w:val="19"/>
                <w:color w:val="auto"/>
              </w:rPr>
              <w:t>75-100%</w:t>
            </w:r>
          </w:p>
        </w:tc>
        <w:tc>
          <w:tcPr>
            <w:tcW w:w="20" w:type="dxa"/>
            <w:vAlign w:val="bottom"/>
          </w:tcPr>
          <w:p>
            <w:pPr>
              <w:spacing w:after="0"/>
              <w:rPr>
                <w:sz w:val="22"/>
                <w:szCs w:val="22"/>
                <w:color w:val="auto"/>
              </w:rPr>
            </w:pPr>
          </w:p>
        </w:tc>
        <w:tc>
          <w:tcPr>
            <w:tcW w:w="1400" w:type="dxa"/>
            <w:vAlign w:val="bottom"/>
            <w:gridSpan w:val="3"/>
          </w:tcPr>
          <w:p>
            <w:pPr>
              <w:jc w:val="right"/>
              <w:spacing w:after="0"/>
              <w:rPr>
                <w:sz w:val="20"/>
                <w:szCs w:val="20"/>
                <w:color w:val="auto"/>
              </w:rPr>
            </w:pPr>
            <w:r>
              <w:rPr>
                <w:rFonts w:ascii="Arial" w:cs="Arial" w:eastAsia="Arial" w:hAnsi="Arial"/>
                <w:sz w:val="19"/>
                <w:szCs w:val="19"/>
                <w:color w:val="auto"/>
              </w:rPr>
              <w:t>264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9"/>
                <w:szCs w:val="19"/>
                <w:color w:val="auto"/>
              </w:rPr>
              <w:t>1,543</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-4578350</wp:posOffset>
            </wp:positionV>
            <wp:extent cx="6330315" cy="201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extLst>
                    </a:blip>
                    <a:srcRect/>
                    <a:stretch>
                      <a:fillRect/>
                    </a:stretch>
                  </pic:blipFill>
                  <pic:spPr bwMode="auto">
                    <a:xfrm>
                      <a:off x="0" y="0"/>
                      <a:ext cx="6330315" cy="2019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-3829050</wp:posOffset>
            </wp:positionV>
            <wp:extent cx="6339205" cy="9664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extLst>
                    </a:blip>
                    <a:srcRect/>
                    <a:stretch>
                      <a:fillRect/>
                    </a:stretch>
                  </pic:blipFill>
                  <pic:spPr bwMode="auto">
                    <a:xfrm>
                      <a:off x="0" y="0"/>
                      <a:ext cx="6339205" cy="966470"/>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-2327910</wp:posOffset>
            </wp:positionV>
            <wp:extent cx="6311900" cy="9664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extLst>
                    </a:blip>
                    <a:srcRect/>
                    <a:stretch>
                      <a:fillRect/>
                    </a:stretch>
                  </pic:blipFill>
                  <pic:spPr bwMode="auto">
                    <a:xfrm>
                      <a:off x="0" y="0"/>
                      <a:ext cx="6311900" cy="9664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-817880</wp:posOffset>
            </wp:positionV>
            <wp:extent cx="6358255" cy="201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extLst>
                    </a:blip>
                    <a:srcRect/>
                    <a:stretch>
                      <a:fillRect/>
                    </a:stretch>
                  </pic:blipFill>
                  <pic:spPr bwMode="auto">
                    <a:xfrm>
                      <a:off x="0" y="0"/>
                      <a:ext cx="6358255" cy="20193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-180340</wp:posOffset>
            </wp:positionV>
            <wp:extent cx="6358255" cy="201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extLst>
                    </a:blip>
                    <a:srcRect/>
                    <a:stretch>
                      <a:fillRect/>
                    </a:stretch>
                  </pic:blipFill>
                  <pic:spPr bwMode="auto">
                    <a:xfrm>
                      <a:off x="0" y="0"/>
                      <a:ext cx="6358255" cy="2019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264795</wp:posOffset>
                </wp:positionV>
                <wp:extent cx="204216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21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85pt" to="160.8pt,20.85pt" o:allowincell="f" strokecolor="#000000" strokeweight="1pt"/>
            </w:pict>
          </mc:Fallback>
        </mc:AlternateContent>
      </w:r>
    </w:p>
    <w:p>
      <w:pPr>
        <w:sectPr>
          <w:pgSz w:w="11880" w:h="15480" w:orient="portrait"/>
          <w:cols w:equalWidth="0" w:num="1">
            <w:col w:w="9980"/>
          </w:cols>
          <w:pgMar w:left="940" w:top="676" w:right="960" w:bottom="0" w:gutter="0" w:footer="0" w:header="0"/>
        </w:sect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2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9"/>
          <w:szCs w:val="19"/>
          <w:color w:val="auto"/>
        </w:rPr>
        <w:t>Represents total average annual capacity of the facilities, net to our ownership interest.</w:t>
      </w:r>
    </w:p>
    <w:p>
      <w:pPr>
        <w:spacing w:after="0" w:line="132" w:lineRule="exact"/>
        <w:rPr>
          <w:sz w:val="20"/>
          <w:szCs w:val="20"/>
          <w:color w:val="auto"/>
        </w:rPr>
      </w:pPr>
    </w:p>
    <w:p>
      <w:pPr>
        <w:ind w:right="20"/>
        <w:spacing w:after="0" w:line="295" w:lineRule="auto"/>
        <w:rPr>
          <w:sz w:val="20"/>
          <w:szCs w:val="20"/>
          <w:color w:val="auto"/>
        </w:rPr>
      </w:pPr>
      <w:r>
        <w:rPr>
          <w:rFonts w:ascii="Arial" w:cs="Arial" w:eastAsia="Arial" w:hAnsi="Arial"/>
          <w:sz w:val="19"/>
          <w:szCs w:val="19"/>
          <w:color w:val="auto"/>
        </w:rPr>
        <w:t>Average daily volumes are calculated as the total volumes for the year, net to our share, divided by the number of days in the year.</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Includes total mileage of pipelines in which we own a less than 100% interest.</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Natural Gas Processing and NGL Infrastructure</w:t>
      </w:r>
    </w:p>
    <w:p>
      <w:pPr>
        <w:spacing w:after="0" w:line="200" w:lineRule="exact"/>
        <w:rPr>
          <w:sz w:val="20"/>
          <w:szCs w:val="20"/>
          <w:color w:val="auto"/>
        </w:rPr>
      </w:pPr>
    </w:p>
    <w:p>
      <w:pPr>
        <w:sectPr>
          <w:pgSz w:w="11880" w:h="15480" w:orient="portrait"/>
          <w:cols w:equalWidth="0" w:num="2">
            <w:col w:w="140" w:space="560"/>
            <w:col w:w="9280"/>
          </w:cols>
          <w:pgMar w:left="940" w:top="676" w:right="960" w:bottom="0" w:gutter="0" w:footer="0" w:header="0"/>
          <w:type w:val="continuous"/>
        </w:sectPr>
      </w:pPr>
    </w:p>
    <w:p>
      <w:pPr>
        <w:spacing w:after="0" w:line="41" w:lineRule="exact"/>
        <w:rPr>
          <w:sz w:val="20"/>
          <w:szCs w:val="20"/>
          <w:color w:val="auto"/>
        </w:rPr>
      </w:pPr>
    </w:p>
    <w:p>
      <w:pPr>
        <w:ind w:firstLine="702"/>
        <w:spacing w:after="0" w:line="266" w:lineRule="auto"/>
        <w:rPr>
          <w:sz w:val="20"/>
          <w:szCs w:val="20"/>
          <w:color w:val="auto"/>
        </w:rPr>
      </w:pPr>
      <w:r>
        <w:rPr>
          <w:rFonts w:ascii="Arial" w:cs="Arial" w:eastAsia="Arial" w:hAnsi="Arial"/>
          <w:sz w:val="19"/>
          <w:szCs w:val="19"/>
          <w:color w:val="auto"/>
        </w:rPr>
        <w:t>Our network of liquids infrastructure includes NGL fractionation facilities, underground NGL storage caverns, above ground storage tanks, NGL pipelines, and rail and truck terminals. With these assets, we process, fractionate, store and transport NGL such as ethane, propane, butane and condensate. The unique integrated and geographically diverse nature of our Canadian infrastructure provides the opportunity to maximize margins across the NGL value chain for both us and our customers. The most significant of these assets include the following:</w:t>
      </w:r>
    </w:p>
    <w:p>
      <w:pPr>
        <w:sectPr>
          <w:pgSz w:w="11880" w:h="15480" w:orient="portrait"/>
          <w:cols w:equalWidth="0" w:num="1">
            <w:col w:w="9980"/>
          </w:cols>
          <w:pgMar w:left="940" w:top="676"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9980"/>
          </w:cols>
          <w:pgMar w:left="940" w:top="676" w:right="960" w:bottom="0" w:gutter="0" w:footer="0" w:header="0"/>
          <w:type w:val="continuous"/>
        </w:sectPr>
      </w:pPr>
    </w:p>
    <w:bookmarkStart w:id="18" w:name="page19"/>
    <w:bookmarkEnd w:id="18"/>
    <w:p>
      <w:pPr>
        <w:ind w:left="701"/>
        <w:spacing w:after="0"/>
        <w:rPr>
          <w:sz w:val="20"/>
          <w:szCs w:val="20"/>
          <w:color w:val="auto"/>
        </w:rPr>
      </w:pPr>
      <w:r>
        <w:rPr>
          <w:rFonts w:ascii="Arial" w:cs="Arial" w:eastAsia="Arial" w:hAnsi="Arial"/>
          <w:sz w:val="19"/>
          <w:szCs w:val="19"/>
          <w:b w:val="1"/>
          <w:bCs w:val="1"/>
          <w:i w:val="1"/>
          <w:iCs w:val="1"/>
          <w:color w:val="auto"/>
        </w:rPr>
        <w:t>Empress Facility</w:t>
      </w:r>
    </w:p>
    <w:p>
      <w:pPr>
        <w:spacing w:after="0" w:line="257" w:lineRule="exact"/>
        <w:rPr>
          <w:sz w:val="20"/>
          <w:szCs w:val="20"/>
          <w:color w:val="auto"/>
        </w:rPr>
      </w:pPr>
    </w:p>
    <w:p>
      <w:pPr>
        <w:ind w:left="1" w:right="20" w:firstLine="702"/>
        <w:spacing w:after="0" w:line="282" w:lineRule="auto"/>
        <w:rPr>
          <w:sz w:val="20"/>
          <w:szCs w:val="20"/>
          <w:color w:val="auto"/>
        </w:rPr>
      </w:pPr>
      <w:r>
        <w:rPr>
          <w:rFonts w:ascii="Arial" w:cs="Arial" w:eastAsia="Arial" w:hAnsi="Arial"/>
          <w:sz w:val="18"/>
          <w:szCs w:val="18"/>
          <w:color w:val="auto"/>
        </w:rPr>
        <w:t>We own and operate four gas processing facilities near Empress, Alberta. These facilities, referred to as straddle plants because they “straddle” gas transportation pipelines, process natural gas to extract ethane and NGL mix entrained in the gas stream before returning the gas to the transportation pipelines. We acquire the rights to extract the NGL from producers and/or shippers of the gas streams that pass through our Empress facility and then purchase natural gas to replace the thermal content attributable to the NGL that was extracted. The NGL mix can be fractionated at our Empress facility or transported along the Enbridge pipeline system for fractionation at our Sarnia facility.</w:t>
      </w:r>
    </w:p>
    <w:p>
      <w:pPr>
        <w:spacing w:after="0" w:line="179" w:lineRule="exact"/>
        <w:rPr>
          <w:sz w:val="20"/>
          <w:szCs w:val="20"/>
          <w:color w:val="auto"/>
        </w:rPr>
      </w:pPr>
    </w:p>
    <w:p>
      <w:pPr>
        <w:ind w:left="1" w:right="120" w:firstLine="702"/>
        <w:spacing w:after="0" w:line="305" w:lineRule="auto"/>
        <w:rPr>
          <w:sz w:val="20"/>
          <w:szCs w:val="20"/>
          <w:color w:val="auto"/>
        </w:rPr>
      </w:pPr>
      <w:r>
        <w:rPr>
          <w:rFonts w:ascii="Arial" w:cs="Arial" w:eastAsia="Arial" w:hAnsi="Arial"/>
          <w:sz w:val="17"/>
          <w:szCs w:val="17"/>
          <w:color w:val="auto"/>
        </w:rPr>
        <w:t>Our Empress plants are capable of processing up to 5.7 Bcf of natural gas per day; however, supply available to these plants is typically in the 3.0 to 4.0 Bcf per day range. These plants produce approximately 50,000 to 85,000 barrels per day of ethane, and 30,000 to 50,000 barrels per day of NGL mix. Our Empress fractionation facility is capable of processing and producing up to 26,000 barrels per day of NGL products and is connected to rail loading infrastructure at Empress and our PPTC pipeline system, which enables NGL to be transported to storage and loading terminals in Saskatchewan and Manitoba.</w:t>
      </w:r>
    </w:p>
    <w:p>
      <w:pPr>
        <w:spacing w:after="0" w:line="155" w:lineRule="exact"/>
        <w:rPr>
          <w:sz w:val="20"/>
          <w:szCs w:val="20"/>
          <w:color w:val="auto"/>
        </w:rPr>
      </w:pPr>
    </w:p>
    <w:p>
      <w:pPr>
        <w:ind w:left="701"/>
        <w:spacing w:after="0"/>
        <w:rPr>
          <w:sz w:val="20"/>
          <w:szCs w:val="20"/>
          <w:color w:val="auto"/>
        </w:rPr>
      </w:pPr>
      <w:r>
        <w:rPr>
          <w:rFonts w:ascii="Arial" w:cs="Arial" w:eastAsia="Arial" w:hAnsi="Arial"/>
          <w:sz w:val="19"/>
          <w:szCs w:val="19"/>
          <w:b w:val="1"/>
          <w:bCs w:val="1"/>
          <w:i w:val="1"/>
          <w:iCs w:val="1"/>
          <w:color w:val="auto"/>
        </w:rPr>
        <w:t>Co-Ed Pipeline</w:t>
      </w:r>
    </w:p>
    <w:p>
      <w:pPr>
        <w:spacing w:after="0" w:line="257" w:lineRule="exact"/>
        <w:rPr>
          <w:sz w:val="20"/>
          <w:szCs w:val="20"/>
          <w:color w:val="auto"/>
        </w:rPr>
      </w:pPr>
    </w:p>
    <w:p>
      <w:pPr>
        <w:ind w:left="1" w:firstLine="702"/>
        <w:spacing w:after="0" w:line="276" w:lineRule="auto"/>
        <w:rPr>
          <w:sz w:val="20"/>
          <w:szCs w:val="20"/>
          <w:color w:val="auto"/>
        </w:rPr>
      </w:pPr>
      <w:r>
        <w:rPr>
          <w:rFonts w:ascii="Arial" w:cs="Arial" w:eastAsia="Arial" w:hAnsi="Arial"/>
          <w:sz w:val="19"/>
          <w:szCs w:val="19"/>
          <w:color w:val="auto"/>
        </w:rPr>
        <w:t>Our primary NGL transportation supply system, the Co-Ed NGL pipeline system, has transportation capacity of approximately 70,000 barrels per day and gathers NGL from Southwest and Central Alberta (Cardium, Deep Basin, and Alberta Montney) for delivery to our Fort Saskatchewan, Alberta NGL fractionation facilities.</w:t>
      </w:r>
    </w:p>
    <w:p>
      <w:pPr>
        <w:spacing w:after="0" w:line="175" w:lineRule="exact"/>
        <w:rPr>
          <w:sz w:val="20"/>
          <w:szCs w:val="20"/>
          <w:color w:val="auto"/>
        </w:rPr>
      </w:pPr>
    </w:p>
    <w:p>
      <w:pPr>
        <w:ind w:left="701"/>
        <w:spacing w:after="0"/>
        <w:rPr>
          <w:sz w:val="20"/>
          <w:szCs w:val="20"/>
          <w:color w:val="auto"/>
        </w:rPr>
      </w:pPr>
      <w:r>
        <w:rPr>
          <w:rFonts w:ascii="Arial" w:cs="Arial" w:eastAsia="Arial" w:hAnsi="Arial"/>
          <w:sz w:val="19"/>
          <w:szCs w:val="19"/>
          <w:b w:val="1"/>
          <w:bCs w:val="1"/>
          <w:i w:val="1"/>
          <w:iCs w:val="1"/>
          <w:color w:val="auto"/>
        </w:rPr>
        <w:t>Fort Saskatchewan Complex</w:t>
      </w:r>
    </w:p>
    <w:p>
      <w:pPr>
        <w:spacing w:after="0" w:line="257" w:lineRule="exact"/>
        <w:rPr>
          <w:sz w:val="20"/>
          <w:szCs w:val="20"/>
          <w:color w:val="auto"/>
        </w:rPr>
      </w:pPr>
    </w:p>
    <w:p>
      <w:pPr>
        <w:ind w:left="1" w:right="180" w:firstLine="702"/>
        <w:spacing w:after="0" w:line="263" w:lineRule="auto"/>
        <w:rPr>
          <w:sz w:val="20"/>
          <w:szCs w:val="20"/>
          <w:color w:val="auto"/>
        </w:rPr>
      </w:pPr>
      <w:r>
        <w:rPr>
          <w:rFonts w:ascii="Arial" w:cs="Arial" w:eastAsia="Arial" w:hAnsi="Arial"/>
          <w:sz w:val="19"/>
          <w:szCs w:val="19"/>
          <w:color w:val="auto"/>
        </w:rPr>
        <w:t>Our Fort Saskatchewan facility is located near Edmonton, Alberta in one of the key North American NGL hubs. The facility is a receipt, storage, fractionation and delivery facility for NGL and is connected to other major NGL plants and pipeline systems in the area. The facility’s primary assets include a fractionation plant, 12 storage caverns, and truck and rail loading capability. Our Fort Saskatchewan fractionation facility has an inlet design capacity of 88,400 barrels per day and is able to produce up to approximately 44,400 barrels per day of propane, butane and condensate. The remaining throughput capacity is used to produce a propane and butane mix, which is transported via the Enbridge pipeline system to our Sarnia facility for further fractionation.</w:t>
      </w:r>
    </w:p>
    <w:p>
      <w:pPr>
        <w:spacing w:after="0" w:line="189" w:lineRule="exact"/>
        <w:rPr>
          <w:sz w:val="20"/>
          <w:szCs w:val="20"/>
          <w:color w:val="auto"/>
        </w:rPr>
      </w:pPr>
    </w:p>
    <w:p>
      <w:pPr>
        <w:ind w:left="701"/>
        <w:spacing w:after="0"/>
        <w:rPr>
          <w:sz w:val="20"/>
          <w:szCs w:val="20"/>
          <w:color w:val="auto"/>
        </w:rPr>
      </w:pPr>
      <w:r>
        <w:rPr>
          <w:rFonts w:ascii="Arial" w:cs="Arial" w:eastAsia="Arial" w:hAnsi="Arial"/>
          <w:sz w:val="19"/>
          <w:szCs w:val="19"/>
          <w:b w:val="1"/>
          <w:bCs w:val="1"/>
          <w:i w:val="1"/>
          <w:iCs w:val="1"/>
          <w:color w:val="auto"/>
        </w:rPr>
        <w:t>Sarnia Area</w:t>
      </w:r>
    </w:p>
    <w:p>
      <w:pPr>
        <w:spacing w:after="0" w:line="257" w:lineRule="exact"/>
        <w:rPr>
          <w:sz w:val="20"/>
          <w:szCs w:val="20"/>
          <w:color w:val="auto"/>
        </w:rPr>
      </w:pPr>
    </w:p>
    <w:p>
      <w:pPr>
        <w:ind w:left="701"/>
        <w:spacing w:after="0"/>
        <w:rPr>
          <w:sz w:val="20"/>
          <w:szCs w:val="20"/>
          <w:color w:val="auto"/>
        </w:rPr>
      </w:pPr>
      <w:r>
        <w:rPr>
          <w:rFonts w:ascii="Arial" w:cs="Arial" w:eastAsia="Arial" w:hAnsi="Arial"/>
          <w:sz w:val="17"/>
          <w:szCs w:val="17"/>
          <w:color w:val="auto"/>
        </w:rPr>
        <w:t>Our Sarnia Area assets in Southwestern Ontario consist of (i) our Sarnia facility, (ii) our Windsor storage terminal and</w:t>
      </w:r>
    </w:p>
    <w:p>
      <w:pPr>
        <w:spacing w:after="0" w:line="58" w:lineRule="exact"/>
        <w:rPr>
          <w:sz w:val="20"/>
          <w:szCs w:val="20"/>
          <w:color w:val="auto"/>
        </w:rPr>
      </w:pPr>
    </w:p>
    <w:p>
      <w:pPr>
        <w:ind w:left="1" w:right="20" w:hanging="1"/>
        <w:spacing w:after="0" w:line="276" w:lineRule="auto"/>
        <w:tabs>
          <w:tab w:leader="none" w:pos="342"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St. Clair, Michigan terminal. The Sarnia facility is a large NGL fractionation and storage facility with rail and truck loading capabilities. The Sarnia Area facilities are served by a network of multiple pipelines connected to various refineries, chemical plants, and other pipeline and railroad systems in the area. This pipeline network also delivers product between our Sarnia facility and our Windsor and St. Clair storage facilities. The Sarnia fractionator, which we operate and have a partial ownership interest in, receives NGL feedstock primarily from the Enbridge pipeline system and, to a lesser extent, from our rail unloading facility. The fractionation unit is able to process an average of approximately 100,000 barrels per day of NGL products. Our ownership in the various processing units at the Sarnia fractionator ranges from 61% to 85%.</w:t>
      </w:r>
    </w:p>
    <w:p>
      <w:pPr>
        <w:spacing w:after="0" w:line="179"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Impact of Commodity Price Volatility and Dynamic Market Conditions on Our Business Model</w:t>
      </w:r>
    </w:p>
    <w:p>
      <w:pPr>
        <w:spacing w:after="0" w:line="257" w:lineRule="exact"/>
        <w:rPr>
          <w:sz w:val="20"/>
          <w:szCs w:val="20"/>
          <w:color w:val="auto"/>
        </w:rPr>
      </w:pPr>
    </w:p>
    <w:p>
      <w:pPr>
        <w:ind w:left="1" w:right="220" w:firstLine="702"/>
        <w:spacing w:after="0" w:line="305" w:lineRule="auto"/>
        <w:rPr>
          <w:sz w:val="20"/>
          <w:szCs w:val="20"/>
          <w:color w:val="auto"/>
        </w:rPr>
      </w:pPr>
      <w:r>
        <w:rPr>
          <w:rFonts w:ascii="Arial" w:cs="Arial" w:eastAsia="Arial" w:hAnsi="Arial"/>
          <w:sz w:val="17"/>
          <w:szCs w:val="17"/>
          <w:color w:val="auto"/>
        </w:rPr>
        <w:t>Crude oil, NGL and natural gas commodity prices have historically been very volatile. For example, in 2023, the prompt month NYMEX light, sweet futures contract (commonly referred to as “WTI”) price ranged from a low of approximately $67 per barrel to a high of approximately $94 per barrel. Similarly, there has also been volatility within the propane and butane markets as seen through the North American benchmark price located at Mont Belvieu, Texas, as well as with the basis differentials between Mont Belvieu prices and prices realized at various market hubs in North America.</w:t>
      </w:r>
    </w:p>
    <w:p>
      <w:pPr>
        <w:sectPr>
          <w:pgSz w:w="11880" w:h="15480" w:orient="portrait"/>
          <w:cols w:equalWidth="0" w:num="1">
            <w:col w:w="9981"/>
          </w:cols>
          <w:pgMar w:left="939" w:top="66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9981"/>
          </w:cols>
          <w:pgMar w:left="939" w:top="669" w:right="960" w:bottom="0" w:gutter="0" w:footer="0" w:header="0"/>
          <w:type w:val="continuous"/>
        </w:sectPr>
      </w:pPr>
    </w:p>
    <w:bookmarkStart w:id="19" w:name="page20"/>
    <w:bookmarkEnd w:id="19"/>
    <w:p>
      <w:pPr>
        <w:ind w:right="20" w:firstLine="702"/>
        <w:spacing w:after="0" w:line="250" w:lineRule="auto"/>
        <w:rPr>
          <w:sz w:val="20"/>
          <w:szCs w:val="20"/>
          <w:color w:val="auto"/>
        </w:rPr>
      </w:pPr>
      <w:r>
        <w:rPr>
          <w:rFonts w:ascii="Arial" w:cs="Arial" w:eastAsia="Arial" w:hAnsi="Arial"/>
          <w:sz w:val="19"/>
          <w:szCs w:val="19"/>
          <w:color w:val="auto"/>
        </w:rPr>
        <w:t>While our objective is to position the Partnership such that our overall annual cash flow is not materially adversely affected by the absolute level of energy prices, market volatility associated with shifts between demand-driven markets and supply-driven markets or other similar dynamics may create market conditions that are more challenging to our business model. In extended periods of lower crude oil and/or NGL prices, or periods where the supply and demand fundamentals compress regional location differentials, our financial results may be adversely impacted. Under such market conditions, product flows on our pipelines or through our facilities may be adversely impacted. Alternatively, in periods where supply exceeds regional demand and/or pipeline egress, product flows on our pipelines or through our facilities may be favorably impacted. In executing our business model, we employ a variety of financial risk management tools and techniques to manage our financial risk, predominantly related to our merchant activities. These are discussed in greater detail in the “—Risk Management” section below.</w:t>
      </w:r>
    </w:p>
    <w:p>
      <w:pPr>
        <w:spacing w:after="0" w:line="200" w:lineRule="exact"/>
        <w:rPr>
          <w:sz w:val="20"/>
          <w:szCs w:val="20"/>
          <w:color w:val="auto"/>
        </w:rPr>
      </w:pPr>
    </w:p>
    <w:p>
      <w:pPr>
        <w:ind w:right="20" w:firstLine="702"/>
        <w:spacing w:after="0" w:line="295" w:lineRule="auto"/>
        <w:rPr>
          <w:sz w:val="20"/>
          <w:szCs w:val="20"/>
          <w:color w:val="auto"/>
        </w:rPr>
      </w:pPr>
      <w:r>
        <w:rPr>
          <w:rFonts w:ascii="Arial" w:cs="Arial" w:eastAsia="Arial" w:hAnsi="Arial"/>
          <w:sz w:val="19"/>
          <w:szCs w:val="19"/>
          <w:color w:val="auto"/>
        </w:rPr>
        <w:t>In addition, relative contribution levels will vary from quarter-to-quarter due to seasonality, particularly with respect to our NGL merchant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Risk Management</w:t>
      </w:r>
    </w:p>
    <w:p>
      <w:pPr>
        <w:spacing w:after="0" w:line="257" w:lineRule="exact"/>
        <w:rPr>
          <w:sz w:val="20"/>
          <w:szCs w:val="20"/>
          <w:color w:val="auto"/>
        </w:rPr>
      </w:pPr>
    </w:p>
    <w:p>
      <w:pPr>
        <w:ind w:firstLine="702"/>
        <w:spacing w:after="0" w:line="274" w:lineRule="auto"/>
        <w:rPr>
          <w:sz w:val="20"/>
          <w:szCs w:val="20"/>
          <w:color w:val="auto"/>
        </w:rPr>
      </w:pPr>
      <w:r>
        <w:rPr>
          <w:rFonts w:ascii="Arial" w:cs="Arial" w:eastAsia="Arial" w:hAnsi="Arial"/>
          <w:sz w:val="18"/>
          <w:szCs w:val="18"/>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enterprise-level risks and trading-related risks. Enterprise-level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enterprise-level risks inherent in our core businesses by using financial derivatives to protect our ability to generate cash flow and optimize asset profitability, rather than trying to profit from trading activities.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spacing w:after="0" w:line="194" w:lineRule="exact"/>
        <w:rPr>
          <w:sz w:val="20"/>
          <w:szCs w:val="20"/>
          <w:color w:val="auto"/>
        </w:rPr>
      </w:pPr>
    </w:p>
    <w:p>
      <w:pPr>
        <w:ind w:right="40" w:firstLine="702"/>
        <w:spacing w:after="0" w:line="297" w:lineRule="auto"/>
        <w:rPr>
          <w:sz w:val="20"/>
          <w:szCs w:val="20"/>
          <w:color w:val="auto"/>
        </w:rPr>
      </w:pPr>
      <w:r>
        <w:rPr>
          <w:rFonts w:ascii="Arial" w:cs="Arial" w:eastAsia="Arial" w:hAnsi="Arial"/>
          <w:sz w:val="17"/>
          <w:szCs w:val="17"/>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merchant activities, we purchase crude oil, NGL and natural gas from thousands of locations and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and managed to a balanced position over a reasonable period of time. This activity is monitored independently by our risk management function and must take place within predefined limits and authorizations.</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Credit</w:t>
      </w:r>
    </w:p>
    <w:p>
      <w:pPr>
        <w:spacing w:after="0" w:line="257" w:lineRule="exact"/>
        <w:rPr>
          <w:sz w:val="20"/>
          <w:szCs w:val="20"/>
          <w:color w:val="auto"/>
        </w:rPr>
      </w:pPr>
    </w:p>
    <w:p>
      <w:pPr>
        <w:ind w:right="60" w:firstLine="702"/>
        <w:spacing w:after="0" w:line="263" w:lineRule="auto"/>
        <w:rPr>
          <w:sz w:val="20"/>
          <w:szCs w:val="20"/>
          <w:color w:val="auto"/>
        </w:rPr>
      </w:pPr>
      <w:r>
        <w:rPr>
          <w:rFonts w:ascii="Arial" w:cs="Arial" w:eastAsia="Arial" w:hAnsi="Arial"/>
          <w:sz w:val="19"/>
          <w:szCs w:val="19"/>
          <w:color w:val="auto"/>
        </w:rPr>
        <w:t>Our merchant activities in our Crude Oil and NGL segments require significant extensions of credit by our suppliers. In order to assure our ability to perform our obligations under purchase agreements, various credit arrangements are negotiated with our suppliers. These arrangements include open lines of credit and, to a lesser extent, standby letters of credit issued under our hedged inventory facility or our senior unsecured revolving credit facility. In addition, storing crude oil, NGL or spec products in a contango market, or otherwise, requires us to have credit facilities to finance both the purchase of these products in the prompt month as well as margin requirements that may be required for the derivative instruments used to hedge our price exposure.</w:t>
      </w:r>
    </w:p>
    <w:p>
      <w:pPr>
        <w:spacing w:after="0" w:line="186" w:lineRule="exact"/>
        <w:rPr>
          <w:sz w:val="20"/>
          <w:szCs w:val="20"/>
          <w:color w:val="auto"/>
        </w:rPr>
      </w:pPr>
    </w:p>
    <w:p>
      <w:pPr>
        <w:ind w:right="20" w:firstLine="702"/>
        <w:spacing w:after="0" w:line="266" w:lineRule="auto"/>
        <w:rPr>
          <w:sz w:val="20"/>
          <w:szCs w:val="20"/>
          <w:color w:val="auto"/>
        </w:rPr>
      </w:pPr>
      <w:r>
        <w:rPr>
          <w:rFonts w:ascii="Arial" w:cs="Arial" w:eastAsia="Arial" w:hAnsi="Arial"/>
          <w:sz w:val="19"/>
          <w:szCs w:val="19"/>
          <w:color w:val="auto"/>
        </w:rPr>
        <w:t>When we sell crude oil and NGL, we must determine the amount, if any, of credit to be extended to any given customer. Because our typical sales transactions can involve large volumes of crude oil or NGL, the risk of nonpayment and nonperformance by customers is a major consideration in our business. We believe our sales are made to creditworthy entities or entities with adequate credit support. See Note 3 to our Consolidated Financial Statements for further discussion of our credit review process and risk management procedures.</w:t>
      </w:r>
    </w:p>
    <w:p>
      <w:pPr>
        <w:sectPr>
          <w:pgSz w:w="11880" w:h="15480" w:orient="portrait"/>
          <w:cols w:equalWidth="0" w:num="1">
            <w:col w:w="10000"/>
          </w:cols>
          <w:pgMar w:left="940" w:top="67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10000"/>
          </w:cols>
          <w:pgMar w:left="940" w:top="676" w:right="940" w:bottom="0" w:gutter="0" w:footer="0" w:header="0"/>
          <w:type w:val="continuous"/>
        </w:sectPr>
      </w:pPr>
    </w:p>
    <w:bookmarkStart w:id="20" w:name="page21"/>
    <w:bookmarkEnd w:id="20"/>
    <w:p>
      <w:pPr>
        <w:spacing w:after="0"/>
        <w:rPr>
          <w:sz w:val="20"/>
          <w:szCs w:val="20"/>
          <w:color w:val="auto"/>
        </w:rPr>
      </w:pPr>
      <w:r>
        <w:rPr>
          <w:rFonts w:ascii="Arial" w:cs="Arial" w:eastAsia="Arial" w:hAnsi="Arial"/>
          <w:sz w:val="19"/>
          <w:szCs w:val="19"/>
          <w:b w:val="1"/>
          <w:bCs w:val="1"/>
          <w:color w:val="auto"/>
        </w:rPr>
        <w:t>Customers</w:t>
      </w:r>
    </w:p>
    <w:p>
      <w:pPr>
        <w:spacing w:after="0" w:line="257" w:lineRule="exact"/>
        <w:rPr>
          <w:sz w:val="20"/>
          <w:szCs w:val="20"/>
          <w:color w:val="auto"/>
        </w:rPr>
      </w:pPr>
    </w:p>
    <w:p>
      <w:pPr>
        <w:ind w:right="60" w:firstLine="702"/>
        <w:spacing w:after="0" w:line="279" w:lineRule="auto"/>
        <w:rPr>
          <w:sz w:val="20"/>
          <w:szCs w:val="20"/>
          <w:color w:val="auto"/>
        </w:rPr>
      </w:pPr>
      <w:r>
        <w:rPr>
          <w:rFonts w:ascii="Arial" w:cs="Arial" w:eastAsia="Arial" w:hAnsi="Arial"/>
          <w:sz w:val="18"/>
          <w:szCs w:val="18"/>
          <w:color w:val="auto"/>
        </w:rPr>
        <w:t>ExxonMobil Corporation and its subsidiaries accounted for 26%, 20% and 15% of our revenues for the years ended December 31, 2023, 2022 and 2021, respectively. BP p.l.c. and its subsidiaries accounted for 10% of our revenues for the years ended December 31, 2023 and 2021. Marathon Petroleum Corporation and its subsidiaries accounted for 12% of our revenues for the year ended December 31, 2021. No other customers accounted for 10% or more of our revenues during any of the three years ended December 31, 2023.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 For a discussion of credit and industry concentration risk, see Note 15 to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Competition</w:t>
      </w:r>
    </w:p>
    <w:p>
      <w:pPr>
        <w:spacing w:after="0" w:line="257" w:lineRule="exact"/>
        <w:rPr>
          <w:sz w:val="20"/>
          <w:szCs w:val="20"/>
          <w:color w:val="auto"/>
        </w:rPr>
      </w:pPr>
    </w:p>
    <w:p>
      <w:pPr>
        <w:ind w:right="20" w:firstLine="702"/>
        <w:spacing w:after="0" w:line="275" w:lineRule="auto"/>
        <w:rPr>
          <w:sz w:val="20"/>
          <w:szCs w:val="20"/>
          <w:color w:val="auto"/>
        </w:rPr>
      </w:pPr>
      <w:r>
        <w:rPr>
          <w:rFonts w:ascii="Arial" w:cs="Arial" w:eastAsia="Arial" w:hAnsi="Arial"/>
          <w:sz w:val="18"/>
          <w:szCs w:val="18"/>
          <w:color w:val="auto"/>
        </w:rPr>
        <w:t>Competition among pipelines is based primarily on transportation charges, access to producing areas and supply regions and demand for crude oil and NGL by end users. Although new pipeline projects represent a source of competition for our business, existing third-party owned pipelines with excess capacity in the vicinity of our operations also expose us to significant competition based on the relatively low operating cost associated with moving an incremental barrel of crude oil or NGL through such unutilized capacity. In areas where additional infrastructure is being built or has been built to accommodate new or increased production or changing product flows, we face competition in providing the required infrastructure solutions as well as the risk that capacity in the area will be overbuilt until production grows sufficiently or pipelines are retired or converted to alternate service. As a result of multiple pipeline expansions in the Permian Basin and other areas, together with meaningful changes and delays in expected production growth due to a variety of factors, we continue to experience heightened competition for uncommitted barrels and contract renewals, which puts downward pressure on tariffs and margins. Further slowing of production growth or production declines could exacerbate these risks, but we believe that the current duration of our contracts and structure of our integrated business model, combined with expected crude oil production growth in the Permian Basin and other areas, should partially mitigate these risks.</w:t>
      </w:r>
    </w:p>
    <w:p>
      <w:pPr>
        <w:spacing w:after="0" w:line="192" w:lineRule="exact"/>
        <w:rPr>
          <w:sz w:val="20"/>
          <w:szCs w:val="20"/>
          <w:color w:val="auto"/>
        </w:rPr>
      </w:pPr>
    </w:p>
    <w:p>
      <w:pPr>
        <w:ind w:right="20" w:firstLine="702"/>
        <w:spacing w:after="0" w:line="323" w:lineRule="auto"/>
        <w:rPr>
          <w:sz w:val="20"/>
          <w:szCs w:val="20"/>
          <w:color w:val="auto"/>
        </w:rPr>
      </w:pPr>
      <w:r>
        <w:rPr>
          <w:rFonts w:ascii="Arial" w:cs="Arial" w:eastAsia="Arial" w:hAnsi="Arial"/>
          <w:sz w:val="17"/>
          <w:szCs w:val="17"/>
          <w:color w:val="auto"/>
        </w:rPr>
        <w:t>In addition, pipelines may also face competition from other forms of transportation, such as truck, rail and barge. Although these alternative forms of transportation typically cost more, they can provide access to alternative markets at which a higher price may be realized for the commodity being transported, thereby overcoming the increased transportation cost.</w:t>
      </w:r>
    </w:p>
    <w:p>
      <w:pPr>
        <w:spacing w:after="0" w:line="147" w:lineRule="exact"/>
        <w:rPr>
          <w:sz w:val="20"/>
          <w:szCs w:val="20"/>
          <w:color w:val="auto"/>
        </w:rPr>
      </w:pPr>
    </w:p>
    <w:p>
      <w:pPr>
        <w:ind w:firstLine="702"/>
        <w:spacing w:after="0" w:line="263" w:lineRule="auto"/>
        <w:rPr>
          <w:sz w:val="20"/>
          <w:szCs w:val="20"/>
          <w:color w:val="auto"/>
        </w:rPr>
      </w:pPr>
      <w:r>
        <w:rPr>
          <w:rFonts w:ascii="Arial" w:cs="Arial" w:eastAsia="Arial" w:hAnsi="Arial"/>
          <w:sz w:val="19"/>
          <w:szCs w:val="19"/>
          <w:color w:val="auto"/>
        </w:rPr>
        <w:t>We also face competition with respect to our merchant activities and facilities services. Our competitors include other crude oil and NGL pipeline and terminalling companies, other NGL processing and fractionation companies, major integrated oil companies and their marketing affiliates, independent gatherers, private equity backed entities, banks that have established a trading platform, and brokers and marketers of widely varying sizes, financial resources and experience. Some of these competitors have capital resources greater than ours. In addition, relatively new pipelines supported by minimum volume commitments and/or acreage dedications could also amplify the level of competition for purchasing wellhead barrels, especially in the Permian Basin, and thus impact our margins.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Ongoing Activities Related to Strategic Transactions</w:t>
      </w:r>
    </w:p>
    <w:p>
      <w:pPr>
        <w:spacing w:after="0" w:line="257" w:lineRule="exact"/>
        <w:rPr>
          <w:sz w:val="20"/>
          <w:szCs w:val="20"/>
          <w:color w:val="auto"/>
        </w:rPr>
      </w:pPr>
    </w:p>
    <w:p>
      <w:pPr>
        <w:ind w:right="20" w:firstLine="702"/>
        <w:spacing w:after="0" w:line="263" w:lineRule="auto"/>
        <w:rPr>
          <w:sz w:val="20"/>
          <w:szCs w:val="20"/>
          <w:color w:val="auto"/>
        </w:rPr>
      </w:pPr>
      <w:r>
        <w:rPr>
          <w:rFonts w:ascii="Arial" w:cs="Arial" w:eastAsia="Arial" w:hAnsi="Arial"/>
          <w:sz w:val="19"/>
          <w:szCs w:val="19"/>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196" w:lineRule="exact"/>
        <w:rPr>
          <w:sz w:val="20"/>
          <w:szCs w:val="20"/>
          <w:color w:val="auto"/>
        </w:rPr>
      </w:pPr>
    </w:p>
    <w:p>
      <w:pPr>
        <w:ind w:firstLine="702"/>
        <w:spacing w:after="0" w:line="261" w:lineRule="auto"/>
        <w:rPr>
          <w:sz w:val="20"/>
          <w:szCs w:val="20"/>
          <w:color w:val="auto"/>
        </w:rPr>
      </w:pPr>
      <w:r>
        <w:rPr>
          <w:rFonts w:ascii="Arial" w:cs="Arial" w:eastAsia="Arial" w:hAnsi="Arial"/>
          <w:sz w:val="19"/>
          <w:szCs w:val="19"/>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w:t>
      </w:r>
      <w:r>
        <w:rPr>
          <w:rFonts w:ascii="Arial" w:cs="Arial" w:eastAsia="Arial" w:hAnsi="Arial"/>
          <w:sz w:val="19"/>
          <w:szCs w:val="19"/>
          <w:b w:val="1"/>
          <w:bCs w:val="1"/>
          <w:i w:val="1"/>
          <w:iCs w:val="1"/>
          <w:color w:val="auto"/>
        </w:rPr>
        <w:t>Acquisitions and divestitures involve risks that may adversely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affect PAA’s business.</w:t>
      </w:r>
      <w:r>
        <w:rPr>
          <w:rFonts w:ascii="Arial" w:cs="Arial" w:eastAsia="Arial" w:hAnsi="Arial"/>
          <w:sz w:val="19"/>
          <w:szCs w:val="19"/>
          <w:color w:val="auto"/>
        </w:rPr>
        <w:t>”</w:t>
      </w:r>
    </w:p>
    <w:p>
      <w:pPr>
        <w:sectPr>
          <w:pgSz w:w="11880" w:h="15480" w:orient="portrait"/>
          <w:cols w:equalWidth="0" w:num="1">
            <w:col w:w="9980"/>
          </w:cols>
          <w:pgMar w:left="940" w:top="669" w:right="96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9980"/>
          </w:cols>
          <w:pgMar w:left="940" w:top="669" w:right="960" w:bottom="0" w:gutter="0" w:footer="0" w:header="0"/>
          <w:type w:val="continuous"/>
        </w:sectPr>
      </w:pPr>
    </w:p>
    <w:bookmarkStart w:id="21" w:name="page22"/>
    <w:bookmarkEnd w:id="21"/>
    <w:p>
      <w:pPr>
        <w:ind w:left="1"/>
        <w:spacing w:after="0"/>
        <w:rPr>
          <w:sz w:val="20"/>
          <w:szCs w:val="20"/>
          <w:color w:val="auto"/>
        </w:rPr>
      </w:pPr>
      <w:r>
        <w:rPr>
          <w:rFonts w:ascii="Arial" w:cs="Arial" w:eastAsia="Arial" w:hAnsi="Arial"/>
          <w:sz w:val="19"/>
          <w:szCs w:val="19"/>
          <w:b w:val="1"/>
          <w:bCs w:val="1"/>
          <w:i w:val="1"/>
          <w:iCs w:val="1"/>
          <w:color w:val="auto"/>
        </w:rPr>
        <w:t>Joint Venture and Joint Ownership Arrangements</w:t>
      </w:r>
    </w:p>
    <w:p>
      <w:pPr>
        <w:spacing w:after="0" w:line="257" w:lineRule="exact"/>
        <w:rPr>
          <w:sz w:val="20"/>
          <w:szCs w:val="20"/>
          <w:color w:val="auto"/>
        </w:rPr>
      </w:pPr>
    </w:p>
    <w:p>
      <w:pPr>
        <w:ind w:left="1" w:right="140" w:firstLine="702"/>
        <w:spacing w:after="0" w:line="323" w:lineRule="auto"/>
        <w:rPr>
          <w:sz w:val="20"/>
          <w:szCs w:val="20"/>
          <w:color w:val="auto"/>
        </w:rPr>
      </w:pPr>
      <w:r>
        <w:rPr>
          <w:rFonts w:ascii="Arial" w:cs="Arial" w:eastAsia="Arial" w:hAnsi="Arial"/>
          <w:sz w:val="17"/>
          <w:szCs w:val="17"/>
          <w:color w:val="auto"/>
        </w:rPr>
        <w:t>We are party to more than 25 joint venture and UJI arrangements with long-term partners throughout the industry value chain spanning across multiple North American basins. We believe that these capital-efficient arrangements provide strategic alignment with long-term industry partners while adding volume commitments to our systems and improving returns.</w:t>
      </w:r>
    </w:p>
    <w:p>
      <w:pPr>
        <w:spacing w:after="0" w:line="147" w:lineRule="exact"/>
        <w:rPr>
          <w:sz w:val="20"/>
          <w:szCs w:val="20"/>
          <w:color w:val="auto"/>
        </w:rPr>
      </w:pPr>
    </w:p>
    <w:p>
      <w:pPr>
        <w:ind w:left="701"/>
        <w:spacing w:after="0"/>
        <w:rPr>
          <w:sz w:val="20"/>
          <w:szCs w:val="20"/>
          <w:color w:val="auto"/>
        </w:rPr>
      </w:pPr>
      <w:r>
        <w:rPr>
          <w:rFonts w:ascii="Arial" w:cs="Arial" w:eastAsia="Arial" w:hAnsi="Arial"/>
          <w:sz w:val="19"/>
          <w:szCs w:val="19"/>
          <w:color w:val="auto"/>
        </w:rPr>
        <w:t>The following table summarizes our significant joint ventures as of December 31, 2023:</w:t>
      </w:r>
    </w:p>
    <w:p>
      <w:pPr>
        <w:spacing w:after="0" w:line="322"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Joint Venture</w:t>
            </w:r>
          </w:p>
        </w:tc>
        <w:tc>
          <w:tcPr>
            <w:tcW w:w="0" w:type="dxa"/>
            <w:vAlign w:val="bottom"/>
          </w:tcPr>
          <w:p>
            <w:pPr>
              <w:spacing w:after="0"/>
              <w:rPr>
                <w:sz w:val="1"/>
                <w:szCs w:val="1"/>
                <w:color w:val="auto"/>
              </w:rPr>
            </w:pPr>
          </w:p>
        </w:tc>
      </w:tr>
      <w:tr>
        <w:trPr>
          <w:trHeight w:val="156"/>
        </w:trPr>
        <w:tc>
          <w:tcPr>
            <w:tcW w:w="50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Entity</w:t>
            </w:r>
          </w:p>
        </w:tc>
        <w:tc>
          <w:tcPr>
            <w:tcW w:w="60" w:type="dxa"/>
            <w:vAlign w:val="bottom"/>
          </w:tcPr>
          <w:p>
            <w:pPr>
              <w:spacing w:after="0"/>
              <w:rPr>
                <w:sz w:val="13"/>
                <w:szCs w:val="13"/>
                <w:color w:val="auto"/>
              </w:rPr>
            </w:pPr>
          </w:p>
        </w:tc>
        <w:tc>
          <w:tcPr>
            <w:tcW w:w="3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Type of Operation</w:t>
            </w:r>
          </w:p>
        </w:tc>
        <w:tc>
          <w:tcPr>
            <w:tcW w:w="80" w:type="dxa"/>
            <w:vAlign w:val="bottom"/>
          </w:tcPr>
          <w:p>
            <w:pPr>
              <w:spacing w:after="0"/>
              <w:rPr>
                <w:sz w:val="13"/>
                <w:szCs w:val="13"/>
                <w:color w:val="auto"/>
              </w:rPr>
            </w:pPr>
          </w:p>
        </w:tc>
        <w:tc>
          <w:tcPr>
            <w:tcW w:w="1440" w:type="dxa"/>
            <w:vAlign w:val="bottom"/>
          </w:tcPr>
          <w:p>
            <w:pPr>
              <w:jc w:val="center"/>
              <w:spacing w:after="0" w:line="156" w:lineRule="exact"/>
              <w:rPr>
                <w:sz w:val="20"/>
                <w:szCs w:val="20"/>
                <w:color w:val="auto"/>
              </w:rPr>
            </w:pPr>
            <w:r>
              <w:rPr>
                <w:rFonts w:ascii="Arial" w:cs="Arial" w:eastAsia="Arial" w:hAnsi="Arial"/>
                <w:sz w:val="16"/>
                <w:szCs w:val="16"/>
                <w:b w:val="1"/>
                <w:bCs w:val="1"/>
                <w:color w:val="auto"/>
                <w:w w:val="89"/>
              </w:rPr>
              <w:t>Ownership</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4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Percentage</w:t>
            </w:r>
          </w:p>
        </w:tc>
        <w:tc>
          <w:tcPr>
            <w:tcW w:w="0" w:type="dxa"/>
            <w:vAlign w:val="bottom"/>
          </w:tcPr>
          <w:p>
            <w:pPr>
              <w:spacing w:after="0"/>
              <w:rPr>
                <w:sz w:val="1"/>
                <w:szCs w:val="1"/>
                <w:color w:val="auto"/>
              </w:rPr>
            </w:pPr>
          </w:p>
        </w:tc>
      </w:tr>
      <w:tr>
        <w:trPr>
          <w:trHeight w:val="269"/>
        </w:trPr>
        <w:tc>
          <w:tcPr>
            <w:tcW w:w="5020" w:type="dxa"/>
            <w:vAlign w:val="bottom"/>
          </w:tcPr>
          <w:p>
            <w:pPr>
              <w:ind w:left="60"/>
              <w:spacing w:after="0"/>
              <w:rPr>
                <w:sz w:val="20"/>
                <w:szCs w:val="20"/>
                <w:color w:val="auto"/>
              </w:rPr>
            </w:pPr>
            <w:r>
              <w:rPr>
                <w:rFonts w:ascii="Arial" w:cs="Arial" w:eastAsia="Arial" w:hAnsi="Arial"/>
                <w:sz w:val="19"/>
                <w:szCs w:val="19"/>
                <w:color w:val="auto"/>
              </w:rPr>
              <w:t>BridgeTex Pipeline Company, LLC</w:t>
            </w:r>
          </w:p>
        </w:tc>
        <w:tc>
          <w:tcPr>
            <w:tcW w:w="60" w:type="dxa"/>
            <w:vAlign w:val="bottom"/>
          </w:tcPr>
          <w:p>
            <w:pPr>
              <w:spacing w:after="0"/>
              <w:rPr>
                <w:sz w:val="23"/>
                <w:szCs w:val="23"/>
                <w:color w:val="auto"/>
              </w:rPr>
            </w:pPr>
          </w:p>
        </w:tc>
        <w:tc>
          <w:tcPr>
            <w:tcW w:w="340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5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20%</w:t>
            </w:r>
          </w:p>
        </w:tc>
        <w:tc>
          <w:tcPr>
            <w:tcW w:w="0" w:type="dxa"/>
            <w:vAlign w:val="bottom"/>
          </w:tcPr>
          <w:p>
            <w:pPr>
              <w:spacing w:after="0"/>
              <w:rPr>
                <w:sz w:val="1"/>
                <w:szCs w:val="1"/>
                <w:color w:val="auto"/>
              </w:rPr>
            </w:pPr>
          </w:p>
        </w:tc>
      </w:tr>
      <w:tr>
        <w:trPr>
          <w:trHeight w:val="331"/>
        </w:trPr>
        <w:tc>
          <w:tcPr>
            <w:tcW w:w="5020" w:type="dxa"/>
            <w:vAlign w:val="bottom"/>
          </w:tcPr>
          <w:p>
            <w:pPr>
              <w:ind w:left="60"/>
              <w:spacing w:after="0"/>
              <w:rPr>
                <w:sz w:val="20"/>
                <w:szCs w:val="20"/>
                <w:color w:val="auto"/>
              </w:rPr>
            </w:pPr>
            <w:r>
              <w:rPr>
                <w:rFonts w:ascii="Arial" w:cs="Arial" w:eastAsia="Arial" w:hAnsi="Arial"/>
                <w:sz w:val="19"/>
                <w:szCs w:val="19"/>
                <w:color w:val="auto"/>
              </w:rPr>
              <w:t xml:space="preserve">Cactus II Pipeline LLC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9"/>
                <w:szCs w:val="19"/>
                <w:color w:val="auto"/>
                <w:w w:val="92"/>
              </w:rPr>
              <w:t xml:space="preserve">Crude Oil Pipeline </w:t>
            </w:r>
            <w:r>
              <w:rPr>
                <w:rFonts w:ascii="Arial" w:cs="Arial" w:eastAsia="Arial" w:hAnsi="Arial"/>
                <w:sz w:val="25"/>
                <w:szCs w:val="25"/>
                <w:color w:val="auto"/>
                <w:w w:val="92"/>
                <w:vertAlign w:val="superscript"/>
              </w:rPr>
              <w:t>(1)</w:t>
            </w:r>
          </w:p>
        </w:tc>
        <w:tc>
          <w:tcPr>
            <w:tcW w:w="15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70%</w:t>
            </w:r>
          </w:p>
        </w:tc>
        <w:tc>
          <w:tcPr>
            <w:tcW w:w="0" w:type="dxa"/>
            <w:vAlign w:val="bottom"/>
          </w:tcPr>
          <w:p>
            <w:pPr>
              <w:spacing w:after="0"/>
              <w:rPr>
                <w:sz w:val="1"/>
                <w:szCs w:val="1"/>
                <w:color w:val="auto"/>
              </w:rPr>
            </w:pPr>
          </w:p>
        </w:tc>
      </w:tr>
      <w:tr>
        <w:trPr>
          <w:trHeight w:val="254"/>
        </w:trPr>
        <w:tc>
          <w:tcPr>
            <w:tcW w:w="5020" w:type="dxa"/>
            <w:vAlign w:val="bottom"/>
          </w:tcPr>
          <w:p>
            <w:pPr>
              <w:ind w:left="60"/>
              <w:spacing w:after="0"/>
              <w:rPr>
                <w:sz w:val="20"/>
                <w:szCs w:val="20"/>
                <w:color w:val="auto"/>
              </w:rPr>
            </w:pPr>
            <w:r>
              <w:rPr>
                <w:rFonts w:ascii="Arial" w:cs="Arial" w:eastAsia="Arial" w:hAnsi="Arial"/>
                <w:sz w:val="19"/>
                <w:szCs w:val="19"/>
                <w:color w:val="auto"/>
              </w:rPr>
              <w:t>Capline Pipeline Company LLC</w:t>
            </w:r>
          </w:p>
        </w:tc>
        <w:tc>
          <w:tcPr>
            <w:tcW w:w="60" w:type="dxa"/>
            <w:vAlign w:val="bottom"/>
          </w:tcPr>
          <w:p>
            <w:pPr>
              <w:spacing w:after="0"/>
              <w:rPr>
                <w:sz w:val="22"/>
                <w:szCs w:val="22"/>
                <w:color w:val="auto"/>
              </w:rPr>
            </w:pPr>
          </w:p>
        </w:tc>
        <w:tc>
          <w:tcPr>
            <w:tcW w:w="340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5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54%</w:t>
            </w:r>
          </w:p>
        </w:tc>
        <w:tc>
          <w:tcPr>
            <w:tcW w:w="0" w:type="dxa"/>
            <w:vAlign w:val="bottom"/>
          </w:tcPr>
          <w:p>
            <w:pPr>
              <w:spacing w:after="0"/>
              <w:rPr>
                <w:sz w:val="1"/>
                <w:szCs w:val="1"/>
                <w:color w:val="auto"/>
              </w:rPr>
            </w:pPr>
          </w:p>
        </w:tc>
      </w:tr>
      <w:tr>
        <w:trPr>
          <w:trHeight w:val="313"/>
        </w:trPr>
        <w:tc>
          <w:tcPr>
            <w:tcW w:w="5020" w:type="dxa"/>
            <w:vAlign w:val="bottom"/>
          </w:tcPr>
          <w:p>
            <w:pPr>
              <w:ind w:left="60"/>
              <w:spacing w:after="0"/>
              <w:rPr>
                <w:sz w:val="20"/>
                <w:szCs w:val="20"/>
                <w:color w:val="auto"/>
              </w:rPr>
            </w:pPr>
            <w:r>
              <w:rPr>
                <w:rFonts w:ascii="Arial" w:cs="Arial" w:eastAsia="Arial" w:hAnsi="Arial"/>
                <w:sz w:val="19"/>
                <w:szCs w:val="19"/>
                <w:color w:val="auto"/>
              </w:rPr>
              <w:t>Diamond Pipeline LLC</w:t>
            </w:r>
          </w:p>
        </w:tc>
        <w:tc>
          <w:tcPr>
            <w:tcW w:w="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9"/>
                <w:szCs w:val="19"/>
                <w:color w:val="auto"/>
                <w:w w:val="92"/>
              </w:rPr>
              <w:t xml:space="preserve">Crude Oil Pipeline </w:t>
            </w:r>
            <w:r>
              <w:rPr>
                <w:rFonts w:ascii="Arial" w:cs="Arial" w:eastAsia="Arial" w:hAnsi="Arial"/>
                <w:sz w:val="25"/>
                <w:szCs w:val="25"/>
                <w:color w:val="auto"/>
                <w:w w:val="92"/>
                <w:vertAlign w:val="superscript"/>
              </w:rPr>
              <w:t>(1)</w:t>
            </w:r>
          </w:p>
        </w:tc>
        <w:tc>
          <w:tcPr>
            <w:tcW w:w="15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50%</w:t>
            </w:r>
          </w:p>
        </w:tc>
        <w:tc>
          <w:tcPr>
            <w:tcW w:w="0" w:type="dxa"/>
            <w:vAlign w:val="bottom"/>
          </w:tcPr>
          <w:p>
            <w:pPr>
              <w:spacing w:after="0"/>
              <w:rPr>
                <w:sz w:val="1"/>
                <w:szCs w:val="1"/>
                <w:color w:val="auto"/>
              </w:rPr>
            </w:pPr>
          </w:p>
        </w:tc>
      </w:tr>
      <w:tr>
        <w:trPr>
          <w:trHeight w:val="292"/>
        </w:trPr>
        <w:tc>
          <w:tcPr>
            <w:tcW w:w="5020" w:type="dxa"/>
            <w:vAlign w:val="bottom"/>
          </w:tcPr>
          <w:p>
            <w:pPr>
              <w:ind w:left="60"/>
              <w:spacing w:after="0"/>
              <w:rPr>
                <w:sz w:val="20"/>
                <w:szCs w:val="20"/>
                <w:color w:val="auto"/>
              </w:rPr>
            </w:pPr>
            <w:r>
              <w:rPr>
                <w:rFonts w:ascii="Arial" w:cs="Arial" w:eastAsia="Arial" w:hAnsi="Arial"/>
                <w:sz w:val="19"/>
                <w:szCs w:val="19"/>
                <w:color w:val="auto"/>
              </w:rPr>
              <w:t>Eagle Ford Pipeline LLC</w:t>
            </w:r>
          </w:p>
        </w:tc>
        <w:tc>
          <w:tcPr>
            <w:tcW w:w="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9"/>
                <w:szCs w:val="19"/>
                <w:color w:val="auto"/>
                <w:w w:val="92"/>
              </w:rPr>
              <w:t xml:space="preserve">Crude Oil Pipeline </w:t>
            </w:r>
            <w:r>
              <w:rPr>
                <w:rFonts w:ascii="Arial" w:cs="Arial" w:eastAsia="Arial" w:hAnsi="Arial"/>
                <w:sz w:val="25"/>
                <w:szCs w:val="25"/>
                <w:color w:val="auto"/>
                <w:w w:val="92"/>
                <w:vertAlign w:val="superscript"/>
              </w:rPr>
              <w:t>(1)</w:t>
            </w:r>
          </w:p>
        </w:tc>
        <w:tc>
          <w:tcPr>
            <w:tcW w:w="15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50%</w:t>
            </w:r>
          </w:p>
        </w:tc>
        <w:tc>
          <w:tcPr>
            <w:tcW w:w="0" w:type="dxa"/>
            <w:vAlign w:val="bottom"/>
          </w:tcPr>
          <w:p>
            <w:pPr>
              <w:spacing w:after="0"/>
              <w:rPr>
                <w:sz w:val="1"/>
                <w:szCs w:val="1"/>
                <w:color w:val="auto"/>
              </w:rPr>
            </w:pPr>
          </w:p>
        </w:tc>
      </w:tr>
      <w:tr>
        <w:trPr>
          <w:trHeight w:val="292"/>
        </w:trPr>
        <w:tc>
          <w:tcPr>
            <w:tcW w:w="5020" w:type="dxa"/>
            <w:vAlign w:val="bottom"/>
          </w:tcPr>
          <w:p>
            <w:pPr>
              <w:ind w:left="60"/>
              <w:spacing w:after="0"/>
              <w:rPr>
                <w:sz w:val="20"/>
                <w:szCs w:val="20"/>
                <w:color w:val="auto"/>
              </w:rPr>
            </w:pPr>
            <w:r>
              <w:rPr>
                <w:rFonts w:ascii="Arial" w:cs="Arial" w:eastAsia="Arial" w:hAnsi="Arial"/>
                <w:sz w:val="19"/>
                <w:szCs w:val="19"/>
                <w:color w:val="auto"/>
              </w:rPr>
              <w:t>Eagle Ford Terminals Corpus Christi LLC</w:t>
            </w:r>
          </w:p>
        </w:tc>
        <w:tc>
          <w:tcPr>
            <w:tcW w:w="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9"/>
                <w:szCs w:val="19"/>
                <w:color w:val="auto"/>
                <w:w w:val="93"/>
              </w:rPr>
              <w:t xml:space="preserve">Crude Oil Terminal and Dock </w:t>
            </w:r>
            <w:r>
              <w:rPr>
                <w:rFonts w:ascii="Arial" w:cs="Arial" w:eastAsia="Arial" w:hAnsi="Arial"/>
                <w:sz w:val="25"/>
                <w:szCs w:val="25"/>
                <w:color w:val="auto"/>
                <w:w w:val="93"/>
                <w:vertAlign w:val="superscript"/>
              </w:rPr>
              <w:t>(1)</w:t>
            </w:r>
          </w:p>
        </w:tc>
        <w:tc>
          <w:tcPr>
            <w:tcW w:w="15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50%</w:t>
            </w:r>
          </w:p>
        </w:tc>
        <w:tc>
          <w:tcPr>
            <w:tcW w:w="0" w:type="dxa"/>
            <w:vAlign w:val="bottom"/>
          </w:tcPr>
          <w:p>
            <w:pPr>
              <w:spacing w:after="0"/>
              <w:rPr>
                <w:sz w:val="1"/>
                <w:szCs w:val="1"/>
                <w:color w:val="auto"/>
              </w:rPr>
            </w:pPr>
          </w:p>
        </w:tc>
      </w:tr>
      <w:tr>
        <w:trPr>
          <w:trHeight w:val="292"/>
        </w:trPr>
        <w:tc>
          <w:tcPr>
            <w:tcW w:w="5020" w:type="dxa"/>
            <w:vAlign w:val="bottom"/>
          </w:tcPr>
          <w:p>
            <w:pPr>
              <w:ind w:left="60"/>
              <w:spacing w:after="0"/>
              <w:rPr>
                <w:sz w:val="20"/>
                <w:szCs w:val="20"/>
                <w:color w:val="auto"/>
              </w:rPr>
            </w:pPr>
            <w:r>
              <w:rPr>
                <w:rFonts w:ascii="Arial" w:cs="Arial" w:eastAsia="Arial" w:hAnsi="Arial"/>
                <w:sz w:val="19"/>
                <w:szCs w:val="19"/>
                <w:color w:val="auto"/>
              </w:rPr>
              <w:t xml:space="preserve">Plains Oryx Permian Basin LLC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9"/>
                <w:szCs w:val="19"/>
                <w:color w:val="auto"/>
                <w:w w:val="90"/>
              </w:rPr>
              <w:t xml:space="preserve">Crude Oil Pipelines and Related Assets </w:t>
            </w:r>
            <w:r>
              <w:rPr>
                <w:rFonts w:ascii="Arial" w:cs="Arial" w:eastAsia="Arial" w:hAnsi="Arial"/>
                <w:sz w:val="25"/>
                <w:szCs w:val="25"/>
                <w:color w:val="auto"/>
                <w:w w:val="90"/>
                <w:vertAlign w:val="superscript"/>
              </w:rPr>
              <w:t>(1)</w:t>
            </w:r>
          </w:p>
        </w:tc>
        <w:tc>
          <w:tcPr>
            <w:tcW w:w="15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65%</w:t>
            </w:r>
          </w:p>
        </w:tc>
        <w:tc>
          <w:tcPr>
            <w:tcW w:w="0" w:type="dxa"/>
            <w:vAlign w:val="bottom"/>
          </w:tcPr>
          <w:p>
            <w:pPr>
              <w:spacing w:after="0"/>
              <w:rPr>
                <w:sz w:val="1"/>
                <w:szCs w:val="1"/>
                <w:color w:val="auto"/>
              </w:rPr>
            </w:pPr>
          </w:p>
        </w:tc>
      </w:tr>
      <w:tr>
        <w:trPr>
          <w:trHeight w:val="292"/>
        </w:trPr>
        <w:tc>
          <w:tcPr>
            <w:tcW w:w="5020" w:type="dxa"/>
            <w:vAlign w:val="bottom"/>
          </w:tcPr>
          <w:p>
            <w:pPr>
              <w:ind w:left="60"/>
              <w:spacing w:after="0"/>
              <w:rPr>
                <w:sz w:val="20"/>
                <w:szCs w:val="20"/>
                <w:color w:val="auto"/>
              </w:rPr>
            </w:pPr>
            <w:r>
              <w:rPr>
                <w:rFonts w:ascii="Arial" w:cs="Arial" w:eastAsia="Arial" w:hAnsi="Arial"/>
                <w:sz w:val="19"/>
                <w:szCs w:val="19"/>
                <w:color w:val="auto"/>
              </w:rPr>
              <w:t xml:space="preserve">Red River Pipeline Company LLC </w:t>
            </w:r>
            <w:r>
              <w:rPr>
                <w:rFonts w:ascii="Arial" w:cs="Arial" w:eastAsia="Arial" w:hAnsi="Arial"/>
                <w:sz w:val="25"/>
                <w:szCs w:val="25"/>
                <w:color w:val="auto"/>
                <w:vertAlign w:val="superscript"/>
              </w:rPr>
              <w:t>(2) (3)</w:t>
            </w:r>
          </w:p>
        </w:tc>
        <w:tc>
          <w:tcPr>
            <w:tcW w:w="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9"/>
                <w:szCs w:val="19"/>
                <w:color w:val="auto"/>
                <w:w w:val="92"/>
              </w:rPr>
              <w:t xml:space="preserve">Crude Oil Pipeline </w:t>
            </w:r>
            <w:r>
              <w:rPr>
                <w:rFonts w:ascii="Arial" w:cs="Arial" w:eastAsia="Arial" w:hAnsi="Arial"/>
                <w:sz w:val="25"/>
                <w:szCs w:val="25"/>
                <w:color w:val="auto"/>
                <w:w w:val="92"/>
                <w:vertAlign w:val="superscript"/>
              </w:rPr>
              <w:t>(1)</w:t>
            </w:r>
          </w:p>
        </w:tc>
        <w:tc>
          <w:tcPr>
            <w:tcW w:w="15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67%</w:t>
            </w:r>
          </w:p>
        </w:tc>
        <w:tc>
          <w:tcPr>
            <w:tcW w:w="0" w:type="dxa"/>
            <w:vAlign w:val="bottom"/>
          </w:tcPr>
          <w:p>
            <w:pPr>
              <w:spacing w:after="0"/>
              <w:rPr>
                <w:sz w:val="1"/>
                <w:szCs w:val="1"/>
                <w:color w:val="auto"/>
              </w:rPr>
            </w:pPr>
          </w:p>
        </w:tc>
      </w:tr>
      <w:tr>
        <w:trPr>
          <w:trHeight w:val="311"/>
        </w:trPr>
        <w:tc>
          <w:tcPr>
            <w:tcW w:w="5020" w:type="dxa"/>
            <w:vAlign w:val="bottom"/>
          </w:tcPr>
          <w:p>
            <w:pPr>
              <w:ind w:left="60"/>
              <w:spacing w:after="0"/>
              <w:rPr>
                <w:sz w:val="20"/>
                <w:szCs w:val="20"/>
                <w:color w:val="auto"/>
              </w:rPr>
            </w:pPr>
            <w:r>
              <w:rPr>
                <w:rFonts w:ascii="Arial" w:cs="Arial" w:eastAsia="Arial" w:hAnsi="Arial"/>
                <w:sz w:val="19"/>
                <w:szCs w:val="19"/>
                <w:color w:val="auto"/>
              </w:rPr>
              <w:t xml:space="preserve">Saddlehorn Pipeline Company, LLC </w:t>
            </w:r>
            <w:r>
              <w:rPr>
                <w:rFonts w:ascii="Arial" w:cs="Arial" w:eastAsia="Arial" w:hAnsi="Arial"/>
                <w:sz w:val="25"/>
                <w:szCs w:val="25"/>
                <w:color w:val="auto"/>
                <w:vertAlign w:val="superscript"/>
              </w:rPr>
              <w:t>(3)</w:t>
            </w:r>
          </w:p>
        </w:tc>
        <w:tc>
          <w:tcPr>
            <w:tcW w:w="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5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30%</w:t>
            </w:r>
          </w:p>
        </w:tc>
        <w:tc>
          <w:tcPr>
            <w:tcW w:w="0" w:type="dxa"/>
            <w:vAlign w:val="bottom"/>
          </w:tcPr>
          <w:p>
            <w:pPr>
              <w:spacing w:after="0"/>
              <w:rPr>
                <w:sz w:val="1"/>
                <w:szCs w:val="1"/>
                <w:color w:val="auto"/>
              </w:rPr>
            </w:pPr>
          </w:p>
        </w:tc>
      </w:tr>
      <w:tr>
        <w:trPr>
          <w:trHeight w:val="254"/>
        </w:trPr>
        <w:tc>
          <w:tcPr>
            <w:tcW w:w="5020" w:type="dxa"/>
            <w:vAlign w:val="bottom"/>
          </w:tcPr>
          <w:p>
            <w:pPr>
              <w:ind w:left="60"/>
              <w:spacing w:after="0"/>
              <w:rPr>
                <w:sz w:val="20"/>
                <w:szCs w:val="20"/>
                <w:color w:val="auto"/>
              </w:rPr>
            </w:pPr>
            <w:r>
              <w:rPr>
                <w:rFonts w:ascii="Arial" w:cs="Arial" w:eastAsia="Arial" w:hAnsi="Arial"/>
                <w:sz w:val="19"/>
                <w:szCs w:val="19"/>
                <w:color w:val="auto"/>
              </w:rPr>
              <w:t>White Cliffs Pipeline, LLC</w:t>
            </w:r>
          </w:p>
        </w:tc>
        <w:tc>
          <w:tcPr>
            <w:tcW w:w="60" w:type="dxa"/>
            <w:vAlign w:val="bottom"/>
          </w:tcPr>
          <w:p>
            <w:pPr>
              <w:spacing w:after="0"/>
              <w:rPr>
                <w:sz w:val="22"/>
                <w:szCs w:val="22"/>
                <w:color w:val="auto"/>
              </w:rPr>
            </w:pPr>
          </w:p>
        </w:tc>
        <w:tc>
          <w:tcPr>
            <w:tcW w:w="340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5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36%</w:t>
            </w:r>
          </w:p>
        </w:tc>
        <w:tc>
          <w:tcPr>
            <w:tcW w:w="0" w:type="dxa"/>
            <w:vAlign w:val="bottom"/>
          </w:tcPr>
          <w:p>
            <w:pPr>
              <w:spacing w:after="0"/>
              <w:rPr>
                <w:sz w:val="1"/>
                <w:szCs w:val="1"/>
                <w:color w:val="auto"/>
              </w:rPr>
            </w:pPr>
          </w:p>
        </w:tc>
      </w:tr>
      <w:tr>
        <w:trPr>
          <w:trHeight w:val="355"/>
        </w:trPr>
        <w:tc>
          <w:tcPr>
            <w:tcW w:w="5020" w:type="dxa"/>
            <w:vAlign w:val="bottom"/>
          </w:tcPr>
          <w:p>
            <w:pPr>
              <w:ind w:left="60"/>
              <w:spacing w:after="0"/>
              <w:rPr>
                <w:sz w:val="20"/>
                <w:szCs w:val="20"/>
                <w:color w:val="auto"/>
              </w:rPr>
            </w:pPr>
            <w:r>
              <w:rPr>
                <w:rFonts w:ascii="Arial" w:cs="Arial" w:eastAsia="Arial" w:hAnsi="Arial"/>
                <w:sz w:val="19"/>
                <w:szCs w:val="19"/>
                <w:color w:val="auto"/>
              </w:rPr>
              <w:t xml:space="preserve">Wink to Webster Pipeline LLC </w:t>
            </w:r>
            <w:r>
              <w:rPr>
                <w:rFonts w:ascii="Arial" w:cs="Arial" w:eastAsia="Arial" w:hAnsi="Arial"/>
                <w:sz w:val="25"/>
                <w:szCs w:val="25"/>
                <w:color w:val="auto"/>
                <w:vertAlign w:val="superscript"/>
              </w:rPr>
              <w:t>(3)</w:t>
            </w:r>
          </w:p>
        </w:tc>
        <w:tc>
          <w:tcPr>
            <w:tcW w:w="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5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-2086610</wp:posOffset>
            </wp:positionV>
            <wp:extent cx="6376670" cy="2170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extLst>
                    </a:blip>
                    <a:srcRect/>
                    <a:stretch>
                      <a:fillRect/>
                    </a:stretch>
                  </pic:blipFill>
                  <pic:spPr bwMode="auto">
                    <a:xfrm>
                      <a:off x="0" y="0"/>
                      <a:ext cx="6376670" cy="2170430"/>
                    </a:xfrm>
                    <a:prstGeom prst="rect">
                      <a:avLst/>
                    </a:prstGeom>
                    <a:noFill/>
                  </pic:spPr>
                </pic:pic>
              </a:graphicData>
            </a:graphic>
          </wp:anchor>
        </w:drawing>
      </w:r>
    </w:p>
    <w:p>
      <w:pPr>
        <w:sectPr>
          <w:pgSz w:w="11880" w:h="15480" w:orient="portrait"/>
          <w:cols w:equalWidth="0" w:num="1">
            <w:col w:w="10001"/>
          </w:cols>
          <w:pgMar w:left="939" w:top="669" w:right="940" w:bottom="0" w:gutter="0" w:footer="0" w:header="0"/>
        </w:sectPr>
      </w:pPr>
    </w:p>
    <w:p>
      <w:pPr>
        <w:spacing w:after="0" w:line="257" w:lineRule="exact"/>
        <w:rPr>
          <w:sz w:val="20"/>
          <w:szCs w:val="20"/>
          <w:color w:val="auto"/>
        </w:rPr>
      </w:pPr>
    </w:p>
    <w:p>
      <w:pPr>
        <w:ind w:left="1"/>
        <w:spacing w:after="0"/>
        <w:rPr>
          <w:sz w:val="20"/>
          <w:szCs w:val="20"/>
          <w:color w:val="auto"/>
        </w:rPr>
      </w:pPr>
      <w:r>
        <w:rPr>
          <w:rFonts w:ascii="Arial" w:cs="Arial" w:eastAsia="Arial" w:hAnsi="Arial"/>
          <w:sz w:val="11"/>
          <w:szCs w:val="11"/>
          <w:color w:val="auto"/>
        </w:rPr>
        <w:t>(1)</w:t>
      </w:r>
    </w:p>
    <w:p>
      <w:pPr>
        <w:spacing w:after="0" w:line="224" w:lineRule="exact"/>
        <w:rPr>
          <w:sz w:val="20"/>
          <w:szCs w:val="20"/>
          <w:color w:val="auto"/>
        </w:rPr>
      </w:pPr>
    </w:p>
    <w:p>
      <w:pPr>
        <w:ind w:left="1"/>
        <w:spacing w:after="0"/>
        <w:rPr>
          <w:sz w:val="20"/>
          <w:szCs w:val="20"/>
          <w:color w:val="auto"/>
        </w:rPr>
      </w:pPr>
      <w:r>
        <w:rPr>
          <w:rFonts w:ascii="Arial" w:cs="Arial" w:eastAsia="Arial" w:hAnsi="Arial"/>
          <w:sz w:val="11"/>
          <w:szCs w:val="11"/>
          <w:color w:val="auto"/>
        </w:rPr>
        <w:t>(2)</w:t>
      </w:r>
    </w:p>
    <w:p>
      <w:pPr>
        <w:spacing w:after="0" w:line="224" w:lineRule="exact"/>
        <w:rPr>
          <w:sz w:val="20"/>
          <w:szCs w:val="20"/>
          <w:color w:val="auto"/>
        </w:rPr>
      </w:pPr>
    </w:p>
    <w:p>
      <w:pPr>
        <w:ind w:left="1"/>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color w:val="auto"/>
        </w:rPr>
        <w:t>Assets are operated by Plains.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We consolidate the entity based on control, with our partner’s interest accounted for as a noncontrolling interest.</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Entity owns a UJI in the crude oil pipeline.</w:t>
      </w:r>
    </w:p>
    <w:p>
      <w:pPr>
        <w:spacing w:after="0" w:line="200" w:lineRule="exact"/>
        <w:rPr>
          <w:sz w:val="20"/>
          <w:szCs w:val="20"/>
          <w:color w:val="auto"/>
        </w:rPr>
      </w:pPr>
    </w:p>
    <w:p>
      <w:pPr>
        <w:sectPr>
          <w:pgSz w:w="11880" w:h="15480" w:orient="portrait"/>
          <w:cols w:equalWidth="0" w:num="2">
            <w:col w:w="141" w:space="560"/>
            <w:col w:w="9300"/>
          </w:cols>
          <w:pgMar w:left="939" w:top="669" w:right="940" w:bottom="0" w:gutter="0" w:footer="0" w:header="0"/>
          <w:type w:val="continuous"/>
        </w:sectPr>
      </w:pPr>
    </w:p>
    <w:p>
      <w:pPr>
        <w:spacing w:after="0" w:line="166" w:lineRule="exact"/>
        <w:rPr>
          <w:sz w:val="20"/>
          <w:szCs w:val="20"/>
          <w:color w:val="auto"/>
        </w:rPr>
      </w:pPr>
    </w:p>
    <w:p>
      <w:pPr>
        <w:ind w:left="1" w:right="500" w:firstLine="702"/>
        <w:spacing w:after="0" w:line="295" w:lineRule="auto"/>
        <w:rPr>
          <w:sz w:val="20"/>
          <w:szCs w:val="20"/>
          <w:color w:val="auto"/>
        </w:rPr>
      </w:pPr>
      <w:r>
        <w:rPr>
          <w:rFonts w:ascii="Arial" w:cs="Arial" w:eastAsia="Arial" w:hAnsi="Arial"/>
          <w:sz w:val="19"/>
          <w:szCs w:val="19"/>
          <w:color w:val="auto"/>
        </w:rPr>
        <w:t>The following table summarizes our significant UJIs as of December 31, 2023, excluding UJIs that are indirectly owned by us through joint ventures (e.g., Wink to Webster, Saddlehorn and Red River joint ventures):</w:t>
      </w:r>
    </w:p>
    <w:p>
      <w:pPr>
        <w:sectPr>
          <w:pgSz w:w="11880" w:h="15480" w:orient="portrait"/>
          <w:cols w:equalWidth="0" w:num="1">
            <w:col w:w="10001"/>
          </w:cols>
          <w:pgMar w:left="939" w:top="669" w:right="940" w:bottom="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101"/>
        <w:spacing w:after="0"/>
        <w:rPr>
          <w:sz w:val="20"/>
          <w:szCs w:val="20"/>
          <w:color w:val="auto"/>
        </w:rPr>
      </w:pPr>
      <w:r>
        <w:rPr>
          <w:rFonts w:ascii="Arial" w:cs="Arial" w:eastAsia="Arial" w:hAnsi="Arial"/>
          <w:sz w:val="16"/>
          <w:szCs w:val="16"/>
          <w:b w:val="1"/>
          <w:bCs w:val="1"/>
          <w:color w:val="auto"/>
        </w:rPr>
        <w:t>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11430</wp:posOffset>
            </wp:positionV>
            <wp:extent cx="6311900" cy="953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6311900" cy="953770"/>
                    </a:xfrm>
                    <a:prstGeom prst="rect">
                      <a:avLst/>
                    </a:prstGeom>
                    <a:noFill/>
                  </pic:spPr>
                </pic:pic>
              </a:graphicData>
            </a:graphic>
          </wp:anchor>
        </w:drawing>
      </w:r>
    </w:p>
    <w:p>
      <w:pPr>
        <w:spacing w:after="0" w:line="25" w:lineRule="exact"/>
        <w:rPr>
          <w:sz w:val="20"/>
          <w:szCs w:val="20"/>
          <w:color w:val="auto"/>
        </w:rPr>
      </w:pPr>
    </w:p>
    <w:p>
      <w:pPr>
        <w:ind w:left="101"/>
        <w:spacing w:after="0"/>
        <w:rPr>
          <w:sz w:val="20"/>
          <w:szCs w:val="20"/>
          <w:color w:val="auto"/>
        </w:rPr>
      </w:pPr>
      <w:r>
        <w:rPr>
          <w:rFonts w:ascii="Arial" w:cs="Arial" w:eastAsia="Arial" w:hAnsi="Arial"/>
          <w:sz w:val="19"/>
          <w:szCs w:val="19"/>
          <w:color w:val="auto"/>
        </w:rPr>
        <w:t xml:space="preserve">Basin Pipeline </w:t>
      </w:r>
      <w:r>
        <w:rPr>
          <w:rFonts w:ascii="Arial" w:cs="Arial" w:eastAsia="Arial" w:hAnsi="Arial"/>
          <w:sz w:val="25"/>
          <w:szCs w:val="25"/>
          <w:color w:val="auto"/>
          <w:vertAlign w:val="superscript"/>
        </w:rPr>
        <w:t>(1)</w:t>
      </w:r>
    </w:p>
    <w:p>
      <w:pPr>
        <w:spacing w:after="0" w:line="6" w:lineRule="exact"/>
        <w:rPr>
          <w:sz w:val="20"/>
          <w:szCs w:val="20"/>
          <w:color w:val="auto"/>
        </w:rPr>
      </w:pPr>
    </w:p>
    <w:p>
      <w:pPr>
        <w:ind w:left="101"/>
        <w:spacing w:after="0"/>
        <w:rPr>
          <w:sz w:val="20"/>
          <w:szCs w:val="20"/>
          <w:color w:val="auto"/>
        </w:rPr>
      </w:pPr>
      <w:r>
        <w:rPr>
          <w:rFonts w:ascii="Arial" w:cs="Arial" w:eastAsia="Arial" w:hAnsi="Arial"/>
          <w:sz w:val="19"/>
          <w:szCs w:val="19"/>
          <w:color w:val="auto"/>
        </w:rPr>
        <w:t xml:space="preserve">Fort Saskatchewan NGL Storage </w:t>
      </w:r>
      <w:r>
        <w:rPr>
          <w:rFonts w:ascii="Arial" w:cs="Arial" w:eastAsia="Arial" w:hAnsi="Arial"/>
          <w:sz w:val="25"/>
          <w:szCs w:val="25"/>
          <w:color w:val="auto"/>
          <w:vertAlign w:val="superscript"/>
        </w:rPr>
        <w:t>(2)</w:t>
      </w:r>
    </w:p>
    <w:p>
      <w:pPr>
        <w:spacing w:after="0" w:line="5" w:lineRule="exact"/>
        <w:rPr>
          <w:sz w:val="20"/>
          <w:szCs w:val="20"/>
          <w:color w:val="auto"/>
        </w:rPr>
      </w:pPr>
    </w:p>
    <w:p>
      <w:pPr>
        <w:ind w:left="101"/>
        <w:spacing w:after="0"/>
        <w:rPr>
          <w:sz w:val="20"/>
          <w:szCs w:val="20"/>
          <w:color w:val="auto"/>
        </w:rPr>
      </w:pPr>
      <w:r>
        <w:rPr>
          <w:rFonts w:ascii="Arial" w:cs="Arial" w:eastAsia="Arial" w:hAnsi="Arial"/>
          <w:sz w:val="19"/>
          <w:szCs w:val="19"/>
          <w:color w:val="auto"/>
        </w:rPr>
        <w:t xml:space="preserve">Kerrobert Storage and Pipeline Assets </w:t>
      </w:r>
      <w:r>
        <w:rPr>
          <w:rFonts w:ascii="Arial" w:cs="Arial" w:eastAsia="Arial" w:hAnsi="Arial"/>
          <w:sz w:val="25"/>
          <w:szCs w:val="25"/>
          <w:color w:val="auto"/>
          <w:vertAlign w:val="superscript"/>
        </w:rPr>
        <w:t>(1)</w:t>
      </w:r>
    </w:p>
    <w:p>
      <w:pPr>
        <w:spacing w:after="0" w:line="5" w:lineRule="exact"/>
        <w:rPr>
          <w:sz w:val="20"/>
          <w:szCs w:val="20"/>
          <w:color w:val="auto"/>
        </w:rPr>
      </w:pPr>
    </w:p>
    <w:p>
      <w:pPr>
        <w:ind w:left="101"/>
        <w:spacing w:after="0"/>
        <w:rPr>
          <w:sz w:val="20"/>
          <w:szCs w:val="20"/>
          <w:color w:val="auto"/>
        </w:rPr>
      </w:pPr>
      <w:r>
        <w:rPr>
          <w:rFonts w:ascii="Arial" w:cs="Arial" w:eastAsia="Arial" w:hAnsi="Arial"/>
          <w:sz w:val="19"/>
          <w:szCs w:val="19"/>
          <w:color w:val="auto"/>
        </w:rPr>
        <w:t xml:space="preserve">Sarnia NGL Storage and Fractionation </w:t>
      </w:r>
      <w:r>
        <w:rPr>
          <w:rFonts w:ascii="Arial" w:cs="Arial" w:eastAsia="Arial" w:hAnsi="Arial"/>
          <w:sz w:val="25"/>
          <w:szCs w:val="25"/>
          <w:color w:val="auto"/>
          <w:vertAlign w:val="superscript"/>
        </w:rPr>
        <w:t>(2)</w:t>
      </w:r>
    </w:p>
    <w:p>
      <w:pPr>
        <w:spacing w:after="0" w:line="5" w:lineRule="exact"/>
        <w:rPr>
          <w:sz w:val="20"/>
          <w:szCs w:val="20"/>
          <w:color w:val="auto"/>
        </w:rPr>
      </w:pPr>
    </w:p>
    <w:p>
      <w:pPr>
        <w:ind w:left="101"/>
        <w:spacing w:after="0"/>
        <w:rPr>
          <w:sz w:val="20"/>
          <w:szCs w:val="20"/>
          <w:color w:val="auto"/>
        </w:rPr>
      </w:pPr>
      <w:r>
        <w:rPr>
          <w:rFonts w:ascii="Arial" w:cs="Arial" w:eastAsia="Arial" w:hAnsi="Arial"/>
          <w:sz w:val="19"/>
          <w:szCs w:val="19"/>
          <w:color w:val="auto"/>
        </w:rPr>
        <w:t xml:space="preserve">Sunrise II Pipeline </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106045</wp:posOffset>
                </wp:positionV>
                <wp:extent cx="219075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07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35pt" to="172.5pt,8.35pt" o:allowincell="f" strokecolor="#000000" strokeweight="1pt"/>
            </w:pict>
          </mc:Fallback>
        </mc:AlternateContent>
      </w:r>
    </w:p>
    <w:p>
      <w:pPr>
        <w:spacing w:after="0" w:line="267" w:lineRule="exact"/>
        <w:rPr>
          <w:sz w:val="20"/>
          <w:szCs w:val="20"/>
          <w:color w:val="auto"/>
        </w:rPr>
      </w:pPr>
    </w:p>
    <w:p>
      <w:pPr>
        <w:ind w:left="701" w:hanging="701"/>
        <w:spacing w:after="0"/>
        <w:tabs>
          <w:tab w:leader="none" w:pos="701" w:val="left"/>
        </w:tabs>
        <w:numPr>
          <w:ilvl w:val="0"/>
          <w:numId w:val="18"/>
        </w:numPr>
        <w:rPr>
          <w:rFonts w:ascii="Arial" w:cs="Arial" w:eastAsia="Arial" w:hAnsi="Arial"/>
          <w:sz w:val="25"/>
          <w:szCs w:val="25"/>
          <w:color w:val="auto"/>
          <w:vertAlign w:val="superscript"/>
        </w:rPr>
      </w:pPr>
      <w:r>
        <w:rPr>
          <w:rFonts w:ascii="Arial" w:cs="Arial" w:eastAsia="Arial" w:hAnsi="Arial"/>
          <w:sz w:val="19"/>
          <w:szCs w:val="19"/>
          <w:color w:val="auto"/>
        </w:rPr>
        <w:t>Asset is operated by Plains.</w:t>
      </w:r>
    </w:p>
    <w:p>
      <w:pPr>
        <w:spacing w:after="0" w:line="97" w:lineRule="exact"/>
        <w:rPr>
          <w:rFonts w:ascii="Arial" w:cs="Arial" w:eastAsia="Arial" w:hAnsi="Arial"/>
          <w:sz w:val="25"/>
          <w:szCs w:val="25"/>
          <w:color w:val="auto"/>
          <w:vertAlign w:val="superscript"/>
        </w:rPr>
      </w:pPr>
    </w:p>
    <w:p>
      <w:pPr>
        <w:ind w:left="701" w:hanging="701"/>
        <w:spacing w:after="0"/>
        <w:tabs>
          <w:tab w:leader="none" w:pos="701"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Certain of these assets are operated by Plains.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Type of</w:t>
            </w: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UJI</w:t>
            </w:r>
          </w:p>
        </w:tc>
        <w:tc>
          <w:tcPr>
            <w:tcW w:w="0" w:type="dxa"/>
            <w:vAlign w:val="bottom"/>
          </w:tcPr>
          <w:p>
            <w:pPr>
              <w:spacing w:after="0"/>
              <w:rPr>
                <w:sz w:val="1"/>
                <w:szCs w:val="1"/>
                <w:color w:val="auto"/>
              </w:rPr>
            </w:pPr>
          </w:p>
        </w:tc>
      </w:tr>
      <w:tr>
        <w:trPr>
          <w:trHeight w:val="156"/>
        </w:trPr>
        <w:tc>
          <w:tcPr>
            <w:tcW w:w="2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center"/>
              <w:spacing w:after="0" w:line="156" w:lineRule="exact"/>
              <w:rPr>
                <w:sz w:val="20"/>
                <w:szCs w:val="20"/>
                <w:color w:val="auto"/>
              </w:rPr>
            </w:pPr>
            <w:r>
              <w:rPr>
                <w:rFonts w:ascii="Arial" w:cs="Arial" w:eastAsia="Arial" w:hAnsi="Arial"/>
                <w:sz w:val="16"/>
                <w:szCs w:val="16"/>
                <w:b w:val="1"/>
                <w:bCs w:val="1"/>
                <w:color w:val="auto"/>
                <w:w w:val="89"/>
              </w:rPr>
              <w:t>Ownership</w:t>
            </w:r>
          </w:p>
        </w:tc>
        <w:tc>
          <w:tcPr>
            <w:tcW w:w="0" w:type="dxa"/>
            <w:vAlign w:val="bottom"/>
          </w:tcPr>
          <w:p>
            <w:pPr>
              <w:spacing w:after="0"/>
              <w:rPr>
                <w:sz w:val="1"/>
                <w:szCs w:val="1"/>
                <w:color w:val="auto"/>
              </w:rPr>
            </w:pPr>
          </w:p>
        </w:tc>
      </w:tr>
      <w:tr>
        <w:trPr>
          <w:trHeight w:val="209"/>
        </w:trPr>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Operation</w:t>
            </w:r>
          </w:p>
        </w:tc>
        <w:tc>
          <w:tcPr>
            <w:tcW w:w="8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Percentage</w:t>
            </w:r>
          </w:p>
        </w:tc>
        <w:tc>
          <w:tcPr>
            <w:tcW w:w="0" w:type="dxa"/>
            <w:vAlign w:val="bottom"/>
          </w:tcPr>
          <w:p>
            <w:pPr>
              <w:spacing w:after="0"/>
              <w:rPr>
                <w:sz w:val="1"/>
                <w:szCs w:val="1"/>
                <w:color w:val="auto"/>
              </w:rPr>
            </w:pPr>
          </w:p>
        </w:tc>
      </w:tr>
      <w:tr>
        <w:trPr>
          <w:trHeight w:val="269"/>
        </w:trPr>
        <w:tc>
          <w:tcPr>
            <w:tcW w:w="234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5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87%</w:t>
            </w:r>
          </w:p>
        </w:tc>
        <w:tc>
          <w:tcPr>
            <w:tcW w:w="0" w:type="dxa"/>
            <w:vAlign w:val="bottom"/>
          </w:tcPr>
          <w:p>
            <w:pPr>
              <w:spacing w:after="0"/>
              <w:rPr>
                <w:sz w:val="1"/>
                <w:szCs w:val="1"/>
                <w:color w:val="auto"/>
              </w:rPr>
            </w:pPr>
          </w:p>
        </w:tc>
      </w:tr>
      <w:tr>
        <w:trPr>
          <w:trHeight w:val="292"/>
        </w:trPr>
        <w:tc>
          <w:tcPr>
            <w:tcW w:w="2340" w:type="dxa"/>
            <w:vAlign w:val="bottom"/>
          </w:tcPr>
          <w:p>
            <w:pPr>
              <w:jc w:val="center"/>
              <w:spacing w:after="0"/>
              <w:rPr>
                <w:sz w:val="20"/>
                <w:szCs w:val="20"/>
                <w:color w:val="auto"/>
              </w:rPr>
            </w:pPr>
            <w:r>
              <w:rPr>
                <w:rFonts w:ascii="Arial" w:cs="Arial" w:eastAsia="Arial" w:hAnsi="Arial"/>
                <w:sz w:val="19"/>
                <w:szCs w:val="19"/>
                <w:color w:val="auto"/>
              </w:rPr>
              <w:t>NGL Facility</w:t>
            </w:r>
          </w:p>
        </w:tc>
        <w:tc>
          <w:tcPr>
            <w:tcW w:w="15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48%</w:t>
            </w:r>
          </w:p>
        </w:tc>
        <w:tc>
          <w:tcPr>
            <w:tcW w:w="0" w:type="dxa"/>
            <w:vAlign w:val="bottom"/>
          </w:tcPr>
          <w:p>
            <w:pPr>
              <w:spacing w:after="0"/>
              <w:rPr>
                <w:sz w:val="1"/>
                <w:szCs w:val="1"/>
                <w:color w:val="auto"/>
              </w:rPr>
            </w:pPr>
          </w:p>
        </w:tc>
      </w:tr>
      <w:tr>
        <w:trPr>
          <w:trHeight w:val="292"/>
        </w:trPr>
        <w:tc>
          <w:tcPr>
            <w:tcW w:w="2340" w:type="dxa"/>
            <w:vAlign w:val="bottom"/>
          </w:tcPr>
          <w:p>
            <w:pPr>
              <w:jc w:val="center"/>
              <w:spacing w:after="0"/>
              <w:rPr>
                <w:sz w:val="20"/>
                <w:szCs w:val="20"/>
                <w:color w:val="auto"/>
              </w:rPr>
            </w:pPr>
            <w:r>
              <w:rPr>
                <w:rFonts w:ascii="Arial" w:cs="Arial" w:eastAsia="Arial" w:hAnsi="Arial"/>
                <w:sz w:val="19"/>
                <w:szCs w:val="19"/>
                <w:color w:val="auto"/>
                <w:w w:val="96"/>
              </w:rPr>
              <w:t>NGL Pipeline and Facility</w:t>
            </w:r>
          </w:p>
        </w:tc>
        <w:tc>
          <w:tcPr>
            <w:tcW w:w="15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50%</w:t>
            </w:r>
          </w:p>
        </w:tc>
        <w:tc>
          <w:tcPr>
            <w:tcW w:w="0" w:type="dxa"/>
            <w:vAlign w:val="bottom"/>
          </w:tcPr>
          <w:p>
            <w:pPr>
              <w:spacing w:after="0"/>
              <w:rPr>
                <w:sz w:val="1"/>
                <w:szCs w:val="1"/>
                <w:color w:val="auto"/>
              </w:rPr>
            </w:pPr>
          </w:p>
        </w:tc>
      </w:tr>
      <w:tr>
        <w:trPr>
          <w:trHeight w:val="292"/>
        </w:trPr>
        <w:tc>
          <w:tcPr>
            <w:tcW w:w="2340" w:type="dxa"/>
            <w:vAlign w:val="bottom"/>
          </w:tcPr>
          <w:p>
            <w:pPr>
              <w:jc w:val="center"/>
              <w:spacing w:after="0"/>
              <w:rPr>
                <w:sz w:val="20"/>
                <w:szCs w:val="20"/>
                <w:color w:val="auto"/>
              </w:rPr>
            </w:pPr>
            <w:r>
              <w:rPr>
                <w:rFonts w:ascii="Arial" w:cs="Arial" w:eastAsia="Arial" w:hAnsi="Arial"/>
                <w:sz w:val="19"/>
                <w:szCs w:val="19"/>
                <w:color w:val="auto"/>
              </w:rPr>
              <w:t>NGL Facility</w:t>
            </w:r>
          </w:p>
        </w:tc>
        <w:tc>
          <w:tcPr>
            <w:tcW w:w="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9"/>
                <w:szCs w:val="19"/>
                <w:color w:val="auto"/>
                <w:w w:val="93"/>
              </w:rPr>
              <w:t>61% to 85%</w:t>
            </w:r>
          </w:p>
        </w:tc>
        <w:tc>
          <w:tcPr>
            <w:tcW w:w="0" w:type="dxa"/>
            <w:vAlign w:val="bottom"/>
          </w:tcPr>
          <w:p>
            <w:pPr>
              <w:spacing w:after="0"/>
              <w:rPr>
                <w:sz w:val="1"/>
                <w:szCs w:val="1"/>
                <w:color w:val="auto"/>
              </w:rPr>
            </w:pPr>
          </w:p>
        </w:tc>
      </w:tr>
      <w:tr>
        <w:trPr>
          <w:trHeight w:val="292"/>
        </w:trPr>
        <w:tc>
          <w:tcPr>
            <w:tcW w:w="234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5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80%</w:t>
            </w:r>
          </w:p>
        </w:tc>
        <w:tc>
          <w:tcPr>
            <w:tcW w:w="0" w:type="dxa"/>
            <w:vAlign w:val="bottom"/>
          </w:tcPr>
          <w:p>
            <w:pPr>
              <w:spacing w:after="0"/>
              <w:rPr>
                <w:sz w:val="1"/>
                <w:szCs w:val="1"/>
                <w:color w:val="auto"/>
              </w:rPr>
            </w:pPr>
          </w:p>
        </w:tc>
      </w:tr>
    </w:tbl>
    <w:p>
      <w:pPr>
        <w:spacing w:after="0" w:line="1141" w:lineRule="exact"/>
        <w:rPr>
          <w:sz w:val="20"/>
          <w:szCs w:val="20"/>
          <w:color w:val="auto"/>
        </w:rPr>
      </w:pPr>
    </w:p>
    <w:p>
      <w:pPr>
        <w:sectPr>
          <w:pgSz w:w="11880" w:h="15480" w:orient="portrait"/>
          <w:cols w:equalWidth="0" w:num="2">
            <w:col w:w="5361" w:space="720"/>
            <w:col w:w="3920"/>
          </w:cols>
          <w:pgMar w:left="939" w:top="669"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10001"/>
          </w:cols>
          <w:pgMar w:left="939" w:top="669" w:right="940" w:bottom="0" w:gutter="0" w:footer="0" w:header="0"/>
          <w:type w:val="continuous"/>
        </w:sectPr>
      </w:pPr>
    </w:p>
    <w:bookmarkStart w:id="22" w:name="page23"/>
    <w:bookmarkEnd w:id="22"/>
    <w:p>
      <w:pPr>
        <w:spacing w:after="0"/>
        <w:rPr>
          <w:sz w:val="20"/>
          <w:szCs w:val="20"/>
          <w:color w:val="auto"/>
        </w:rPr>
      </w:pPr>
      <w:r>
        <w:rPr>
          <w:rFonts w:ascii="Arial" w:cs="Arial" w:eastAsia="Arial" w:hAnsi="Arial"/>
          <w:sz w:val="19"/>
          <w:szCs w:val="19"/>
          <w:b w:val="1"/>
          <w:bCs w:val="1"/>
          <w:i w:val="1"/>
          <w:iCs w:val="1"/>
          <w:color w:val="auto"/>
        </w:rPr>
        <w:t>Acquisitions and Divestitures</w:t>
      </w:r>
    </w:p>
    <w:p>
      <w:pPr>
        <w:spacing w:after="0" w:line="257" w:lineRule="exact"/>
        <w:rPr>
          <w:sz w:val="20"/>
          <w:szCs w:val="20"/>
          <w:color w:val="auto"/>
        </w:rPr>
      </w:pPr>
    </w:p>
    <w:p>
      <w:pPr>
        <w:ind w:right="40" w:firstLine="702"/>
        <w:spacing w:after="0" w:line="261" w:lineRule="auto"/>
        <w:rPr>
          <w:sz w:val="20"/>
          <w:szCs w:val="20"/>
          <w:color w:val="auto"/>
        </w:rPr>
      </w:pPr>
      <w:r>
        <w:rPr>
          <w:rFonts w:ascii="Arial" w:cs="Arial" w:eastAsia="Arial" w:hAnsi="Arial"/>
          <w:sz w:val="19"/>
          <w:szCs w:val="19"/>
          <w:color w:val="auto"/>
        </w:rPr>
        <w:t>Since PAA’s initial public offering in 1998, the acquisition of midstream assets and businesses has been an important component of our business strategy. On a regular basis, we selectively analyze and pursue the acquisition of assets and businesses that are strategic and complementary to our existing operations. We also routinely review our asset portfolio to evaluate potential sales of non-core assets and/or sales of partial interests in assets to strategic joint venture partners to optimize our asset portfolio and strengthen our balance sheet and leverage metrics. For example, from 2016 through December 31, 2023, we have completed several acquisitions for an aggregate of approximately $2.7 billion (which figure excludes the value of our Permian JV formed in October 2021), and we have completed asset sales and sales of partial interests in assets to strategic joint venture partners totaling more than $4.9 billion. See Note 7 to our Consolidated Financial Statements for 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Capital Projects</w:t>
      </w:r>
    </w:p>
    <w:p>
      <w:pPr>
        <w:spacing w:after="0" w:line="257" w:lineRule="exact"/>
        <w:rPr>
          <w:sz w:val="20"/>
          <w:szCs w:val="20"/>
          <w:color w:val="auto"/>
        </w:rPr>
      </w:pPr>
    </w:p>
    <w:p>
      <w:pPr>
        <w:jc w:val="both"/>
        <w:ind w:right="40" w:firstLine="702"/>
        <w:spacing w:after="0" w:line="269" w:lineRule="auto"/>
        <w:rPr>
          <w:sz w:val="20"/>
          <w:szCs w:val="20"/>
          <w:color w:val="auto"/>
        </w:rPr>
      </w:pPr>
      <w:r>
        <w:rPr>
          <w:rFonts w:ascii="Arial" w:cs="Arial" w:eastAsia="Arial" w:hAnsi="Arial"/>
          <w:sz w:val="19"/>
          <w:szCs w:val="19"/>
          <w:color w:val="auto"/>
        </w:rPr>
        <w:t>Our extensive asset base and our relationships with long-term industry partners across the value chain provide us with opportunities for organic growth through the construction of additional assets that are complementary to, and expand or extend, our existing asset base. Our 2024 capital plan consists of capital-efficient, highly contracted projects that help address industry needs.</w:t>
      </w:r>
    </w:p>
    <w:p>
      <w:pPr>
        <w:spacing w:after="0" w:line="190" w:lineRule="exact"/>
        <w:rPr>
          <w:sz w:val="20"/>
          <w:szCs w:val="20"/>
          <w:color w:val="auto"/>
        </w:rPr>
      </w:pPr>
    </w:p>
    <w:p>
      <w:pPr>
        <w:ind w:right="80" w:firstLine="702"/>
        <w:spacing w:after="0" w:line="264" w:lineRule="auto"/>
        <w:rPr>
          <w:sz w:val="20"/>
          <w:szCs w:val="20"/>
          <w:color w:val="auto"/>
        </w:rPr>
      </w:pPr>
      <w:r>
        <w:rPr>
          <w:rFonts w:ascii="Arial" w:cs="Arial" w:eastAsia="Arial" w:hAnsi="Arial"/>
          <w:sz w:val="19"/>
          <w:szCs w:val="19"/>
          <w:color w:val="auto"/>
        </w:rPr>
        <w:t>Total investment capital for the year ending December 31, 2024 is currently projected to be approximately $465 million ($375 million net to our interest), of which over half is expected to be associated with the Permian JV. Additionally, maintenance capital for 2024 is currently projected to be approximately $250 million ($230 million net to our interest). Note that potential variation to current capital cost estimates may result from (i) changes to project design, (ii) final cost of materials and labor and (iii) timing of incurrence of costs due to uncontrollable factors such as receipt of permits or regulatory approvals and weather.</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Regulation</w:t>
      </w:r>
    </w:p>
    <w:p>
      <w:pPr>
        <w:spacing w:after="0" w:line="257" w:lineRule="exact"/>
        <w:rPr>
          <w:sz w:val="20"/>
          <w:szCs w:val="20"/>
          <w:color w:val="auto"/>
        </w:rPr>
      </w:pPr>
    </w:p>
    <w:p>
      <w:pPr>
        <w:ind w:firstLine="702"/>
        <w:spacing w:after="0" w:line="292" w:lineRule="auto"/>
        <w:rPr>
          <w:sz w:val="20"/>
          <w:szCs w:val="20"/>
          <w:color w:val="auto"/>
        </w:rPr>
      </w:pPr>
      <w:r>
        <w:rPr>
          <w:rFonts w:ascii="Arial" w:cs="Arial" w:eastAsia="Arial" w:hAnsi="Arial"/>
          <w:sz w:val="17"/>
          <w:szCs w:val="17"/>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energy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Factors—Risks Related to Laws and Regulations Impacting PAA’s Business—PAA’s operations are subject to laws and regulations relating to protection of the environment (people, property and natural resources), operational safety, climate change and related matters that may expose it to significant costs and liabilities. The current laws and regulations affecting PAA’s business are subject to change and in the future PAA may be subject to additional laws, executive orders and regulations, which could adversely impact PAA’s business.”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w:t>
      </w:r>
    </w:p>
    <w:p>
      <w:pPr>
        <w:spacing w:after="0" w:line="180" w:lineRule="exact"/>
        <w:rPr>
          <w:sz w:val="20"/>
          <w:szCs w:val="20"/>
          <w:color w:val="auto"/>
        </w:rPr>
      </w:pPr>
    </w:p>
    <w:p>
      <w:pPr>
        <w:ind w:right="140" w:firstLine="702"/>
        <w:spacing w:after="0" w:line="276" w:lineRule="auto"/>
        <w:rPr>
          <w:sz w:val="20"/>
          <w:szCs w:val="20"/>
          <w:color w:val="auto"/>
        </w:rPr>
      </w:pPr>
      <w:r>
        <w:rPr>
          <w:rFonts w:ascii="Arial" w:cs="Arial" w:eastAsia="Arial" w:hAnsi="Arial"/>
          <w:sz w:val="19"/>
          <w:szCs w:val="19"/>
          <w:color w:val="auto"/>
        </w:rPr>
        <w:t>The following is a summary of certain, but not all, of the laws and regulations affecting our operations. Unless the context requires otherwise, references herein to our “facilities” includes all of the pipelines, terminals, storage and other assets owned by us.</w:t>
      </w:r>
    </w:p>
    <w:p>
      <w:pPr>
        <w:sectPr>
          <w:pgSz w:w="11880" w:h="15480" w:orient="portrait"/>
          <w:cols w:equalWidth="0" w:num="1">
            <w:col w:w="9980"/>
          </w:cols>
          <w:pgMar w:left="940" w:top="66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9980"/>
          </w:cols>
          <w:pgMar w:left="940" w:top="669" w:right="960" w:bottom="0" w:gutter="0" w:footer="0" w:header="0"/>
          <w:type w:val="continuous"/>
        </w:sectPr>
      </w:pPr>
    </w:p>
    <w:bookmarkStart w:id="23" w:name="page24"/>
    <w:bookmarkEnd w:id="23"/>
    <w:p>
      <w:pPr>
        <w:spacing w:after="0"/>
        <w:rPr>
          <w:sz w:val="20"/>
          <w:szCs w:val="20"/>
          <w:color w:val="auto"/>
        </w:rPr>
      </w:pPr>
      <w:r>
        <w:rPr>
          <w:rFonts w:ascii="Arial" w:cs="Arial" w:eastAsia="Arial" w:hAnsi="Arial"/>
          <w:sz w:val="19"/>
          <w:szCs w:val="19"/>
          <w:b w:val="1"/>
          <w:bCs w:val="1"/>
          <w:i w:val="1"/>
          <w:iCs w:val="1"/>
          <w:color w:val="auto"/>
        </w:rPr>
        <w:t>Health, Safety and Environmental Regulation</w:t>
      </w:r>
    </w:p>
    <w:p>
      <w:pPr>
        <w:spacing w:after="0" w:line="249"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General</w:t>
      </w:r>
    </w:p>
    <w:p>
      <w:pPr>
        <w:spacing w:after="0" w:line="257" w:lineRule="exact"/>
        <w:rPr>
          <w:sz w:val="20"/>
          <w:szCs w:val="20"/>
          <w:color w:val="auto"/>
        </w:rPr>
      </w:pPr>
    </w:p>
    <w:p>
      <w:pPr>
        <w:ind w:right="60" w:firstLine="702"/>
        <w:spacing w:after="0" w:line="291" w:lineRule="auto"/>
        <w:rPr>
          <w:sz w:val="20"/>
          <w:szCs w:val="20"/>
          <w:color w:val="auto"/>
        </w:rPr>
      </w:pPr>
      <w:r>
        <w:rPr>
          <w:rFonts w:ascii="Arial" w:cs="Arial" w:eastAsia="Arial" w:hAnsi="Arial"/>
          <w:sz w:val="17"/>
          <w:szCs w:val="17"/>
          <w:color w:val="auto"/>
        </w:rPr>
        <w:t>Our operations involving the storage, treatment, processing and transportation of liquid and gaseous hydrocarbons, including crude oil and NGL, are subject to stringent federal, state, provincial and local laws and regulations governing the discharge of materials into the environment or otherwise relating to protection of the environment and natural resources, operational safety and related matters.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or remedial obligations or the incurrence of capital expenditures, imposition of restrictions, delays or cancellations in the permitting or performance of projects, and the issuance of injunctions or other orders that may subject us to additional operational constraints or costs.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or other materials into the environment could, to the extent such event is not insured, subject us to substantial expense, including the cost to respond, repair and remediate any impact from releases, the cost to comply with applicable laws and regulations and liabilities or costs arising out of any claims made by third parties. The following is a summary of some of the environmental, health and safety laws and regulations to which our operations are subject.</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Pipeline Safety/Integrity Management</w:t>
      </w:r>
    </w:p>
    <w:p>
      <w:pPr>
        <w:spacing w:after="0" w:line="257" w:lineRule="exact"/>
        <w:rPr>
          <w:sz w:val="20"/>
          <w:szCs w:val="20"/>
          <w:color w:val="auto"/>
        </w:rPr>
      </w:pPr>
    </w:p>
    <w:p>
      <w:pPr>
        <w:ind w:right="80" w:firstLine="702"/>
        <w:spacing w:after="0" w:line="276" w:lineRule="auto"/>
        <w:rPr>
          <w:sz w:val="20"/>
          <w:szCs w:val="20"/>
          <w:color w:val="auto"/>
        </w:rPr>
      </w:pPr>
      <w:r>
        <w:rPr>
          <w:rFonts w:ascii="Arial" w:cs="Arial" w:eastAsia="Arial" w:hAnsi="Arial"/>
          <w:sz w:val="18"/>
          <w:szCs w:val="18"/>
          <w:color w:val="auto"/>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with respect to crude oil and NGL.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Our operations in Canada are also subject to comparable regulations promulgated by the Canada Energy Regulator (“CER”) and provincial regulators and agencies.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United States</w:t>
      </w:r>
    </w:p>
    <w:p>
      <w:pPr>
        <w:spacing w:after="0" w:line="257" w:lineRule="exact"/>
        <w:rPr>
          <w:sz w:val="20"/>
          <w:szCs w:val="20"/>
          <w:color w:val="auto"/>
        </w:rPr>
      </w:pPr>
    </w:p>
    <w:p>
      <w:pPr>
        <w:ind w:firstLine="702"/>
        <w:spacing w:after="0" w:line="276" w:lineRule="auto"/>
        <w:rPr>
          <w:sz w:val="20"/>
          <w:szCs w:val="20"/>
          <w:color w:val="auto"/>
        </w:rPr>
      </w:pPr>
      <w:r>
        <w:rPr>
          <w:rFonts w:ascii="Arial" w:cs="Arial" w:eastAsia="Arial" w:hAnsi="Arial"/>
          <w:sz w:val="18"/>
          <w:szCs w:val="18"/>
          <w:color w:val="auto"/>
        </w:rPr>
        <w:t>Pursuant to the authority under the HLPSA, as amended from time to time, PHMSA has promulgated regulations that require transportation pipeline operators to implement integrity management programs, including frequent inspections, correction of certain identified anomalies and other measures, to ensure pipeline safety in locations where a pipeline leak or rupture could affect high risk areas known as high consequence areas (“HCAs”). The HCAs for crude oil and NGL pipelines are based on high population areas, areas unusually sensitive to environmental damage, and commercially navigable waterways. In the United States, our costs associated with the inspection, testing and correction of identified anomalies were approximately $33 million in 2023. Based on currently available information, our preliminary estimate for 2024 is that we will incur approximately $40 million in expenditures associated with our required pipeline integrity management program. However,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$12 million in 2023, and our preliminary estimate for 2024 is that we will incur approximately $20 million of such costs.</w:t>
      </w:r>
    </w:p>
    <w:p>
      <w:pPr>
        <w:spacing w:after="0" w:line="185" w:lineRule="exact"/>
        <w:rPr>
          <w:sz w:val="20"/>
          <w:szCs w:val="20"/>
          <w:color w:val="auto"/>
        </w:rPr>
      </w:pPr>
    </w:p>
    <w:p>
      <w:pPr>
        <w:ind w:right="60" w:firstLine="702"/>
        <w:spacing w:after="0" w:line="269" w:lineRule="auto"/>
        <w:rPr>
          <w:sz w:val="20"/>
          <w:szCs w:val="20"/>
          <w:color w:val="auto"/>
        </w:rPr>
      </w:pPr>
      <w:r>
        <w:rPr>
          <w:rFonts w:ascii="Arial" w:cs="Arial" w:eastAsia="Arial" w:hAnsi="Arial"/>
          <w:sz w:val="19"/>
          <w:szCs w:val="19"/>
          <w:color w:val="auto"/>
        </w:rPr>
        <w:t>U.S. federal legislation has resulted in more stringent mandates for pipeline safety and PHMSA has been charged with developing and adopting regulations that impose increased pipeline safety requirements on pipeline operators. In particular, Congress has amended the HLPSA several times over the past decade and to the extent those regulations impose practices that exceed our operating standards, they increase our cost to operate.</w:t>
      </w:r>
    </w:p>
    <w:p>
      <w:pPr>
        <w:spacing w:after="0" w:line="190" w:lineRule="exact"/>
        <w:rPr>
          <w:sz w:val="20"/>
          <w:szCs w:val="20"/>
          <w:color w:val="auto"/>
        </w:rPr>
      </w:pPr>
    </w:p>
    <w:p>
      <w:pPr>
        <w:ind w:right="120" w:firstLine="702"/>
        <w:spacing w:after="0" w:line="323" w:lineRule="auto"/>
        <w:rPr>
          <w:sz w:val="20"/>
          <w:szCs w:val="20"/>
          <w:color w:val="auto"/>
        </w:rPr>
      </w:pPr>
      <w:r>
        <w:rPr>
          <w:rFonts w:ascii="Arial" w:cs="Arial" w:eastAsia="Arial" w:hAnsi="Arial"/>
          <w:sz w:val="17"/>
          <w:szCs w:val="17"/>
          <w:color w:val="auto"/>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sectPr>
          <w:pgSz w:w="11880" w:h="15480" w:orient="portrait"/>
          <w:cols w:equalWidth="0" w:num="1">
            <w:col w:w="10000"/>
          </w:cols>
          <w:pgMar w:left="940" w:top="669" w:right="940" w:bottom="0" w:gutter="0" w:footer="0" w:header="0"/>
        </w:sect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10000"/>
          </w:cols>
          <w:pgMar w:left="940" w:top="669" w:right="940" w:bottom="0" w:gutter="0" w:footer="0" w:header="0"/>
          <w:type w:val="continuous"/>
        </w:sectPr>
      </w:pPr>
    </w:p>
    <w:bookmarkStart w:id="24" w:name="page25"/>
    <w:bookmarkEnd w:id="24"/>
    <w:p>
      <w:pPr>
        <w:ind w:right="100" w:firstLine="702"/>
        <w:spacing w:after="0" w:line="263" w:lineRule="auto"/>
        <w:rPr>
          <w:sz w:val="20"/>
          <w:szCs w:val="20"/>
          <w:color w:val="auto"/>
        </w:rPr>
      </w:pPr>
      <w:r>
        <w:rPr>
          <w:rFonts w:ascii="Arial" w:cs="Arial" w:eastAsia="Arial" w:hAnsi="Arial"/>
          <w:sz w:val="19"/>
          <w:szCs w:val="19"/>
          <w:color w:val="auto"/>
        </w:rPr>
        <w:t>The DOT has also generally adopted American Petroleum Institute Standard (“API”) 653 as the standard for the inspection, repair, alteration and reconstruction of above ground petroleum storage tanks subject to DOT jurisdiction. API 653 requires regularly scheduled inspection and repair of tanks remaining in service. In the United States, our costs associated with this program were $31 million in 2023. For 2024, we have budgeted approximately $45 million in connection with continued compliance activities with respect to API 653 and similar new EPA regulations for tanks not regulated by the DOT. Certain storage tanks may be taken out of service if we believe the cost of compliance will exceed the value of the storage tanks and replacement tankage may be constructed.</w:t>
      </w:r>
    </w:p>
    <w:p>
      <w:pPr>
        <w:spacing w:after="0" w:line="196" w:lineRule="exact"/>
        <w:rPr>
          <w:sz w:val="20"/>
          <w:szCs w:val="20"/>
          <w:color w:val="auto"/>
        </w:rPr>
      </w:pPr>
    </w:p>
    <w:p>
      <w:pPr>
        <w:ind w:right="60" w:firstLine="702"/>
        <w:spacing w:after="0" w:line="264" w:lineRule="auto"/>
        <w:rPr>
          <w:sz w:val="20"/>
          <w:szCs w:val="20"/>
          <w:color w:val="auto"/>
        </w:rPr>
      </w:pPr>
      <w:r>
        <w:rPr>
          <w:rFonts w:ascii="Arial" w:cs="Arial" w:eastAsia="Arial" w:hAnsi="Arial"/>
          <w:sz w:val="19"/>
          <w:szCs w:val="19"/>
          <w:color w:val="auto"/>
        </w:rPr>
        <w:t>Our operations are also subject to state pipeline safety and integrity regulations. For example, to protect state waters and wildlife, California has adopted legislation that requires operators of hazardous liquid pipelines located near environmentally and ecologically sensitive areas to use best available technologies to minimize the amount of oil released in an oil spill. These technologies include, but are not limited to, installation of leak detection technologies, automatic shutoff systems, or remote controlled sectionalized block valves. Our pipeline operations in California implemented certain of these technologies in 2023.</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Canada</w:t>
      </w:r>
    </w:p>
    <w:p>
      <w:pPr>
        <w:spacing w:after="0" w:line="257" w:lineRule="exact"/>
        <w:rPr>
          <w:sz w:val="20"/>
          <w:szCs w:val="20"/>
          <w:color w:val="auto"/>
        </w:rPr>
      </w:pPr>
    </w:p>
    <w:p>
      <w:pPr>
        <w:ind w:right="80" w:firstLine="702"/>
        <w:spacing w:after="0" w:line="264" w:lineRule="auto"/>
        <w:rPr>
          <w:sz w:val="20"/>
          <w:szCs w:val="20"/>
          <w:color w:val="auto"/>
        </w:rPr>
      </w:pPr>
      <w:r>
        <w:rPr>
          <w:rFonts w:ascii="Arial" w:cs="Arial" w:eastAsia="Arial" w:hAnsi="Arial"/>
          <w:sz w:val="19"/>
          <w:szCs w:val="19"/>
          <w:color w:val="auto"/>
        </w:rPr>
        <w:t>In Canada, the CER and provincial regulators regulate the safety and integrity management of pipelines and facilities used for hydrocarbon transmission and storage. We have incurred and will continue to incur costs related to compliance with such regulatory requirements. For example, we continue to implement Pipeline, Facility and Cavern Integrity Management Programs in Canada to comply with applicable regulatory requirements and assist in our efforts to mitigate risk. Costs incurred for such integrity management activities were approximately $94 million in 2023. Our preliminary estimate for 2024 is approximately $105 million of costs on such projects.</w:t>
      </w:r>
    </w:p>
    <w:p>
      <w:pPr>
        <w:spacing w:after="0" w:line="196" w:lineRule="exact"/>
        <w:rPr>
          <w:sz w:val="20"/>
          <w:szCs w:val="20"/>
          <w:color w:val="auto"/>
        </w:rPr>
      </w:pPr>
    </w:p>
    <w:p>
      <w:pPr>
        <w:ind w:right="80" w:firstLine="702"/>
        <w:spacing w:after="0" w:line="298" w:lineRule="auto"/>
        <w:rPr>
          <w:sz w:val="20"/>
          <w:szCs w:val="20"/>
          <w:color w:val="auto"/>
        </w:rPr>
      </w:pPr>
      <w:r>
        <w:rPr>
          <w:rFonts w:ascii="Arial" w:cs="Arial" w:eastAsia="Arial" w:hAnsi="Arial"/>
          <w:sz w:val="18"/>
          <w:szCs w:val="18"/>
          <w:color w:val="auto"/>
        </w:rPr>
        <w:t>We cannot predict the potential costs associated with additional, future regulations in Canada or the United States. Significant additional expenses could be incurred, and additional operational requirements and constraints could be imposed, if new or more stringently interpreted pipeline safety and integrity management requirements are implemented.</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Occupational Safety and Health</w:t>
      </w:r>
    </w:p>
    <w:p>
      <w:pPr>
        <w:spacing w:after="0" w:line="249"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United States</w:t>
      </w:r>
    </w:p>
    <w:p>
      <w:pPr>
        <w:spacing w:after="0" w:line="257" w:lineRule="exact"/>
        <w:rPr>
          <w:sz w:val="20"/>
          <w:szCs w:val="20"/>
          <w:color w:val="auto"/>
        </w:rPr>
      </w:pPr>
    </w:p>
    <w:p>
      <w:pPr>
        <w:ind w:right="120" w:firstLine="702"/>
        <w:spacing w:after="0" w:line="297" w:lineRule="auto"/>
        <w:rPr>
          <w:sz w:val="20"/>
          <w:szCs w:val="20"/>
          <w:color w:val="auto"/>
        </w:rPr>
      </w:pPr>
      <w:r>
        <w:rPr>
          <w:rFonts w:ascii="Arial" w:cs="Arial" w:eastAsia="Arial" w:hAnsi="Arial"/>
          <w:sz w:val="17"/>
          <w:szCs w:val="17"/>
          <w:color w:val="auto"/>
        </w:rPr>
        <w:t>In the United States, we are subject to the requirements of the Occupational Safety and Health Act, as amended, and comparable state statutes that regulate the protection of the health and safety of workers. In addition, the U.S. Occupational Safety and Health Administration (“OSHA”) hazard communication standard requires that certain information be maintained about hazardous materials used or produced in operations and that this information be provided to employees, state and local government authorities and citizens. Certain of our facilities are also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Canada</w:t>
      </w:r>
    </w:p>
    <w:p>
      <w:pPr>
        <w:spacing w:after="0" w:line="257" w:lineRule="exact"/>
        <w:rPr>
          <w:sz w:val="20"/>
          <w:szCs w:val="20"/>
          <w:color w:val="auto"/>
        </w:rPr>
      </w:pPr>
    </w:p>
    <w:p>
      <w:pPr>
        <w:ind w:firstLine="702"/>
        <w:spacing w:after="0" w:line="264" w:lineRule="auto"/>
        <w:rPr>
          <w:sz w:val="20"/>
          <w:szCs w:val="20"/>
          <w:color w:val="auto"/>
        </w:rPr>
      </w:pPr>
      <w:r>
        <w:rPr>
          <w:rFonts w:ascii="Arial" w:cs="Arial" w:eastAsia="Arial" w:hAnsi="Arial"/>
          <w:sz w:val="19"/>
          <w:szCs w:val="19"/>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violations without the company first being prosecuted. Additionally, under the Criminal Code of Canada, organizations, corporations and individuals may be prosecuted criminally for violating the duty to protect employees and the public.</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Solid Waste</w:t>
      </w:r>
    </w:p>
    <w:p>
      <w:pPr>
        <w:spacing w:after="0" w:line="257" w:lineRule="exact"/>
        <w:rPr>
          <w:sz w:val="20"/>
          <w:szCs w:val="20"/>
          <w:color w:val="auto"/>
        </w:rPr>
      </w:pPr>
    </w:p>
    <w:p>
      <w:pPr>
        <w:ind w:right="80" w:firstLine="702"/>
        <w:spacing w:after="0" w:line="282" w:lineRule="auto"/>
        <w:rPr>
          <w:sz w:val="20"/>
          <w:szCs w:val="20"/>
          <w:color w:val="auto"/>
        </w:rPr>
      </w:pPr>
      <w:r>
        <w:rPr>
          <w:rFonts w:ascii="Arial" w:cs="Arial" w:eastAsia="Arial" w:hAnsi="Arial"/>
          <w:sz w:val="18"/>
          <w:szCs w:val="18"/>
          <w:color w:val="auto"/>
        </w:rPr>
        <w:t>We generate wastes, including hazardous wastes, that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the exclusion for oil and gas waste under RCRA may be revisited and our wastes may become subject to more rigorous and costly disposal requirements, resulting in additional capital expenditures or operating expenses.</w:t>
      </w:r>
    </w:p>
    <w:p>
      <w:pPr>
        <w:sectPr>
          <w:pgSz w:w="11880" w:h="15480" w:orient="portrait"/>
          <w:cols w:equalWidth="0" w:num="1">
            <w:col w:w="9980"/>
          </w:cols>
          <w:pgMar w:left="940" w:top="910" w:right="960" w:bottom="0" w:gutter="0" w:footer="0" w:header="0"/>
        </w:sect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9980"/>
          </w:cols>
          <w:pgMar w:left="940" w:top="910" w:right="960" w:bottom="0" w:gutter="0" w:footer="0" w:header="0"/>
          <w:type w:val="continuous"/>
        </w:sectPr>
      </w:pPr>
    </w:p>
    <w:bookmarkStart w:id="25" w:name="page26"/>
    <w:bookmarkEnd w:id="25"/>
    <w:p>
      <w:pPr>
        <w:ind w:left="700"/>
        <w:spacing w:after="0"/>
        <w:rPr>
          <w:sz w:val="20"/>
          <w:szCs w:val="20"/>
          <w:color w:val="auto"/>
        </w:rPr>
      </w:pPr>
      <w:r>
        <w:rPr>
          <w:rFonts w:ascii="Arial" w:cs="Arial" w:eastAsia="Arial" w:hAnsi="Arial"/>
          <w:sz w:val="19"/>
          <w:szCs w:val="19"/>
          <w:b w:val="1"/>
          <w:bCs w:val="1"/>
          <w:color w:val="auto"/>
        </w:rPr>
        <w:t>Hazardous Substances</w:t>
      </w:r>
    </w:p>
    <w:p>
      <w:pPr>
        <w:spacing w:after="0" w:line="257" w:lineRule="exact"/>
        <w:rPr>
          <w:sz w:val="20"/>
          <w:szCs w:val="20"/>
          <w:color w:val="auto"/>
        </w:rPr>
      </w:pPr>
    </w:p>
    <w:p>
      <w:pPr>
        <w:ind w:firstLine="702"/>
        <w:spacing w:after="0" w:line="261" w:lineRule="auto"/>
        <w:rPr>
          <w:sz w:val="20"/>
          <w:szCs w:val="20"/>
          <w:color w:val="auto"/>
        </w:rPr>
      </w:pPr>
      <w:r>
        <w:rPr>
          <w:rFonts w:ascii="Arial" w:cs="Arial" w:eastAsia="Arial" w:hAnsi="Arial"/>
          <w:sz w:val="19"/>
          <w:szCs w:val="19"/>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w:t>
      </w:r>
    </w:p>
    <w:p>
      <w:pPr>
        <w:spacing w:after="0" w:line="198" w:lineRule="exact"/>
        <w:rPr>
          <w:sz w:val="20"/>
          <w:szCs w:val="20"/>
          <w:color w:val="auto"/>
        </w:rPr>
      </w:pPr>
    </w:p>
    <w:p>
      <w:pPr>
        <w:ind w:right="20" w:firstLine="702"/>
        <w:spacing w:after="0" w:line="289" w:lineRule="auto"/>
        <w:rPr>
          <w:sz w:val="20"/>
          <w:szCs w:val="20"/>
          <w:color w:val="auto"/>
        </w:rPr>
      </w:pPr>
      <w:r>
        <w:rPr>
          <w:rFonts w:ascii="Arial" w:cs="Arial" w:eastAsia="Arial" w:hAnsi="Arial"/>
          <w:sz w:val="18"/>
          <w:szCs w:val="18"/>
          <w:color w:val="auto"/>
        </w:rPr>
        <w:t>We are subject to the Environmental Protection Agency’s (“EPA”) Risk Management Plan regulations at certain facilities. These regulations are intended to work with OSHA’s PSM regulations to minimize the offsite consequences of catastrophic releases. The regulations require us to develop and implement a risk management program that includes a five-year accident history, an offsite consequence analysis process, a prevention program and an emergency response program.</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Environmental Remediation</w:t>
      </w:r>
    </w:p>
    <w:p>
      <w:pPr>
        <w:spacing w:after="0" w:line="257" w:lineRule="exact"/>
        <w:rPr>
          <w:sz w:val="20"/>
          <w:szCs w:val="20"/>
          <w:color w:val="auto"/>
        </w:rPr>
      </w:pPr>
    </w:p>
    <w:p>
      <w:pPr>
        <w:ind w:firstLine="702"/>
        <w:spacing w:after="0" w:line="266" w:lineRule="auto"/>
        <w:rPr>
          <w:sz w:val="20"/>
          <w:szCs w:val="20"/>
          <w:color w:val="auto"/>
        </w:rPr>
      </w:pPr>
      <w:r>
        <w:rPr>
          <w:rFonts w:ascii="Arial" w:cs="Arial" w:eastAsia="Arial" w:hAnsi="Arial"/>
          <w:sz w:val="19"/>
          <w:szCs w:val="19"/>
          <w:color w:val="auto"/>
        </w:rPr>
        <w:t>We currently own or lease, and in the past have owned or leased, properties where potentially hazardous liquids, including hydrocarbons, are or have been handled. These properties may be subject to CERCLA, RCRA and state and Canadian federal and provincial laws and regulations. Under such laws and regulations, we could be required to remove or remediate potentially hazardous liquids or associated wastes (including wastes disposed of or released by prior owners or operators) and to clean up contaminated property (including contaminated groundwater).</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Air Emissions</w:t>
      </w:r>
    </w:p>
    <w:p>
      <w:pPr>
        <w:spacing w:after="0" w:line="257" w:lineRule="exact"/>
        <w:rPr>
          <w:sz w:val="20"/>
          <w:szCs w:val="20"/>
          <w:color w:val="auto"/>
        </w:rPr>
      </w:pPr>
    </w:p>
    <w:p>
      <w:pPr>
        <w:jc w:val="both"/>
        <w:ind w:right="100" w:firstLine="702"/>
        <w:spacing w:after="0" w:line="276" w:lineRule="auto"/>
        <w:rPr>
          <w:sz w:val="20"/>
          <w:szCs w:val="20"/>
          <w:color w:val="auto"/>
        </w:rPr>
      </w:pPr>
      <w:r>
        <w:rPr>
          <w:rFonts w:ascii="Arial" w:cs="Arial" w:eastAsia="Arial" w:hAnsi="Arial"/>
          <w:sz w:val="19"/>
          <w:szCs w:val="19"/>
          <w:color w:val="auto"/>
        </w:rPr>
        <w:t>Our United States operations are subject to the United States Clean Air Act (“Clean Air Act” or “CAA”), comparable state laws and associated federal, state and local regulations. Our Canadian operations are also subject to federal and provincial air emission regulations, which are discussed in subsequent sections.</w:t>
      </w:r>
    </w:p>
    <w:p>
      <w:pPr>
        <w:spacing w:after="0" w:line="182" w:lineRule="exact"/>
        <w:rPr>
          <w:sz w:val="20"/>
          <w:szCs w:val="20"/>
          <w:color w:val="auto"/>
        </w:rPr>
      </w:pPr>
    </w:p>
    <w:p>
      <w:pPr>
        <w:ind w:right="20" w:firstLine="702"/>
        <w:spacing w:after="0" w:line="284" w:lineRule="auto"/>
        <w:rPr>
          <w:sz w:val="20"/>
          <w:szCs w:val="20"/>
          <w:color w:val="auto"/>
        </w:rPr>
      </w:pPr>
      <w:r>
        <w:rPr>
          <w:rFonts w:ascii="Arial" w:cs="Arial" w:eastAsia="Arial" w:hAnsi="Arial"/>
          <w:sz w:val="18"/>
          <w:szCs w:val="18"/>
          <w:color w:val="auto"/>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Climate Change Initiatives</w:t>
      </w:r>
    </w:p>
    <w:p>
      <w:pPr>
        <w:spacing w:after="0" w:line="249"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United States</w:t>
      </w:r>
    </w:p>
    <w:p>
      <w:pPr>
        <w:spacing w:after="0" w:line="257" w:lineRule="exact"/>
        <w:rPr>
          <w:sz w:val="20"/>
          <w:szCs w:val="20"/>
          <w:color w:val="auto"/>
        </w:rPr>
      </w:pPr>
    </w:p>
    <w:p>
      <w:pPr>
        <w:ind w:right="180" w:firstLine="702"/>
        <w:spacing w:after="0" w:line="280" w:lineRule="auto"/>
        <w:rPr>
          <w:sz w:val="20"/>
          <w:szCs w:val="20"/>
          <w:color w:val="auto"/>
        </w:rPr>
      </w:pPr>
      <w:r>
        <w:rPr>
          <w:rFonts w:ascii="Arial" w:cs="Arial" w:eastAsia="Arial" w:hAnsi="Arial"/>
          <w:sz w:val="18"/>
          <w:szCs w:val="18"/>
          <w:color w:val="auto"/>
        </w:rPr>
        <w:t>The threat of climate change continues to attract considerable attention in the United States and around the world. Numerous proposals have been made and could continue to be made at the international, national, regional and state levels of government to monitor and limit emissions of carbon dioxide, methane and other greenhouse gases (“GHG”). These efforts have included consideration of cap-and-trade programs, carbon taxes, climate-related disclosure obligations, and regulations that directly limit GHG emissions from certain sources. These proposals and related legislation could increase operating costs within the oil and gas industry and accelerate the transition away from fossil fuels, which could in turn reduce demand for our products and services and adversely affect our business and results of operations.</w:t>
      </w:r>
    </w:p>
    <w:p>
      <w:pPr>
        <w:sectPr>
          <w:pgSz w:w="11880" w:h="15480" w:orient="portrait"/>
          <w:cols w:equalWidth="0" w:num="1">
            <w:col w:w="10000"/>
          </w:cols>
          <w:pgMar w:left="940" w:top="90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10000"/>
          </w:cols>
          <w:pgMar w:left="940" w:top="903" w:right="940" w:bottom="0" w:gutter="0" w:footer="0" w:header="0"/>
          <w:type w:val="continuous"/>
        </w:sectPr>
      </w:pPr>
    </w:p>
    <w:bookmarkStart w:id="26" w:name="page27"/>
    <w:bookmarkEnd w:id="26"/>
    <w:p>
      <w:pPr>
        <w:ind w:firstLine="702"/>
        <w:spacing w:after="0" w:line="293" w:lineRule="auto"/>
        <w:rPr>
          <w:sz w:val="20"/>
          <w:szCs w:val="20"/>
          <w:color w:val="auto"/>
        </w:rPr>
      </w:pPr>
      <w:r>
        <w:rPr>
          <w:rFonts w:ascii="Arial" w:cs="Arial" w:eastAsia="Arial" w:hAnsi="Arial"/>
          <w:sz w:val="17"/>
          <w:szCs w:val="17"/>
          <w:color w:val="auto"/>
        </w:rPr>
        <w:t>In addition, following the U.S. Supreme Court finding that GHG emissions constitute a pollutant under the CAA, the EPA has adopted rules and regulations that, among other things, establish construction and operating permit reviews for GHG emissions from certain large stationary sources, require the monitoring and annual reporting of GHG emissions from certain petroleum and gas system sources, and impose new standards reducing methane emissions from oil and gas operations through limitations on venting and flaring and the implementation of enhanced emission leak detection and repair requirements. For 2023, two of our facilities were subject to the federal GHG reporting requirements. These include facilities with combustion GHG emissions and potential fugitive emissions above the reporting thresholds. We import sufficient quantities of finished fuel products into the United States to be required to report that activity as well. In recent years, there has been considerable uncertainty surrounding regulation of methane emissions. For example, President Biden issued an executive order calling on the EPA to revisit federal regulations promulgated during the Trump Administration regarding methane and establish new or more stringent standards for existing or new sources in the oil and gas sector, including the transmission and storage segments, and he signed into law a revocation of certain parts of the Trump-era rules. Separately, the Bureau of Land Management (“BLM”) has also proposed rules to limit venting, flaring, and methane leaks for oil and gas operations on federal lands.</w:t>
      </w:r>
    </w:p>
    <w:p>
      <w:pPr>
        <w:spacing w:after="0" w:line="173" w:lineRule="exact"/>
        <w:rPr>
          <w:sz w:val="20"/>
          <w:szCs w:val="20"/>
          <w:color w:val="auto"/>
        </w:rPr>
      </w:pPr>
    </w:p>
    <w:p>
      <w:pPr>
        <w:ind w:right="60" w:firstLine="702"/>
        <w:spacing w:after="0" w:line="276" w:lineRule="auto"/>
        <w:rPr>
          <w:sz w:val="20"/>
          <w:szCs w:val="20"/>
          <w:color w:val="auto"/>
        </w:rPr>
      </w:pPr>
      <w:r>
        <w:rPr>
          <w:rFonts w:ascii="Arial" w:cs="Arial" w:eastAsia="Arial" w:hAnsi="Arial"/>
          <w:sz w:val="19"/>
          <w:szCs w:val="19"/>
          <w:color w:val="auto"/>
        </w:rPr>
        <w:t>At the state level, California has implemented a GHG cap-and-trade program. California finished fuels providers, including Plains Marketing and Plains Midstream Canada, are required to purchase GHG emission credits for finished fuel sold in or imported into California.</w:t>
      </w:r>
    </w:p>
    <w:p>
      <w:pPr>
        <w:spacing w:after="0" w:line="182" w:lineRule="exact"/>
        <w:rPr>
          <w:sz w:val="20"/>
          <w:szCs w:val="20"/>
          <w:color w:val="auto"/>
        </w:rPr>
      </w:pPr>
    </w:p>
    <w:p>
      <w:pPr>
        <w:ind w:right="240" w:firstLine="702"/>
        <w:spacing w:after="0" w:line="266" w:lineRule="auto"/>
        <w:rPr>
          <w:sz w:val="20"/>
          <w:szCs w:val="20"/>
          <w:color w:val="auto"/>
        </w:rPr>
      </w:pPr>
      <w:r>
        <w:rPr>
          <w:rFonts w:ascii="Arial" w:cs="Arial" w:eastAsia="Arial" w:hAnsi="Arial"/>
          <w:sz w:val="19"/>
          <w:szCs w:val="19"/>
          <w:color w:val="auto"/>
        </w:rPr>
        <w:t>Certain other states where we operate, such as Colorado, have also adopted, or are considering adopting, regulations related to GHG emissions. While it is not possible at this time to predict how federal or state governments may choose to regulate GHG emissions, any new regulatory restrictions on GHG emissions could result in material increased compliance costs, additional operating restrictions, an increase in the cost of feedstock and products produced by our refinery customers, and a reduced demand for petroleum-based fuels.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Canada</w:t>
      </w:r>
    </w:p>
    <w:p>
      <w:pPr>
        <w:spacing w:after="0" w:line="257" w:lineRule="exact"/>
        <w:rPr>
          <w:sz w:val="20"/>
          <w:szCs w:val="20"/>
          <w:color w:val="auto"/>
        </w:rPr>
      </w:pPr>
    </w:p>
    <w:p>
      <w:pPr>
        <w:ind w:right="240" w:firstLine="702"/>
        <w:spacing w:after="0" w:line="264" w:lineRule="auto"/>
        <w:rPr>
          <w:sz w:val="20"/>
          <w:szCs w:val="20"/>
          <w:color w:val="auto"/>
        </w:rPr>
      </w:pPr>
      <w:r>
        <w:rPr>
          <w:rFonts w:ascii="Arial" w:cs="Arial" w:eastAsia="Arial" w:hAnsi="Arial"/>
          <w:sz w:val="19"/>
          <w:szCs w:val="19"/>
          <w:color w:val="auto"/>
        </w:rPr>
        <w:t>Large emitters of GHG have been required to report their emissions under the Canadian Greenhouse Gas Emissions Reporting Program since 2004. Effective January 1, 2018, the Federal Department of Environment and Climate Change lowered the reporting threshold for all facilities from 50 thousand tonnes per year (“kt/y”) to 10 kt/y GHG emissions. Four of our facilities are currently required to prepare annual emissions reports. The associated cost of complying with this reporting requirement is not considered to be material. Several Canadian Provinces, including some in which we operate, have implemented additional climate-related initiatives and regulations.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Water</w:t>
      </w:r>
    </w:p>
    <w:p>
      <w:pPr>
        <w:spacing w:after="0" w:line="257" w:lineRule="exact"/>
        <w:rPr>
          <w:sz w:val="20"/>
          <w:szCs w:val="20"/>
          <w:color w:val="auto"/>
        </w:rPr>
      </w:pPr>
    </w:p>
    <w:p>
      <w:pPr>
        <w:ind w:right="360" w:firstLine="702"/>
        <w:spacing w:after="0" w:line="264" w:lineRule="auto"/>
        <w:rPr>
          <w:sz w:val="20"/>
          <w:szCs w:val="20"/>
          <w:color w:val="auto"/>
        </w:rPr>
      </w:pPr>
      <w:r>
        <w:rPr>
          <w:rFonts w:ascii="Arial" w:cs="Arial" w:eastAsia="Arial" w:hAnsi="Arial"/>
          <w:sz w:val="19"/>
          <w:szCs w:val="19"/>
          <w:color w:val="auto"/>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spacing w:after="0" w:line="196" w:lineRule="exact"/>
        <w:rPr>
          <w:sz w:val="20"/>
          <w:szCs w:val="20"/>
          <w:color w:val="auto"/>
        </w:rPr>
      </w:pPr>
    </w:p>
    <w:p>
      <w:pPr>
        <w:ind w:right="60" w:firstLine="702"/>
        <w:spacing w:after="0" w:line="266" w:lineRule="auto"/>
        <w:rPr>
          <w:sz w:val="20"/>
          <w:szCs w:val="20"/>
          <w:color w:val="auto"/>
        </w:rPr>
      </w:pPr>
      <w:r>
        <w:rPr>
          <w:rFonts w:ascii="Arial" w:cs="Arial" w:eastAsia="Arial" w:hAnsi="Arial"/>
          <w:sz w:val="19"/>
          <w:szCs w:val="19"/>
          <w:color w:val="auto"/>
        </w:rPr>
        <w:t>The U.S. Oil Pollution Act of 1990 (“OPA”) amended certain provisions of the CWA as they relate to the release of petroleum products into navigable waters. OPA subjects owners of facilities to strict, joint and potentially significant liability for containment and removal costs, natural resource damages and certain other consequences of an oil spill. State and Canadian federal and provincial laws also impose requirements relating to the prevention of oil releases and the remediation of impacted areas.</w:t>
      </w:r>
    </w:p>
    <w:p>
      <w:pPr>
        <w:spacing w:after="0" w:line="193" w:lineRule="exact"/>
        <w:rPr>
          <w:sz w:val="20"/>
          <w:szCs w:val="20"/>
          <w:color w:val="auto"/>
        </w:rPr>
      </w:pPr>
    </w:p>
    <w:p>
      <w:pPr>
        <w:ind w:right="60" w:firstLine="702"/>
        <w:spacing w:after="0" w:line="264" w:lineRule="auto"/>
        <w:rPr>
          <w:sz w:val="20"/>
          <w:szCs w:val="20"/>
          <w:color w:val="auto"/>
        </w:rPr>
      </w:pPr>
      <w:r>
        <w:rPr>
          <w:rFonts w:ascii="Arial" w:cs="Arial" w:eastAsia="Arial" w:hAnsi="Arial"/>
          <w:sz w:val="19"/>
          <w:szCs w:val="19"/>
          <w:color w:val="auto"/>
        </w:rPr>
        <w:t>The construction or expansion of pipelines often requires authorizations under the CWA, which authorizations may be subject to challenge. For over 35 years, the U.S. Army Corps of Engineers (the “Corps”) has authorized construction, maintenance and repair of pipelines under a streamlined nationwide permit program known as Nationwide Permit 12 (“NWP 12”). From time to time, environmental groups have challenged the use of NWP 12 for oil and gas pipeline projects. Due to these types of challenges along with new directives that come along with administrative changes, the Corps will review and make updates to their programs as well.</w:t>
      </w:r>
    </w:p>
    <w:p>
      <w:pPr>
        <w:sectPr>
          <w:pgSz w:w="11880" w:h="15480" w:orient="portrait"/>
          <w:cols w:equalWidth="0" w:num="1">
            <w:col w:w="10000"/>
          </w:cols>
          <w:pgMar w:left="940" w:top="67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10000"/>
          </w:cols>
          <w:pgMar w:left="940" w:top="676" w:right="940" w:bottom="0" w:gutter="0" w:footer="0" w:header="0"/>
          <w:type w:val="continuous"/>
        </w:sectPr>
      </w:pPr>
    </w:p>
    <w:bookmarkStart w:id="27" w:name="page28"/>
    <w:bookmarkEnd w:id="27"/>
    <w:p>
      <w:pPr>
        <w:ind w:firstLine="702"/>
        <w:spacing w:after="0" w:line="264" w:lineRule="auto"/>
        <w:rPr>
          <w:sz w:val="20"/>
          <w:szCs w:val="20"/>
          <w:color w:val="auto"/>
        </w:rPr>
      </w:pPr>
      <w:r>
        <w:rPr>
          <w:rFonts w:ascii="Arial" w:cs="Arial" w:eastAsia="Arial" w:hAnsi="Arial"/>
          <w:sz w:val="19"/>
          <w:szCs w:val="19"/>
          <w:color w:val="auto"/>
        </w:rPr>
        <w:t>In January 2021, the Corps published a reissuance of NWP 12, but this permit is being challenged in federal court on the same grounds that were litigated in an April 2020 case surrounding a failure to conduct Endangered Species Act consultations. In May 2022, the Corps announced it was beginning a formal review of NWP 12 and may make changes to the program. While the full extent and impact of these recent developments is unclear at this time, any disruption in our ability to obtain coverage under NWP 12 or other general permits may result in increased costs and project delays if we are forced to seek individual permits from the Corps.</w:t>
      </w:r>
    </w:p>
    <w:p>
      <w:pPr>
        <w:spacing w:after="0" w:line="196" w:lineRule="exact"/>
        <w:rPr>
          <w:sz w:val="20"/>
          <w:szCs w:val="20"/>
          <w:color w:val="auto"/>
        </w:rPr>
      </w:pPr>
    </w:p>
    <w:p>
      <w:pPr>
        <w:ind w:right="20" w:firstLine="702"/>
        <w:spacing w:after="0" w:line="290" w:lineRule="auto"/>
        <w:rPr>
          <w:sz w:val="20"/>
          <w:szCs w:val="20"/>
          <w:color w:val="auto"/>
        </w:rPr>
      </w:pPr>
      <w:r>
        <w:rPr>
          <w:rFonts w:ascii="Arial" w:cs="Arial" w:eastAsia="Arial" w:hAnsi="Arial"/>
          <w:sz w:val="17"/>
          <w:szCs w:val="17"/>
          <w:color w:val="auto"/>
        </w:rPr>
        <w:t xml:space="preserve">Also, there continues to be uncertainty on the federal government’s applicable jurisdictional reach under the Clean Water Act over waters of the United States (“WOTUS”), including wetlands. The EPA and the Corps recently published a final rule, which took effect on March 20, 2023, defining WOTUS according to the broader pre-2015 standards with additional updates to incorporate existing Supreme Court decisions and agency guidance. However, the new rule was quickly challenged, with the State of Texas and industry groups filing separate suits in federal court in Texas on January 18, 2023, and 24 other states commencing an action in North Dakota on February 16, 2023. At the time these cases were pending, the Supreme Court of the United States (“SCOTUS”) issued its decision in </w:t>
      </w:r>
      <w:r>
        <w:rPr>
          <w:rFonts w:ascii="Arial" w:cs="Arial" w:eastAsia="Arial" w:hAnsi="Arial"/>
          <w:sz w:val="17"/>
          <w:szCs w:val="17"/>
          <w:b w:val="1"/>
          <w:bCs w:val="1"/>
          <w:i w:val="1"/>
          <w:iCs w:val="1"/>
          <w:color w:val="auto"/>
        </w:rPr>
        <w:t>Sackett v. EPA</w:t>
      </w:r>
      <w:r>
        <w:rPr>
          <w:rFonts w:ascii="Arial" w:cs="Arial" w:eastAsia="Arial" w:hAnsi="Arial"/>
          <w:sz w:val="17"/>
          <w:szCs w:val="17"/>
          <w:color w:val="auto"/>
        </w:rPr>
        <w:t xml:space="preserve">, a case defining WOTUS and wetlands. On August 29, 2023, in response to SCOTUS’ decision, the EPA and Corps released a final rule amending the revised definition of WOTUS to be more in line with the </w:t>
      </w:r>
      <w:r>
        <w:rPr>
          <w:rFonts w:ascii="Arial" w:cs="Arial" w:eastAsia="Arial" w:hAnsi="Arial"/>
          <w:sz w:val="17"/>
          <w:szCs w:val="17"/>
          <w:b w:val="1"/>
          <w:bCs w:val="1"/>
          <w:i w:val="1"/>
          <w:iCs w:val="1"/>
          <w:color w:val="auto"/>
        </w:rPr>
        <w:t>Sackett</w:t>
      </w:r>
      <w:r>
        <w:rPr>
          <w:rFonts w:ascii="Arial" w:cs="Arial" w:eastAsia="Arial" w:hAnsi="Arial"/>
          <w:sz w:val="17"/>
          <w:szCs w:val="17"/>
          <w:color w:val="auto"/>
        </w:rPr>
        <w:t xml:space="preserve"> case. The Texas and North Dakota litigation are continuing with this revised definition of WOTUS as industry groups, states, and non-governmental organizations attempt to clarify the bounds of the new interpretation. In addition, the Corps is proposing to make revisions to their Ordinary High Water Mark (“OHWM”) Manual, a key technical document used by the Corps to make jurisdictional determinations. The request for comments on the manual were due back by December 1, 2023, and it is difficult at this time to judge how impactful any changes could be. It is anticipated the new OHWM Manual will come into effect mid-2024. In an April 2020 decision, </w:t>
      </w:r>
      <w:r>
        <w:rPr>
          <w:rFonts w:ascii="Arial" w:cs="Arial" w:eastAsia="Arial" w:hAnsi="Arial"/>
          <w:sz w:val="17"/>
          <w:szCs w:val="17"/>
          <w:b w:val="1"/>
          <w:bCs w:val="1"/>
          <w:i w:val="1"/>
          <w:iCs w:val="1"/>
          <w:color w:val="auto"/>
        </w:rPr>
        <w:t>Maui v. Hawaii Wildlife Fund</w:t>
      </w:r>
      <w:r>
        <w:rPr>
          <w:rFonts w:ascii="Arial" w:cs="Arial" w:eastAsia="Arial" w:hAnsi="Arial"/>
          <w:sz w:val="17"/>
          <w:szCs w:val="17"/>
          <w:color w:val="auto"/>
        </w:rPr>
        <w:t xml:space="preserve">, the SCOTUS held that, in certain cases, discharges from a point source to groundwater could fall within the scope of the CWA and require a permit. The Court rejected the EPA’s and Corps’ assertion that groundwater should be totally excluded from the CWA. In response to SCOTUS’ decision, EPA published a draft </w:t>
      </w:r>
      <w:r>
        <w:rPr>
          <w:rFonts w:ascii="Arial" w:cs="Arial" w:eastAsia="Arial" w:hAnsi="Arial"/>
          <w:sz w:val="17"/>
          <w:szCs w:val="17"/>
          <w:b w:val="1"/>
          <w:bCs w:val="1"/>
          <w:i w:val="1"/>
          <w:iCs w:val="1"/>
          <w:color w:val="auto"/>
        </w:rPr>
        <w:t>Maui</w:t>
      </w:r>
      <w:r>
        <w:rPr>
          <w:rFonts w:ascii="Arial" w:cs="Arial" w:eastAsia="Arial" w:hAnsi="Arial"/>
          <w:sz w:val="17"/>
          <w:szCs w:val="17"/>
          <w:color w:val="auto"/>
        </w:rPr>
        <w:t xml:space="preserve"> Guidance on November 27, 2023, with a comment deadline of December 27, 2023, which was intended to clarify when certain discharges to groundwater may require a CWA permit. Preliminarily, it appears that this draft guidance requires additional clarity and considerations to better understand permitting requirements specific to groundwater discharges. To the extent any new rule or judicial decision expands the scope of the CWA’s jurisdiction in areas where we or our customers conduct operations, such developments could delay, restrict or halt permitting or development of projects, result in longer permitting timelines, or increased compliance expenditures or mitigation costs for our and our customers’ operations, which may reduce the rate of production from operators.</w:t>
      </w:r>
    </w:p>
    <w:p>
      <w:pPr>
        <w:spacing w:after="0" w:line="200" w:lineRule="exact"/>
        <w:rPr>
          <w:sz w:val="20"/>
          <w:szCs w:val="20"/>
          <w:color w:val="auto"/>
        </w:rPr>
      </w:pPr>
    </w:p>
    <w:p>
      <w:pPr>
        <w:spacing w:after="0" w:line="212"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Endangered Species</w:t>
      </w:r>
    </w:p>
    <w:p>
      <w:pPr>
        <w:spacing w:after="0" w:line="257" w:lineRule="exact"/>
        <w:rPr>
          <w:sz w:val="20"/>
          <w:szCs w:val="20"/>
          <w:color w:val="auto"/>
        </w:rPr>
      </w:pPr>
    </w:p>
    <w:p>
      <w:pPr>
        <w:ind w:firstLine="702"/>
        <w:spacing w:after="0" w:line="296" w:lineRule="auto"/>
        <w:rPr>
          <w:sz w:val="20"/>
          <w:szCs w:val="20"/>
          <w:color w:val="auto"/>
        </w:rPr>
      </w:pPr>
      <w:r>
        <w:rPr>
          <w:rFonts w:ascii="Arial" w:cs="Arial" w:eastAsia="Arial" w:hAnsi="Arial"/>
          <w:sz w:val="17"/>
          <w:szCs w:val="17"/>
          <w:color w:val="auto"/>
        </w:rPr>
        <w:t>The federal Endangered Species Act (the “ESA”) and comparable state laws may restrict exploration, development and production activities that may affect endangered and threatened species or their habitats. The ESA provides broad protection for species of fish, wildlife and plants that are listed as threatened or endangered in the United States and prohibits the taking of protected species. Similar protections are offered to migratory birds under the Migratory Bird Treaty Act, Canada’s Species at Risk Act, and other analogous state and provincial laws and regulations. Under the ESA, federal agencies are required to ensure that any action authorized, funded or carried out by them is not likely to jeopardize the continued existence of listed or endangered species or modify their critical habitats. New projects may require approvals and environmental analysis under these and other laws, including the National Environmental Policy Act. The resulting costs and liabilities associated with lengthy regulatory review and approval requirements could materially and negatively affect the viability of such projects.</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Regulations</w:t>
      </w:r>
    </w:p>
    <w:p>
      <w:pPr>
        <w:spacing w:after="0" w:line="249"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Transportation Regulation</w:t>
      </w:r>
    </w:p>
    <w:p>
      <w:pPr>
        <w:spacing w:after="0" w:line="257" w:lineRule="exact"/>
        <w:rPr>
          <w:sz w:val="20"/>
          <w:szCs w:val="20"/>
          <w:color w:val="auto"/>
        </w:rPr>
      </w:pPr>
    </w:p>
    <w:p>
      <w:pPr>
        <w:ind w:right="20" w:firstLine="702"/>
        <w:spacing w:after="0" w:line="276" w:lineRule="auto"/>
        <w:rPr>
          <w:sz w:val="20"/>
          <w:szCs w:val="20"/>
          <w:color w:val="auto"/>
        </w:rPr>
      </w:pPr>
      <w:r>
        <w:rPr>
          <w:rFonts w:ascii="Arial" w:cs="Arial" w:eastAsia="Arial" w:hAnsi="Arial"/>
          <w:sz w:val="19"/>
          <w:szCs w:val="19"/>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180" w:lineRule="exact"/>
        <w:rPr>
          <w:sz w:val="20"/>
          <w:szCs w:val="20"/>
          <w:color w:val="auto"/>
        </w:rPr>
      </w:pPr>
    </w:p>
    <w:p>
      <w:pPr>
        <w:ind w:right="60" w:firstLine="702"/>
        <w:spacing w:after="0" w:line="299" w:lineRule="auto"/>
        <w:rPr>
          <w:sz w:val="20"/>
          <w:szCs w:val="20"/>
          <w:color w:val="auto"/>
        </w:rPr>
      </w:pPr>
      <w:r>
        <w:rPr>
          <w:rFonts w:ascii="Arial" w:cs="Arial" w:eastAsia="Arial" w:hAnsi="Arial"/>
          <w:sz w:val="17"/>
          <w:szCs w:val="17"/>
          <w:b w:val="1"/>
          <w:bCs w:val="1"/>
          <w:i w:val="1"/>
          <w:iCs w:val="1"/>
          <w:color w:val="auto"/>
        </w:rPr>
        <w:t xml:space="preserve">Interstate Liquids Regulation in the United States. </w:t>
      </w:r>
      <w:r>
        <w:rPr>
          <w:rFonts w:ascii="Arial" w:cs="Arial" w:eastAsia="Arial" w:hAnsi="Arial"/>
          <w:sz w:val="17"/>
          <w:szCs w:val="17"/>
          <w:color w:val="auto"/>
        </w:rPr>
        <w:t>Our common carrier pipeline operations with interstate movements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liquids are subject to rate regulation by the U.S. Federal Energy Regulatory Commission (“FERC”) under the Interstate Commerce Act (“ICA”). Unless covered by a waiver, the ICA requires that we maintain tariffs on file with FERC for interstate movements of liquids on our pipelines. Those tariffs set forth the rates we charge for providing transportation services as well as the rules and regulations governing these services. The ICA requires that tariff rates for liquids pipelines, which include both crude oil pipelines and petroleum products pipelines, be just and reasonable and not unduly discriminatory. Failure to comply with the requirements of the ICA could result in the imposition of civil or criminal penalties, as described below.</w:t>
      </w:r>
    </w:p>
    <w:p>
      <w:pPr>
        <w:sectPr>
          <w:pgSz w:w="11880" w:h="15480" w:orient="portrait"/>
          <w:cols w:equalWidth="0" w:num="1">
            <w:col w:w="10000"/>
          </w:cols>
          <w:pgMar w:left="940" w:top="676" w:right="94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10000"/>
          </w:cols>
          <w:pgMar w:left="940" w:top="676" w:right="940" w:bottom="0" w:gutter="0" w:footer="0" w:header="0"/>
          <w:type w:val="continuous"/>
        </w:sectPr>
      </w:pPr>
    </w:p>
    <w:bookmarkStart w:id="28" w:name="page29"/>
    <w:bookmarkEnd w:id="28"/>
    <w:p>
      <w:pPr>
        <w:ind w:firstLine="702"/>
        <w:spacing w:after="0" w:line="275" w:lineRule="auto"/>
        <w:rPr>
          <w:sz w:val="20"/>
          <w:szCs w:val="20"/>
          <w:color w:val="auto"/>
        </w:rPr>
      </w:pPr>
      <w:r>
        <w:rPr>
          <w:rFonts w:ascii="Arial" w:cs="Arial" w:eastAsia="Arial" w:hAnsi="Arial"/>
          <w:sz w:val="18"/>
          <w:szCs w:val="18"/>
          <w:color w:val="auto"/>
        </w:rPr>
        <w:t>Under the Energy Policy Act of 1992 (“EPAct”), liquids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liquids pipeline or in the nature of the services provided that were a basis for the rate. EPAct places no such limit on challenges to a provision of a liquids pipeline tariff rate or rules as unduly discriminatory or preferential. Many FERC-regulated liquids pipelines also use the FERC indexing methodology to change their rates. For those pipelines that use the FERC indexing methodology, FERC reviews the index formula every five years to determine whether a change in the methodology is required or, if not, to determine the appropriate index for the subsequent five-year period. On January 20, 2022, FERC issued an order on rehearing of its December 17, 2020 Order Establishing Index Level in which FERC reduced the oil pricing index factor for oil pipelines to use for the current five-year period. The ceiling levels computed for July 1, 2022 to June 30, 2023, as well as the ceiling levels for July 1, 2023 to June 30, 2024, and the resulting rates currently in effect for certain of our liquids pipelines, were computed to account for the appropriate index factor. FERC has also retained cost-of-service ratemaking, market-based rates and settlement rates as alternatives to the indexing approach that may be used in certain specified circumstances.</w:t>
      </w:r>
    </w:p>
    <w:p>
      <w:pPr>
        <w:spacing w:after="0" w:line="186" w:lineRule="exact"/>
        <w:rPr>
          <w:sz w:val="20"/>
          <w:szCs w:val="20"/>
          <w:color w:val="auto"/>
        </w:rPr>
      </w:pPr>
    </w:p>
    <w:p>
      <w:pPr>
        <w:ind w:right="40" w:firstLine="702"/>
        <w:spacing w:after="0" w:line="263" w:lineRule="auto"/>
        <w:rPr>
          <w:sz w:val="20"/>
          <w:szCs w:val="20"/>
          <w:color w:val="auto"/>
        </w:rPr>
      </w:pPr>
      <w:r>
        <w:rPr>
          <w:rFonts w:ascii="Arial" w:cs="Arial" w:eastAsia="Arial" w:hAnsi="Arial"/>
          <w:sz w:val="19"/>
          <w:szCs w:val="19"/>
          <w:color w:val="auto"/>
        </w:rPr>
        <w:t>Because the indexing methodology for the next five-year indexing period is tied in part to an inflation index and is not based on our specific costs, the indexing methodology could hamper our ability to recover cost increases. The majority of our pipeline profits in the United States are based on rates that are either grandfathered in part or set by agreement with one or more shippers. These rates remain regulated by FERC and are subject to challenge or review and modification by FERC under the ICA. Changes in FERC’s methodologies for approving rates could adversely affect us. In addition, challenges to our regulated rates could be filed with FERC and future decisions by FERC regarding our regulated rates could adversely affect our cash flows.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Energy Policy Act of 2005 (“EPAct 2005”) authorized FERC to impose civil penalties for violations of the ICA</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and FERC regulations thereunder, up to a maximum amount that is adjusted annually for inflation, which for 2024 equals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$16,170 per day, per violation. Should we fail to comply with applicable statutes, rules, regulations and orders administered by</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FERC, we could be subject to substantial penalties and fines.</w:t>
      </w:r>
    </w:p>
    <w:p>
      <w:pPr>
        <w:spacing w:after="0" w:line="228" w:lineRule="exact"/>
        <w:rPr>
          <w:sz w:val="20"/>
          <w:szCs w:val="20"/>
          <w:color w:val="auto"/>
        </w:rPr>
      </w:pPr>
    </w:p>
    <w:p>
      <w:pPr>
        <w:ind w:firstLine="702"/>
        <w:spacing w:after="0" w:line="270" w:lineRule="auto"/>
        <w:rPr>
          <w:sz w:val="20"/>
          <w:szCs w:val="20"/>
          <w:color w:val="auto"/>
        </w:rPr>
      </w:pPr>
      <w:r>
        <w:rPr>
          <w:rFonts w:ascii="Arial" w:cs="Arial" w:eastAsia="Arial" w:hAnsi="Arial"/>
          <w:sz w:val="19"/>
          <w:szCs w:val="19"/>
          <w:b w:val="1"/>
          <w:bCs w:val="1"/>
          <w:i w:val="1"/>
          <w:iCs w:val="1"/>
          <w:color w:val="auto"/>
        </w:rPr>
        <w:t xml:space="preserve">Intrastate Regulation in the United States. </w:t>
      </w:r>
      <w:r>
        <w:rPr>
          <w:rFonts w:ascii="Arial" w:cs="Arial" w:eastAsia="Arial" w:hAnsi="Arial"/>
          <w:sz w:val="19"/>
          <w:szCs w:val="19"/>
          <w:color w:val="auto"/>
        </w:rPr>
        <w:t>Our intrastate liquids pipeline transportation activities are subject to various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state laws and regulations, as well as orders of state regulatory bodies, including the Railroad Commission of Texas (“TRRC”) and the California Public Utility Commission (“CPUC”). The CPUC prohibits certain of our subsidiaries from acting as guarantors of our senior notes and credit facilities.</w:t>
      </w:r>
    </w:p>
    <w:p>
      <w:pPr>
        <w:spacing w:after="0" w:line="187" w:lineRule="exact"/>
        <w:rPr>
          <w:sz w:val="20"/>
          <w:szCs w:val="20"/>
          <w:color w:val="auto"/>
        </w:rPr>
      </w:pPr>
    </w:p>
    <w:p>
      <w:pPr>
        <w:ind w:right="40" w:firstLine="702"/>
        <w:spacing w:after="0" w:line="305" w:lineRule="auto"/>
        <w:rPr>
          <w:sz w:val="20"/>
          <w:szCs w:val="20"/>
          <w:color w:val="auto"/>
        </w:rPr>
      </w:pPr>
      <w:r>
        <w:rPr>
          <w:rFonts w:ascii="Arial" w:cs="Arial" w:eastAsia="Arial" w:hAnsi="Arial"/>
          <w:sz w:val="17"/>
          <w:szCs w:val="17"/>
          <w:b w:val="1"/>
          <w:bCs w:val="1"/>
          <w:i w:val="1"/>
          <w:iCs w:val="1"/>
          <w:color w:val="auto"/>
        </w:rPr>
        <w:t xml:space="preserve">Canadian Regulation. </w:t>
      </w:r>
      <w:r>
        <w:rPr>
          <w:rFonts w:ascii="Arial" w:cs="Arial" w:eastAsia="Arial" w:hAnsi="Arial"/>
          <w:sz w:val="17"/>
          <w:szCs w:val="17"/>
          <w:color w:val="auto"/>
        </w:rPr>
        <w:t>Our Canadian pipeline assets are subject to regulation by the CER and by provincial regulators.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respect to pipelines over which it has jurisdiction, the relevant regulatory authority has the power, upon application by a third party, to determine reasonability of the rates we are allowed to charge for transportation on, and set other terms of access to, such pipelines. In such circumstances, if the relevant regulatory authority determines that the applicable terms and conditions of service are not just and reasonable, the regulatory authority can impose conditions it considers appropriate.</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Trucking Regulation</w:t>
      </w:r>
    </w:p>
    <w:p>
      <w:pPr>
        <w:spacing w:after="0" w:line="249"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United States</w:t>
      </w:r>
    </w:p>
    <w:p>
      <w:pPr>
        <w:spacing w:after="0" w:line="257" w:lineRule="exact"/>
        <w:rPr>
          <w:sz w:val="20"/>
          <w:szCs w:val="20"/>
          <w:color w:val="auto"/>
        </w:rPr>
      </w:pPr>
    </w:p>
    <w:p>
      <w:pPr>
        <w:ind w:right="100" w:firstLine="702"/>
        <w:spacing w:after="0" w:line="264" w:lineRule="auto"/>
        <w:rPr>
          <w:sz w:val="20"/>
          <w:szCs w:val="20"/>
          <w:color w:val="auto"/>
        </w:rPr>
      </w:pPr>
      <w:r>
        <w:rPr>
          <w:rFonts w:ascii="Arial" w:cs="Arial" w:eastAsia="Arial" w:hAnsi="Arial"/>
          <w:sz w:val="19"/>
          <w:szCs w:val="19"/>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Federal Motor Carrier Safety Association of the DOT. These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U.S. trucking operations.</w:t>
      </w:r>
    </w:p>
    <w:p>
      <w:pPr>
        <w:sectPr>
          <w:pgSz w:w="11880" w:h="15480" w:orient="portrait"/>
          <w:cols w:equalWidth="0" w:num="1">
            <w:col w:w="10000"/>
          </w:cols>
          <w:pgMar w:left="940" w:top="67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10000"/>
          </w:cols>
          <w:pgMar w:left="940" w:top="676" w:right="940" w:bottom="0" w:gutter="0" w:footer="0" w:header="0"/>
          <w:type w:val="continuous"/>
        </w:sectPr>
      </w:pPr>
    </w:p>
    <w:bookmarkStart w:id="29" w:name="page30"/>
    <w:bookmarkEnd w:id="29"/>
    <w:p>
      <w:pPr>
        <w:ind w:left="700"/>
        <w:spacing w:after="0"/>
        <w:rPr>
          <w:sz w:val="20"/>
          <w:szCs w:val="20"/>
          <w:color w:val="auto"/>
        </w:rPr>
      </w:pPr>
      <w:r>
        <w:rPr>
          <w:rFonts w:ascii="Arial" w:cs="Arial" w:eastAsia="Arial" w:hAnsi="Arial"/>
          <w:sz w:val="19"/>
          <w:szCs w:val="19"/>
          <w:b w:val="1"/>
          <w:bCs w:val="1"/>
          <w:i w:val="1"/>
          <w:iCs w:val="1"/>
          <w:color w:val="auto"/>
        </w:rPr>
        <w:t>Canada</w:t>
      </w:r>
    </w:p>
    <w:p>
      <w:pPr>
        <w:spacing w:after="0" w:line="2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trucking assets in Canada are subject to regulation by both federal and provincial transportation agencies in the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provinces in which they are operated. These regulatory agencies do not set freight rates, but do establish and administer</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rules and regulations relating to other matters including equipment, facility inspection, reporting and safety. We are licensed to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operate both intra- and inter-provincially under the direction of the National Safety Code (“NSC”) that is administered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Transport Canada. Our for-hire service is primarily the transportation of crude oil, condensates and NGL. We are required</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under the NSC to, among other things, monitor (i) driver operations, (ii) log book maintenance, (iii) truck manifest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preparations, (iv) safety placard placement on the trucks and trailers, (v) operation and equipment safety and (vi) many other</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aspects of trucking operations. We are also subject to Occupational Health and Safety regulations with respect to our Canadian</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trucking operations.</w:t>
      </w:r>
    </w:p>
    <w:p>
      <w:pPr>
        <w:spacing w:after="0" w:line="223"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Railcar Regulation</w:t>
      </w:r>
    </w:p>
    <w:p>
      <w:pPr>
        <w:spacing w:after="0" w:line="257" w:lineRule="exact"/>
        <w:rPr>
          <w:sz w:val="20"/>
          <w:szCs w:val="20"/>
          <w:color w:val="auto"/>
        </w:rPr>
      </w:pPr>
    </w:p>
    <w:p>
      <w:pPr>
        <w:ind w:firstLine="702"/>
        <w:spacing w:after="0" w:line="261" w:lineRule="auto"/>
        <w:rPr>
          <w:sz w:val="20"/>
          <w:szCs w:val="20"/>
          <w:color w:val="auto"/>
        </w:rPr>
      </w:pPr>
      <w:r>
        <w:rPr>
          <w:rFonts w:ascii="Arial" w:cs="Arial" w:eastAsia="Arial" w:hAnsi="Arial"/>
          <w:sz w:val="19"/>
          <w:szCs w:val="19"/>
          <w:color w:val="auto"/>
        </w:rPr>
        <w:t>We own and operate a number of railcar loading and unloading facilities in the United States and Canada. In connection with these operations, we own and lease a significant number of railcars. Our railcar operations are subject to the regulatory jurisdiction of the Federal Railroad Administration (“FRA”) of the DOT, OSHA, as well as other federal and state regulatory agencies and Canadian regulatory agencies for operations in Canada. From time to time, these regulatory bodies may enact new regulations or revise and update existing regulations related to the transportation of oil and NGL by railcar. For example, PHMSA has issued safety advisory warnings and compliance initiatives to reinforce requirements to properly test, characterize, classify, describe, label and, where appropriate, sufficiently degasify hazardous materials prior to and during transportation. We believe our railcar fleet is in compliance in all material respects with current standards for crude oil moved by rail.</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Indigenous Protections</w:t>
      </w:r>
    </w:p>
    <w:p>
      <w:pPr>
        <w:spacing w:after="0" w:line="257" w:lineRule="exact"/>
        <w:rPr>
          <w:sz w:val="20"/>
          <w:szCs w:val="20"/>
          <w:color w:val="auto"/>
        </w:rPr>
      </w:pPr>
    </w:p>
    <w:p>
      <w:pPr>
        <w:ind w:firstLine="702"/>
        <w:spacing w:after="0" w:line="311" w:lineRule="auto"/>
        <w:rPr>
          <w:sz w:val="20"/>
          <w:szCs w:val="20"/>
          <w:color w:val="auto"/>
        </w:rPr>
      </w:pPr>
      <w:r>
        <w:rPr>
          <w:rFonts w:ascii="Arial" w:cs="Arial" w:eastAsia="Arial" w:hAnsi="Arial"/>
          <w:sz w:val="17"/>
          <w:szCs w:val="17"/>
          <w:color w:val="auto"/>
        </w:rPr>
        <w:t>Part of our operations cross land that has historically been apportioned to various Native American/First Nations tribes (“Indigenous Peoples”), who may exercise significant jurisdiction and sovereignty over their lands. Indigenous Peoples may also have certain treaty rights and rights to consultation on projects that may affect such lands. Our operations may be impacted to the extent these tribal governments are found to have and choose to act upon such jurisdiction over lands where we operate.</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Transportation Security Administration Security Directives</w:t>
      </w:r>
    </w:p>
    <w:p>
      <w:pPr>
        <w:spacing w:after="0" w:line="257" w:lineRule="exact"/>
        <w:rPr>
          <w:sz w:val="20"/>
          <w:szCs w:val="20"/>
          <w:color w:val="auto"/>
        </w:rPr>
      </w:pPr>
    </w:p>
    <w:p>
      <w:pPr>
        <w:ind w:right="560" w:firstLine="702"/>
        <w:spacing w:after="0" w:line="311" w:lineRule="auto"/>
        <w:rPr>
          <w:sz w:val="20"/>
          <w:szCs w:val="20"/>
          <w:color w:val="auto"/>
        </w:rPr>
      </w:pPr>
      <w:r>
        <w:rPr>
          <w:rFonts w:ascii="Arial" w:cs="Arial" w:eastAsia="Arial" w:hAnsi="Arial"/>
          <w:sz w:val="17"/>
          <w:szCs w:val="17"/>
          <w:color w:val="auto"/>
        </w:rPr>
        <w:t>In 2021, in response to cybersecurity incidents affecting the pipeline industry, the United States Department of Homeland Security’s Transportation Security Administration (“TSA”) issued two comprehensive security directives that included various cybersecurity and reporting requirements for critical infrastructure pipeline owners and/or operators. Compliance with these security directives may have a significant impact on our operations and results of operations.</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Cross Border Regulation</w:t>
      </w:r>
    </w:p>
    <w:p>
      <w:pPr>
        <w:spacing w:after="0" w:line="257" w:lineRule="exact"/>
        <w:rPr>
          <w:sz w:val="20"/>
          <w:szCs w:val="20"/>
          <w:color w:val="auto"/>
        </w:rPr>
      </w:pPr>
    </w:p>
    <w:p>
      <w:pPr>
        <w:ind w:firstLine="702"/>
        <w:spacing w:after="0" w:line="294" w:lineRule="auto"/>
        <w:rPr>
          <w:sz w:val="20"/>
          <w:szCs w:val="20"/>
          <w:color w:val="auto"/>
        </w:rPr>
      </w:pPr>
      <w:r>
        <w:rPr>
          <w:rFonts w:ascii="Arial" w:cs="Arial" w:eastAsia="Arial" w:hAnsi="Arial"/>
          <w:sz w:val="17"/>
          <w:szCs w:val="17"/>
          <w:color w:val="auto"/>
        </w:rPr>
        <w:t>As a result of our cross border activities, including the transportation and importation of crude oil and NGL between the United States and Canada, we are subject to a variety of legal requirements including presidential permit requirements, export/import license requirements, tariffs, Canadian and U.S. customs and taxes, and requirements relating to toxic substances. U.S. legal requirements relating to these activities include regulations adopted pursuant to the Short Supply Controls of the Export Administration Act (“EAA”), the United States-Mexico-Canada Agreement (“USMCA”) and the Toxic Substances Control Act (“TSCA”), as well as presidential permit requirements of the U.S. Department of State. In addition, the importation and exportation of natural gas from and to the United States and Canada is subject to regulation by U.S. Customs and Border Protection, U.S. Department of Energy and the CER.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ectPr>
          <w:pgSz w:w="11880" w:h="15480" w:orient="portrait"/>
          <w:cols w:equalWidth="0" w:num="1">
            <w:col w:w="9960"/>
          </w:cols>
          <w:pgMar w:left="940" w:top="66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9960"/>
          </w:cols>
          <w:pgMar w:left="940" w:top="669" w:right="980" w:bottom="0" w:gutter="0" w:footer="0" w:header="0"/>
          <w:type w:val="continuous"/>
        </w:sectPr>
      </w:pPr>
    </w:p>
    <w:bookmarkStart w:id="30" w:name="page31"/>
    <w:bookmarkEnd w:id="30"/>
    <w:p>
      <w:pPr>
        <w:ind w:left="700"/>
        <w:spacing w:after="0"/>
        <w:rPr>
          <w:sz w:val="20"/>
          <w:szCs w:val="20"/>
          <w:color w:val="auto"/>
        </w:rPr>
      </w:pPr>
      <w:r>
        <w:rPr>
          <w:rFonts w:ascii="Arial" w:cs="Arial" w:eastAsia="Arial" w:hAnsi="Arial"/>
          <w:sz w:val="19"/>
          <w:szCs w:val="19"/>
          <w:b w:val="1"/>
          <w:bCs w:val="1"/>
          <w:color w:val="auto"/>
        </w:rPr>
        <w:t>Market Anti-Manipulation Regulation</w:t>
      </w:r>
    </w:p>
    <w:p>
      <w:pPr>
        <w:spacing w:after="0" w:line="257" w:lineRule="exact"/>
        <w:rPr>
          <w:sz w:val="20"/>
          <w:szCs w:val="20"/>
          <w:color w:val="auto"/>
        </w:rPr>
      </w:pPr>
    </w:p>
    <w:p>
      <w:pPr>
        <w:ind w:right="60" w:firstLine="702"/>
        <w:spacing w:after="0" w:line="279" w:lineRule="auto"/>
        <w:rPr>
          <w:sz w:val="20"/>
          <w:szCs w:val="20"/>
          <w:color w:val="auto"/>
        </w:rPr>
      </w:pPr>
      <w:r>
        <w:rPr>
          <w:rFonts w:ascii="Arial" w:cs="Arial" w:eastAsia="Arial" w:hAnsi="Arial"/>
          <w:sz w:val="18"/>
          <w:szCs w:val="18"/>
          <w:color w:val="auto"/>
        </w:rPr>
        <w:t>The Federal Trade Commission (“FTC”) has issued regulations pursuant to the Energy Independence and Security Act of 2007 intended to prohibit market manipulation in the petroleum industry. Violators of the regulations face civil penalties of up to approximately $1.5 million per violation per day, subject to the FTC’s annual inflation adjustment. The Dodd-Frank Act incorporates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CFTC rules subject violators to a civil penalty of up to the greater of approximately $1.23 million, subject to the CFTC’s annual inflation adjustment, or triple the monetary gain to the person for each violation.</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Operational Hazards and Insurance</w:t>
      </w:r>
    </w:p>
    <w:p>
      <w:pPr>
        <w:spacing w:after="0" w:line="257" w:lineRule="exact"/>
        <w:rPr>
          <w:sz w:val="20"/>
          <w:szCs w:val="20"/>
          <w:color w:val="auto"/>
        </w:rPr>
      </w:pPr>
    </w:p>
    <w:p>
      <w:pPr>
        <w:ind w:right="80" w:firstLine="702"/>
        <w:spacing w:after="0" w:line="296" w:lineRule="auto"/>
        <w:rPr>
          <w:sz w:val="20"/>
          <w:szCs w:val="20"/>
          <w:color w:val="auto"/>
        </w:rPr>
      </w:pPr>
      <w:r>
        <w:rPr>
          <w:rFonts w:ascii="Arial" w:cs="Arial" w:eastAsia="Arial" w:hAnsi="Arial"/>
          <w:sz w:val="17"/>
          <w:szCs w:val="17"/>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To the extent we do maintain insurance coverage, such insurance does not cover every potential risk that might occur in connection with operating pipelines, terminals and other facilities and equipment, including the potential loss of significant revenues and cash flows.</w:t>
      </w:r>
    </w:p>
    <w:p>
      <w:pPr>
        <w:spacing w:after="0" w:line="170" w:lineRule="exact"/>
        <w:rPr>
          <w:sz w:val="20"/>
          <w:szCs w:val="20"/>
          <w:color w:val="auto"/>
        </w:rPr>
      </w:pPr>
    </w:p>
    <w:p>
      <w:pPr>
        <w:ind w:firstLine="702"/>
        <w:spacing w:after="0" w:line="275" w:lineRule="auto"/>
        <w:rPr>
          <w:sz w:val="20"/>
          <w:szCs w:val="20"/>
          <w:color w:val="auto"/>
        </w:rPr>
      </w:pPr>
      <w:r>
        <w:rPr>
          <w:rFonts w:ascii="Arial" w:cs="Arial" w:eastAsia="Arial" w:hAnsi="Arial"/>
          <w:sz w:val="18"/>
          <w:szCs w:val="18"/>
          <w:color w:val="auto"/>
        </w:rPr>
        <w:t>The occurrence of a significant event not fully insured, indemnified or reserved against, or the failure of a party to meet its insurance or indemnification obligations, could materially and adversely affect our operations and financial condition. While we strive to maintain adequate insurance coverage, our actual costs may exceed our coverage levels and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or that the insurance companies that currently insure companies in the energy industry will continue to do so. As a result, we may elect to self-insure or utilize higher deductibles in certain other insurance programs. In addition, although we believe that we have established adequate reserves and that we have sufficient liquidity to the extent such risks are not insured, costs incurred in excess of these reserves may be higher or we may not receive insurance proceeds in a timely manner, which may potentially have a material adverse effect on our financial condition, results of operations or cash flows. See Note 18 to our Consolidated Financial Statements for a discussion regarding the Line 901 incident and our related insurance receivable.</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Title to Properties and Rights-of-Way</w:t>
      </w:r>
    </w:p>
    <w:p>
      <w:pPr>
        <w:spacing w:after="0" w:line="257" w:lineRule="exact"/>
        <w:rPr>
          <w:sz w:val="20"/>
          <w:szCs w:val="20"/>
          <w:color w:val="auto"/>
        </w:rPr>
      </w:pPr>
    </w:p>
    <w:p>
      <w:pPr>
        <w:ind w:right="40" w:firstLine="702"/>
        <w:spacing w:after="0" w:line="262" w:lineRule="auto"/>
        <w:rPr>
          <w:sz w:val="20"/>
          <w:szCs w:val="20"/>
          <w:color w:val="auto"/>
        </w:rPr>
      </w:pPr>
      <w:r>
        <w:rPr>
          <w:rFonts w:ascii="Arial" w:cs="Arial" w:eastAsia="Arial" w:hAnsi="Arial"/>
          <w:sz w:val="19"/>
          <w:szCs w:val="19"/>
          <w:color w:val="auto"/>
        </w:rPr>
        <w:t>Our real property holdings generally consist of: (i) parcels of land that we own in fee; (ii) surface leases and underground storage leases; and (iii) 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(a) customary liens, restrictions or encumbrances and (b) challenges that we do not regard as material relative to our overall operations. Some of our real property rights may be subject to termination under agreements that provide for one or more of: periodic payments, term periods, renewal rights, abandonment of use, continuous operation requirements, revocation by the licensor or grantor and possible relocation obligations.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Human Capital</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257" w:lineRule="exact"/>
        <w:rPr>
          <w:sz w:val="20"/>
          <w:szCs w:val="20"/>
          <w:color w:val="auto"/>
        </w:rPr>
      </w:pPr>
    </w:p>
    <w:p>
      <w:pPr>
        <w:ind w:right="80" w:firstLine="439"/>
        <w:spacing w:after="0" w:line="282" w:lineRule="auto"/>
        <w:rPr>
          <w:sz w:val="20"/>
          <w:szCs w:val="20"/>
          <w:color w:val="auto"/>
        </w:rPr>
      </w:pPr>
      <w:r>
        <w:rPr>
          <w:rFonts w:ascii="Arial" w:cs="Arial" w:eastAsia="Arial" w:hAnsi="Arial"/>
          <w:sz w:val="18"/>
          <w:szCs w:val="18"/>
          <w:color w:val="auto"/>
        </w:rPr>
        <w:t>Our primary human capital management objective is to attract, retain and develop a high quality workforce that will enable us to maintain and enhance a culture that is consistent with our Core Values. To support this objective, we seek to reward and support our employees through competitive pay, benefits and other programs; develop employees and encourage internal talent mobility to prepare employees for critical roles and leadership positions for the future; facilitate the development of a workplace culture that is diverse, engaging and inclusive; and promote efficiency and a high performance culture by investing in technology and systems and providing tools and resources that enable employees at work.</w:t>
      </w:r>
    </w:p>
    <w:p>
      <w:pPr>
        <w:sectPr>
          <w:pgSz w:w="11880" w:h="15480" w:orient="portrait"/>
          <w:cols w:equalWidth="0" w:num="1">
            <w:col w:w="10000"/>
          </w:cols>
          <w:pgMar w:left="940" w:top="669" w:right="94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10000"/>
          </w:cols>
          <w:pgMar w:left="940" w:top="669" w:right="940" w:bottom="0" w:gutter="0" w:footer="0" w:header="0"/>
          <w:type w:val="continuous"/>
        </w:sectPr>
      </w:pPr>
    </w:p>
    <w:bookmarkStart w:id="31" w:name="page32"/>
    <w:bookmarkEnd w:id="31"/>
    <w:p>
      <w:pPr>
        <w:ind w:right="20" w:firstLine="439"/>
        <w:spacing w:after="0" w:line="263" w:lineRule="auto"/>
        <w:rPr>
          <w:sz w:val="20"/>
          <w:szCs w:val="20"/>
          <w:color w:val="auto"/>
        </w:rPr>
      </w:pPr>
      <w:r>
        <w:rPr>
          <w:rFonts w:ascii="Arial" w:cs="Arial" w:eastAsia="Arial" w:hAnsi="Arial"/>
          <w:sz w:val="19"/>
          <w:szCs w:val="19"/>
          <w:color w:val="auto"/>
        </w:rPr>
        <w:t>Neither we nor our general partner have officers or employees. All of our officers and other personnel necessary for our business to function are employed by GP LLC or PMC ULC. As of December 31, 2023, GP LLC and PMC ULC employed approximately 4,200 people in North America, of which approximately 3,000 were employed in the U.S. and approximately 1,200 were employed in Canada. Approximately 69% of our workforce (approximately 2,900 employees) are field employees, which includes approximately 800 employees in our trucking division. Our employees are located in 24 states in the U.S. and in four provinces in Canada. Approximately 200 employees are covered by six separate collective bargaining agreements, which are open for renegotiation in 2024 and 2025.</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Health and Safety</w:t>
      </w:r>
    </w:p>
    <w:p>
      <w:pPr>
        <w:spacing w:after="0" w:line="257" w:lineRule="exact"/>
        <w:rPr>
          <w:sz w:val="20"/>
          <w:szCs w:val="20"/>
          <w:color w:val="auto"/>
        </w:rPr>
      </w:pPr>
    </w:p>
    <w:p>
      <w:pPr>
        <w:ind w:firstLine="702"/>
        <w:spacing w:after="0" w:line="293" w:lineRule="auto"/>
        <w:rPr>
          <w:sz w:val="20"/>
          <w:szCs w:val="20"/>
          <w:color w:val="auto"/>
        </w:rPr>
      </w:pPr>
      <w:r>
        <w:rPr>
          <w:rFonts w:ascii="Arial" w:cs="Arial" w:eastAsia="Arial" w:hAnsi="Arial"/>
          <w:sz w:val="17"/>
          <w:szCs w:val="17"/>
          <w:color w:val="auto"/>
        </w:rPr>
        <w:t>Our people are our most valuable asset. We prioritize the health and safety of our employees and we are committed to protecting our employees and conducting our operations in a safe, reliable and responsible manner. We support our commitment to health and safety through extensive education and training and investment in necessary equipment, systems, processes and other resources, and we have a number of safety programs and campaigns that are shared across our operations, such as “Hazard ID / Near Miss Program” communications, periodic and situation specific safety stand-downs, lessons learned sharing and stop work authorization for all employees. We also have a number of programs that are focused on employee wellness, including an employee assistance program that provides free mental and behavioral support for employees. In addition, in order to incentivize performance in the areas of safety and environmental responsibility, our performance-based annual bonus program includes a component that is tied to safety and environmental performance targets. In addition, in 2021 the Board established a Health, Safety, Environmental and Sustainability (“HSES”) Committee to assist the Board in its evaluation and oversight of our management of HSES matters. Through the discharge of its oversight responsibilities, the HSES Committee facilitates the efforts of management to further strengthen our focus on Sustainability matters.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Diversity and Inclusion</w:t>
      </w:r>
    </w:p>
    <w:p>
      <w:pPr>
        <w:spacing w:after="0" w:line="257" w:lineRule="exact"/>
        <w:rPr>
          <w:sz w:val="20"/>
          <w:szCs w:val="20"/>
          <w:color w:val="auto"/>
        </w:rPr>
      </w:pPr>
    </w:p>
    <w:p>
      <w:pPr>
        <w:ind w:right="140" w:firstLine="702"/>
        <w:spacing w:after="0" w:line="284" w:lineRule="auto"/>
        <w:rPr>
          <w:sz w:val="20"/>
          <w:szCs w:val="20"/>
          <w:color w:val="auto"/>
        </w:rPr>
      </w:pPr>
      <w:r>
        <w:rPr>
          <w:rFonts w:ascii="Arial" w:cs="Arial" w:eastAsia="Arial" w:hAnsi="Arial"/>
          <w:sz w:val="18"/>
          <w:szCs w:val="18"/>
          <w:color w:val="auto"/>
        </w:rPr>
        <w:t>We are committed to providing a professional work environment where all employees are treated with respect and dignity and provided with equal opportunities. To that end, we strive to develop a culture of inclusion and diversity in our workforce and employ a workforce that reflects the diversity of the communities where we operate. As of December 31, 2023, approximately 21% of our overall workforce was female (45% exclusive of field employees), and under-represented groups comprised approximately 35% of our U.S. workforce (38% exclusive of field employees).</w:t>
      </w:r>
    </w:p>
    <w:p>
      <w:pPr>
        <w:spacing w:after="0" w:line="179" w:lineRule="exact"/>
        <w:rPr>
          <w:sz w:val="20"/>
          <w:szCs w:val="20"/>
          <w:color w:val="auto"/>
        </w:rPr>
      </w:pPr>
    </w:p>
    <w:p>
      <w:pPr>
        <w:ind w:right="280" w:firstLine="702"/>
        <w:spacing w:after="0" w:line="269" w:lineRule="auto"/>
        <w:rPr>
          <w:sz w:val="20"/>
          <w:szCs w:val="20"/>
          <w:color w:val="auto"/>
        </w:rPr>
      </w:pPr>
      <w:r>
        <w:rPr>
          <w:rFonts w:ascii="Arial" w:cs="Arial" w:eastAsia="Arial" w:hAnsi="Arial"/>
          <w:sz w:val="19"/>
          <w:szCs w:val="19"/>
          <w:color w:val="auto"/>
        </w:rPr>
        <w:t>We have focused our recruiting efforts on expanding the pool of potential new hire candidates in order to attract a more diverse employee workforce. We are recruiting at schools that traditionally have a more diverse student population and are also using recruiting tools that allow us to post open positions to expand our reach to a larger and more diverse potential employee candidate population.</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Training and Leadership Development</w:t>
      </w:r>
    </w:p>
    <w:p>
      <w:pPr>
        <w:spacing w:after="0" w:line="257" w:lineRule="exact"/>
        <w:rPr>
          <w:sz w:val="20"/>
          <w:szCs w:val="20"/>
          <w:color w:val="auto"/>
        </w:rPr>
      </w:pPr>
    </w:p>
    <w:p>
      <w:pPr>
        <w:ind w:right="100" w:firstLine="702"/>
        <w:spacing w:after="0" w:line="305" w:lineRule="auto"/>
        <w:rPr>
          <w:sz w:val="20"/>
          <w:szCs w:val="20"/>
          <w:color w:val="auto"/>
        </w:rPr>
      </w:pPr>
      <w:r>
        <w:rPr>
          <w:rFonts w:ascii="Arial" w:cs="Arial" w:eastAsia="Arial" w:hAnsi="Arial"/>
          <w:sz w:val="17"/>
          <w:szCs w:val="17"/>
          <w:color w:val="auto"/>
        </w:rPr>
        <w:t>We are committed to the continued development of our people. We provide a multitude of training programs covering subjects such as field operations, health and safety, regulatory compliance, technical training, management and leadership skills, and professional development. We also operate a number of internal programs at all levels of the workforce that are designed to identify and develop future leaders of the organization. The Board receives reports from senior management on a regular basis regarding the status of succession plans with respect to executive leadership of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Benefits</w:t>
      </w:r>
    </w:p>
    <w:p>
      <w:pPr>
        <w:spacing w:after="0" w:line="257" w:lineRule="exact"/>
        <w:rPr>
          <w:sz w:val="20"/>
          <w:szCs w:val="20"/>
          <w:color w:val="auto"/>
        </w:rPr>
      </w:pPr>
    </w:p>
    <w:p>
      <w:pPr>
        <w:ind w:firstLine="702"/>
        <w:spacing w:after="0" w:line="264" w:lineRule="auto"/>
        <w:rPr>
          <w:sz w:val="20"/>
          <w:szCs w:val="20"/>
          <w:color w:val="auto"/>
        </w:rPr>
      </w:pPr>
      <w:r>
        <w:rPr>
          <w:rFonts w:ascii="Arial" w:cs="Arial" w:eastAsia="Arial" w:hAnsi="Arial"/>
          <w:sz w:val="19"/>
          <w:szCs w:val="19"/>
          <w:color w:val="auto"/>
        </w:rPr>
        <w:t>Our compensation and benefits programs are designed to attract, retain and motivate our employees and to reward them for their contributions and success. In addition to providing competitive salaries and other compensation opportunities, we offer comprehensive and competitive benefits to our eligible employees including, depending on location, health (medical, dental and vision) insurance, prescription drug benefits, flexible spending accounts, parental leave, disability coverage, mental and behavioral health resources, paid time off, retirement savings plan, education reimbursement program, a disaster relief fund, life insurance and accidental death and dismemberment insurance.</w:t>
      </w:r>
    </w:p>
    <w:p>
      <w:pPr>
        <w:sectPr>
          <w:pgSz w:w="11880" w:h="15480" w:orient="portrait"/>
          <w:cols w:equalWidth="0" w:num="1">
            <w:col w:w="10000"/>
          </w:cols>
          <w:pgMar w:left="940" w:top="67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10000"/>
          </w:cols>
          <w:pgMar w:left="940" w:top="676" w:right="940" w:bottom="0" w:gutter="0" w:footer="0" w:header="0"/>
          <w:type w:val="continuous"/>
        </w:sectPr>
      </w:pPr>
    </w:p>
    <w:bookmarkStart w:id="32" w:name="page33"/>
    <w:bookmarkEnd w:id="32"/>
    <w:p>
      <w:pPr>
        <w:spacing w:after="0"/>
        <w:rPr>
          <w:sz w:val="20"/>
          <w:szCs w:val="20"/>
          <w:color w:val="auto"/>
        </w:rPr>
      </w:pPr>
      <w:r>
        <w:rPr>
          <w:rFonts w:ascii="Arial" w:cs="Arial" w:eastAsia="Arial" w:hAnsi="Arial"/>
          <w:sz w:val="19"/>
          <w:szCs w:val="19"/>
          <w:b w:val="1"/>
          <w:bCs w:val="1"/>
          <w:color w:val="auto"/>
        </w:rPr>
        <w:t>Summary of Tax Considerations</w:t>
      </w:r>
    </w:p>
    <w:p>
      <w:pPr>
        <w:spacing w:after="0" w:line="255" w:lineRule="exact"/>
        <w:rPr>
          <w:sz w:val="20"/>
          <w:szCs w:val="20"/>
          <w:color w:val="auto"/>
        </w:rPr>
      </w:pPr>
    </w:p>
    <w:p>
      <w:pPr>
        <w:ind w:right="40"/>
        <w:spacing w:after="0" w:line="320" w:lineRule="auto"/>
        <w:rPr>
          <w:sz w:val="20"/>
          <w:szCs w:val="20"/>
          <w:color w:val="auto"/>
        </w:rPr>
      </w:pPr>
      <w:r>
        <w:rPr>
          <w:rFonts w:ascii="Arial" w:cs="Arial" w:eastAsia="Arial" w:hAnsi="Arial"/>
          <w:sz w:val="16"/>
          <w:szCs w:val="16"/>
          <w:b w:val="1"/>
          <w:bCs w:val="1"/>
          <w:i w:val="1"/>
          <w:iCs w:val="1"/>
          <w:color w:val="auto"/>
        </w:rPr>
        <w:t>The following is a brief summary of certain material U.S. federal income tax consequences and tax considerations related to the purchase, ownership and disposition of our Class A shares by a taxpayer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or differing interpretations,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55"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This summary does not address all aspects of U.S. federal income taxation or the tax considerations arising under the laws of any non-U.S., state, or local jurisdiction, or under U.S. federal estate and gift tax laws. In addition, this summary does not address tax considerations applicable to investors that may be subject to special treatment under the U.S. federal income tax laws. The tax consequences of ownership of Class A shares depends in part on the owner’s individual tax circumstances. It is the responsibility of each shareholder, either individually or through a tax advisor, to investigate the legal and tax consequences of the shareholder’s investment in us under applicable U.S. federal, state and local law, as well as Canada and the Canadian provinces, of the shareholder’s investment in us. Further, it is the responsibility of each shareholder to file all U.S. federal, Canadian, state, provincial and local tax returns that may be required of the shareholder. Also see Item 1A. “Risk Factors—Tax Risks.”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Corporate Status</w:t>
      </w:r>
    </w:p>
    <w:p>
      <w:pPr>
        <w:spacing w:after="0" w:line="257" w:lineRule="exact"/>
        <w:rPr>
          <w:sz w:val="20"/>
          <w:szCs w:val="20"/>
          <w:color w:val="auto"/>
        </w:rPr>
      </w:pPr>
    </w:p>
    <w:p>
      <w:pPr>
        <w:ind w:right="20" w:firstLine="702"/>
        <w:spacing w:after="0" w:line="266" w:lineRule="auto"/>
        <w:rPr>
          <w:sz w:val="20"/>
          <w:szCs w:val="20"/>
          <w:color w:val="auto"/>
        </w:rPr>
      </w:pPr>
      <w:r>
        <w:rPr>
          <w:rFonts w:ascii="Arial" w:cs="Arial" w:eastAsia="Arial" w:hAnsi="Arial"/>
          <w:sz w:val="19"/>
          <w:szCs w:val="19"/>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or a broker with respect to distributions received on our Class A shares.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Consequences to U.S. Holders</w:t>
      </w:r>
    </w:p>
    <w:p>
      <w:pPr>
        <w:spacing w:after="0" w:line="257" w:lineRule="exact"/>
        <w:rPr>
          <w:sz w:val="20"/>
          <w:szCs w:val="20"/>
          <w:color w:val="auto"/>
        </w:rPr>
      </w:pPr>
    </w:p>
    <w:p>
      <w:pPr>
        <w:ind w:right="260" w:firstLine="702"/>
        <w:spacing w:after="0" w:line="276" w:lineRule="auto"/>
        <w:rPr>
          <w:sz w:val="20"/>
          <w:szCs w:val="20"/>
          <w:color w:val="auto"/>
        </w:rPr>
      </w:pPr>
      <w:r>
        <w:rPr>
          <w:rFonts w:ascii="Arial" w:cs="Arial" w:eastAsia="Arial" w:hAnsi="Arial"/>
          <w:sz w:val="19"/>
          <w:szCs w:val="19"/>
          <w:color w:val="auto"/>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spacing w:after="0" w:line="182" w:lineRule="exact"/>
        <w:rPr>
          <w:sz w:val="20"/>
          <w:szCs w:val="20"/>
          <w:color w:val="auto"/>
        </w:rPr>
      </w:pPr>
    </w:p>
    <w:p>
      <w:pPr>
        <w:ind w:left="1060" w:hanging="359"/>
        <w:spacing w:after="0"/>
        <w:tabs>
          <w:tab w:leader="none" w:pos="10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an individual who is a citizen or resident of the United States;</w:t>
      </w:r>
    </w:p>
    <w:p>
      <w:pPr>
        <w:spacing w:after="0" w:line="249" w:lineRule="exact"/>
        <w:rPr>
          <w:rFonts w:ascii="Arial" w:cs="Arial" w:eastAsia="Arial" w:hAnsi="Arial"/>
          <w:sz w:val="19"/>
          <w:szCs w:val="19"/>
          <w:color w:val="auto"/>
        </w:rPr>
      </w:pPr>
    </w:p>
    <w:p>
      <w:pPr>
        <w:ind w:left="1060" w:right="20" w:hanging="359"/>
        <w:spacing w:after="0" w:line="295" w:lineRule="auto"/>
        <w:tabs>
          <w:tab w:leader="none" w:pos="10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 corporation (or other entity treated as a corporation for U.S. federal income tax purposes) created or organized in or under the laws of the United States, any state thereof or the District of Columbia;</w:t>
      </w:r>
    </w:p>
    <w:p>
      <w:pPr>
        <w:spacing w:after="0" w:line="164" w:lineRule="exact"/>
        <w:rPr>
          <w:rFonts w:ascii="Arial" w:cs="Arial" w:eastAsia="Arial" w:hAnsi="Arial"/>
          <w:sz w:val="19"/>
          <w:szCs w:val="19"/>
          <w:color w:val="auto"/>
        </w:rPr>
      </w:pPr>
    </w:p>
    <w:p>
      <w:pPr>
        <w:ind w:left="1060" w:hanging="359"/>
        <w:spacing w:after="0"/>
        <w:tabs>
          <w:tab w:leader="none" w:pos="10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an estate the income of which is subject to U.S. federal income tax regardless of its source; or</w:t>
      </w:r>
    </w:p>
    <w:p>
      <w:pPr>
        <w:spacing w:after="0" w:line="249" w:lineRule="exact"/>
        <w:rPr>
          <w:rFonts w:ascii="Arial" w:cs="Arial" w:eastAsia="Arial" w:hAnsi="Arial"/>
          <w:sz w:val="19"/>
          <w:szCs w:val="19"/>
          <w:color w:val="auto"/>
        </w:rPr>
      </w:pPr>
    </w:p>
    <w:p>
      <w:pPr>
        <w:ind w:left="1060" w:right="40" w:hanging="359"/>
        <w:spacing w:after="0" w:line="298"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Distributions</w:t>
      </w:r>
    </w:p>
    <w:p>
      <w:pPr>
        <w:spacing w:after="0" w:line="257" w:lineRule="exact"/>
        <w:rPr>
          <w:sz w:val="20"/>
          <w:szCs w:val="20"/>
          <w:color w:val="auto"/>
        </w:rPr>
      </w:pPr>
    </w:p>
    <w:p>
      <w:pPr>
        <w:ind w:firstLine="702"/>
        <w:spacing w:after="0" w:line="297" w:lineRule="auto"/>
        <w:rPr>
          <w:sz w:val="20"/>
          <w:szCs w:val="20"/>
          <w:color w:val="auto"/>
        </w:rPr>
      </w:pPr>
      <w:r>
        <w:rPr>
          <w:rFonts w:ascii="Arial" w:cs="Arial" w:eastAsia="Arial" w:hAnsi="Arial"/>
          <w:sz w:val="17"/>
          <w:szCs w:val="17"/>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w:t>
      </w:r>
      <w:r>
        <w:rPr>
          <w:rFonts w:ascii="Arial" w:cs="Arial" w:eastAsia="Arial" w:hAnsi="Arial"/>
          <w:sz w:val="17"/>
          <w:szCs w:val="17"/>
          <w:b w:val="1"/>
          <w:bCs w:val="1"/>
          <w:i w:val="1"/>
          <w:iCs w:val="1"/>
          <w:color w:val="auto"/>
        </w:rPr>
        <w:t>—</w:t>
      </w:r>
      <w:r>
        <w:rPr>
          <w:rFonts w:ascii="Arial" w:cs="Arial" w:eastAsia="Arial" w:hAnsi="Arial"/>
          <w:sz w:val="17"/>
          <w:szCs w:val="17"/>
          <w:color w:val="auto"/>
        </w:rPr>
        <w:t>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sectPr>
          <w:pgSz w:w="11880" w:h="15480" w:orient="portrait"/>
          <w:cols w:equalWidth="0" w:num="1">
            <w:col w:w="10000"/>
          </w:cols>
          <w:pgMar w:left="940" w:top="66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10000"/>
          </w:cols>
          <w:pgMar w:left="940" w:top="669" w:right="940" w:bottom="0" w:gutter="0" w:footer="0" w:header="0"/>
          <w:type w:val="continuous"/>
        </w:sectPr>
      </w:pPr>
    </w:p>
    <w:bookmarkStart w:id="33" w:name="page34"/>
    <w:bookmarkEnd w:id="33"/>
    <w:p>
      <w:pPr>
        <w:ind w:left="700"/>
        <w:spacing w:after="0"/>
        <w:rPr>
          <w:sz w:val="20"/>
          <w:szCs w:val="20"/>
          <w:color w:val="auto"/>
        </w:rPr>
      </w:pPr>
      <w:r>
        <w:rPr>
          <w:rFonts w:ascii="Arial" w:cs="Arial" w:eastAsia="Arial" w:hAnsi="Arial"/>
          <w:sz w:val="18"/>
          <w:szCs w:val="18"/>
          <w:color w:val="auto"/>
        </w:rPr>
        <w:t>Both AAP and PAA have made elections permitted by Section 754 of the Code. As a result, our acquisition of AAP</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units in connection with our initial public offering (“IPO”) and in connection with exchanges since the IPO by the holders of</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our Class B shares and the AAP units not held by us (“Legacy Owners”) and their permitted transferees of their AAP units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Class B shares for Class A shares have resulted in basis adjustments with respect to our interest in the assets of AAP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indirectly in PAA). Such adjustments have resulted in depreciation and amortization deductions that we anticipate will offset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substantial portion of our taxable income for an extended period of time. In addition, future exchanges of AAP units and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Class B shares for our Class A shares will result in additional basis adjustments with respect to our interest in the assets of AAP</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(and indirectly in PAA). We expect to benefit from additional tax deductions resulting from those adjustments, the amount of</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which will vary depending on the value of the Class A shares at the time of the exchange.</w:t>
      </w:r>
    </w:p>
    <w:p>
      <w:pPr>
        <w:spacing w:after="0" w:line="230" w:lineRule="exact"/>
        <w:rPr>
          <w:sz w:val="20"/>
          <w:szCs w:val="20"/>
          <w:color w:val="auto"/>
        </w:rPr>
      </w:pPr>
    </w:p>
    <w:p>
      <w:pPr>
        <w:ind w:right="20" w:firstLine="702"/>
        <w:spacing w:after="0" w:line="264" w:lineRule="auto"/>
        <w:rPr>
          <w:sz w:val="20"/>
          <w:szCs w:val="20"/>
          <w:color w:val="auto"/>
        </w:rPr>
      </w:pPr>
      <w:r>
        <w:rPr>
          <w:rFonts w:ascii="Arial" w:cs="Arial" w:eastAsia="Arial" w:hAnsi="Arial"/>
          <w:sz w:val="19"/>
          <w:szCs w:val="19"/>
          <w:color w:val="auto"/>
        </w:rPr>
        <w:t>As a result of the basis adjustments described above, we may not have sufficient earnings and profits for distributions on our Class A shares to qualify as dividends for U.S. federal income tax purposes. If a distribution on our Class A shares fails to qualify as a dividend for U.S. federal income tax purposes, such distribution will be treated first as a tax-free return of capital to the extent of the U.S. holder’s adjusted tax basis in our Class A shares and thereafter as capital gain from the sale or exchange of our Class A shares. As a result, U.S. corporate holders will be unable to utilize the corporate dividends-received deduction with respect to such distribution.</w:t>
      </w:r>
    </w:p>
    <w:p>
      <w:pPr>
        <w:spacing w:after="0" w:line="196" w:lineRule="exact"/>
        <w:rPr>
          <w:sz w:val="20"/>
          <w:szCs w:val="20"/>
          <w:color w:val="auto"/>
        </w:rPr>
      </w:pPr>
    </w:p>
    <w:p>
      <w:pPr>
        <w:ind w:right="100" w:firstLine="702"/>
        <w:spacing w:after="0" w:line="323" w:lineRule="auto"/>
        <w:rPr>
          <w:sz w:val="20"/>
          <w:szCs w:val="20"/>
          <w:color w:val="auto"/>
        </w:rPr>
      </w:pPr>
      <w:r>
        <w:rPr>
          <w:rFonts w:ascii="Arial" w:cs="Arial" w:eastAsia="Arial" w:hAnsi="Arial"/>
          <w:sz w:val="17"/>
          <w:szCs w:val="17"/>
          <w:color w:val="auto"/>
        </w:rPr>
        <w:t>Investors in our Class A shares are encouraged to consult their tax advisors as to the tax consequences of receiving distributions on our Class A shares that do not qualify as dividends for U.S. federal income tax purposes, including, in the case of corporate investors, the inability to claim the corporate dividends received deduction with respect to such distributions.</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Gain on Disposition of Class A Shares</w:t>
      </w:r>
    </w:p>
    <w:p>
      <w:pPr>
        <w:spacing w:after="0" w:line="257" w:lineRule="exact"/>
        <w:rPr>
          <w:sz w:val="20"/>
          <w:szCs w:val="20"/>
          <w:color w:val="auto"/>
        </w:rPr>
      </w:pPr>
    </w:p>
    <w:p>
      <w:pPr>
        <w:ind w:right="60" w:firstLine="702"/>
        <w:spacing w:after="0" w:line="262" w:lineRule="auto"/>
        <w:rPr>
          <w:sz w:val="20"/>
          <w:szCs w:val="20"/>
          <w:color w:val="auto"/>
        </w:rPr>
      </w:pPr>
      <w:r>
        <w:rPr>
          <w:rFonts w:ascii="Arial" w:cs="Arial" w:eastAsia="Arial" w:hAnsi="Arial"/>
          <w:sz w:val="19"/>
          <w:szCs w:val="19"/>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our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Backup Withholding and Information Reporting</w:t>
      </w:r>
    </w:p>
    <w:p>
      <w:pPr>
        <w:spacing w:after="0" w:line="257" w:lineRule="exact"/>
        <w:rPr>
          <w:sz w:val="20"/>
          <w:szCs w:val="20"/>
          <w:color w:val="auto"/>
        </w:rPr>
      </w:pPr>
    </w:p>
    <w:p>
      <w:pPr>
        <w:ind w:right="200" w:firstLine="702"/>
        <w:spacing w:after="0" w:line="282" w:lineRule="auto"/>
        <w:rPr>
          <w:sz w:val="20"/>
          <w:szCs w:val="20"/>
          <w:color w:val="auto"/>
        </w:rPr>
      </w:pPr>
      <w:r>
        <w:rPr>
          <w:rFonts w:ascii="Arial" w:cs="Arial" w:eastAsia="Arial" w:hAnsi="Arial"/>
          <w:sz w:val="18"/>
          <w:szCs w:val="18"/>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79" w:lineRule="exact"/>
        <w:rPr>
          <w:sz w:val="20"/>
          <w:szCs w:val="20"/>
          <w:color w:val="auto"/>
        </w:rPr>
      </w:pPr>
    </w:p>
    <w:p>
      <w:pPr>
        <w:ind w:firstLine="702"/>
        <w:spacing w:after="0" w:line="266" w:lineRule="auto"/>
        <w:rPr>
          <w:sz w:val="20"/>
          <w:szCs w:val="20"/>
          <w:color w:val="auto"/>
        </w:rPr>
      </w:pPr>
      <w:r>
        <w:rPr>
          <w:rFonts w:ascii="Arial" w:cs="Arial" w:eastAsia="Arial" w:hAnsi="Arial"/>
          <w:sz w:val="19"/>
          <w:szCs w:val="19"/>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Consequences to Non-U.S. Holders</w:t>
      </w:r>
    </w:p>
    <w:p>
      <w:pPr>
        <w:spacing w:after="0" w:line="257" w:lineRule="exact"/>
        <w:rPr>
          <w:sz w:val="20"/>
          <w:szCs w:val="20"/>
          <w:color w:val="auto"/>
        </w:rPr>
      </w:pPr>
    </w:p>
    <w:p>
      <w:pPr>
        <w:jc w:val="both"/>
        <w:ind w:right="80" w:firstLine="702"/>
        <w:spacing w:after="0" w:line="276" w:lineRule="auto"/>
        <w:rPr>
          <w:sz w:val="20"/>
          <w:szCs w:val="20"/>
          <w:color w:val="auto"/>
        </w:rPr>
      </w:pPr>
      <w:r>
        <w:rPr>
          <w:rFonts w:ascii="Arial" w:cs="Arial" w:eastAsia="Arial" w:hAnsi="Arial"/>
          <w:sz w:val="19"/>
          <w:szCs w:val="19"/>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ectPr>
          <w:pgSz w:w="11880" w:h="15480" w:orient="portrait"/>
          <w:cols w:equalWidth="0" w:num="1">
            <w:col w:w="9980"/>
          </w:cols>
          <w:pgMar w:left="940" w:top="67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9980"/>
          </w:cols>
          <w:pgMar w:left="940" w:top="676" w:right="960" w:bottom="0" w:gutter="0" w:footer="0" w:header="0"/>
          <w:type w:val="continuous"/>
        </w:sectPr>
      </w:pPr>
    </w:p>
    <w:bookmarkStart w:id="34" w:name="page35"/>
    <w:bookmarkEnd w:id="34"/>
    <w:p>
      <w:pPr>
        <w:ind w:left="700"/>
        <w:spacing w:after="0"/>
        <w:rPr>
          <w:sz w:val="20"/>
          <w:szCs w:val="20"/>
          <w:color w:val="auto"/>
        </w:rPr>
      </w:pPr>
      <w:r>
        <w:rPr>
          <w:rFonts w:ascii="Arial" w:cs="Arial" w:eastAsia="Arial" w:hAnsi="Arial"/>
          <w:sz w:val="19"/>
          <w:szCs w:val="19"/>
          <w:b w:val="1"/>
          <w:bCs w:val="1"/>
          <w:color w:val="auto"/>
        </w:rPr>
        <w:t>Distributions</w:t>
      </w:r>
    </w:p>
    <w:p>
      <w:pPr>
        <w:spacing w:after="0" w:line="257" w:lineRule="exact"/>
        <w:rPr>
          <w:sz w:val="20"/>
          <w:szCs w:val="20"/>
          <w:color w:val="auto"/>
        </w:rPr>
      </w:pPr>
    </w:p>
    <w:p>
      <w:pPr>
        <w:ind w:firstLine="702"/>
        <w:spacing w:after="0" w:line="291" w:lineRule="auto"/>
        <w:rPr>
          <w:sz w:val="20"/>
          <w:szCs w:val="20"/>
          <w:color w:val="auto"/>
        </w:rPr>
      </w:pPr>
      <w:r>
        <w:rPr>
          <w:rFonts w:ascii="Arial" w:cs="Arial" w:eastAsia="Arial" w:hAnsi="Arial"/>
          <w:sz w:val="17"/>
          <w:szCs w:val="17"/>
          <w:color w:val="auto"/>
        </w:rPr>
        <w:t>Distributions with respect to our Class A shares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to the extent of the non-U.S. holder’s tax basis in our common stock and thereafter as capital gain from the sale or exchange of such common stock. See “—Gain on Disposition of Class A Shares.” 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 income tax treaty provides for a lower rate.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specified by an applicable income tax treaty for distributions from a USRPHC) may be withheld from distributions received by non-U.S. holders that exceed our current and accumulated earnings and profits. To receive the benefit of a reduced treaty rate, a non-U.S. holder must provide the applicable withholding agent with an IRS Form W-8BEN or IRS Form W-8BEN-E (or other applicable or successor form) certifying qualification for the reduced rate.</w:t>
      </w:r>
    </w:p>
    <w:p>
      <w:pPr>
        <w:spacing w:after="0" w:line="179" w:lineRule="exact"/>
        <w:rPr>
          <w:sz w:val="20"/>
          <w:szCs w:val="20"/>
          <w:color w:val="auto"/>
        </w:rPr>
      </w:pPr>
    </w:p>
    <w:p>
      <w:pPr>
        <w:ind w:right="40" w:firstLine="702"/>
        <w:spacing w:after="0" w:line="276" w:lineRule="auto"/>
        <w:rPr>
          <w:sz w:val="20"/>
          <w:szCs w:val="20"/>
          <w:color w:val="auto"/>
        </w:rPr>
      </w:pPr>
      <w:r>
        <w:rPr>
          <w:rFonts w:ascii="Arial" w:cs="Arial" w:eastAsia="Arial" w:hAnsi="Arial"/>
          <w:sz w:val="19"/>
          <w:szCs w:val="19"/>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82" w:lineRule="exact"/>
        <w:rPr>
          <w:sz w:val="20"/>
          <w:szCs w:val="20"/>
          <w:color w:val="auto"/>
        </w:rPr>
      </w:pPr>
    </w:p>
    <w:p>
      <w:pPr>
        <w:jc w:val="both"/>
        <w:ind w:right="100" w:firstLine="702"/>
        <w:spacing w:after="0" w:line="293" w:lineRule="auto"/>
        <w:rPr>
          <w:sz w:val="20"/>
          <w:szCs w:val="20"/>
          <w:color w:val="auto"/>
        </w:rPr>
      </w:pPr>
      <w:r>
        <w:rPr>
          <w:rFonts w:ascii="Arial" w:cs="Arial" w:eastAsia="Arial" w:hAnsi="Arial"/>
          <w:sz w:val="17"/>
          <w:szCs w:val="17"/>
          <w:color w:val="auto"/>
        </w:rPr>
        <w:t>Distributions treated as dividends that are paid to a non-U.S. holder and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w:t>
      </w:r>
    </w:p>
    <w:p>
      <w:pPr>
        <w:spacing w:after="0" w:line="1"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Gain on Disposition of Class A Shares</w:t>
      </w:r>
    </w:p>
    <w:p>
      <w:pPr>
        <w:spacing w:after="0" w:line="255" w:lineRule="exact"/>
        <w:rPr>
          <w:sz w:val="20"/>
          <w:szCs w:val="20"/>
          <w:color w:val="auto"/>
        </w:rPr>
      </w:pPr>
    </w:p>
    <w:p>
      <w:pPr>
        <w:ind w:firstLine="702"/>
        <w:spacing w:after="0" w:line="277" w:lineRule="auto"/>
        <w:rPr>
          <w:sz w:val="20"/>
          <w:szCs w:val="20"/>
          <w:color w:val="auto"/>
        </w:rPr>
      </w:pPr>
      <w:r>
        <w:rPr>
          <w:rFonts w:ascii="Arial" w:cs="Arial" w:eastAsia="Arial" w:hAnsi="Arial"/>
          <w:sz w:val="19"/>
          <w:szCs w:val="19"/>
          <w:color w:val="auto"/>
        </w:rPr>
        <w:t>Subject to the discussion below under “</w:t>
      </w:r>
      <w:r>
        <w:rPr>
          <w:rFonts w:ascii="Arial" w:cs="Arial" w:eastAsia="Arial" w:hAnsi="Arial"/>
          <w:sz w:val="19"/>
          <w:szCs w:val="19"/>
          <w:b w:val="1"/>
          <w:bCs w:val="1"/>
          <w:i w:val="1"/>
          <w:iCs w:val="1"/>
          <w:color w:val="auto"/>
        </w:rPr>
        <w:t>—</w:t>
      </w:r>
      <w:r>
        <w:rPr>
          <w:rFonts w:ascii="Arial" w:cs="Arial" w:eastAsia="Arial" w:hAnsi="Arial"/>
          <w:sz w:val="19"/>
          <w:szCs w:val="19"/>
          <w:color w:val="auto"/>
        </w:rPr>
        <w:t>Backup Withholding and Information Reporting,” a non-U.S. holder generally will not be subject to U.S. federal income or withholding tax on any gain realized upon the sale or other disposition of our Class A shares unless:</w:t>
      </w:r>
    </w:p>
    <w:p>
      <w:pPr>
        <w:spacing w:after="0" w:line="181" w:lineRule="exact"/>
        <w:rPr>
          <w:sz w:val="20"/>
          <w:szCs w:val="20"/>
          <w:color w:val="auto"/>
        </w:rPr>
      </w:pPr>
    </w:p>
    <w:p>
      <w:pPr>
        <w:ind w:left="1060" w:hanging="359"/>
        <w:spacing w:after="0"/>
        <w:tabs>
          <w:tab w:leader="none" w:pos="10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non-U.S. holder is an individual who is present in the United States for a period or periods aggregating</w:t>
      </w:r>
    </w:p>
    <w:p>
      <w:pPr>
        <w:spacing w:after="0" w:line="35" w:lineRule="exact"/>
        <w:rPr>
          <w:rFonts w:ascii="Arial" w:cs="Arial" w:eastAsia="Arial" w:hAnsi="Arial"/>
          <w:sz w:val="19"/>
          <w:szCs w:val="19"/>
          <w:color w:val="auto"/>
        </w:rPr>
      </w:pPr>
    </w:p>
    <w:p>
      <w:pPr>
        <w:ind w:left="1060" w:right="100"/>
        <w:spacing w:after="0" w:line="274" w:lineRule="auto"/>
        <w:rPr>
          <w:rFonts w:ascii="Arial" w:cs="Arial" w:eastAsia="Arial" w:hAnsi="Arial"/>
          <w:sz w:val="19"/>
          <w:szCs w:val="19"/>
          <w:color w:val="auto"/>
        </w:rPr>
      </w:pPr>
      <w:r>
        <w:rPr>
          <w:rFonts w:ascii="Arial" w:cs="Arial" w:eastAsia="Arial" w:hAnsi="Arial"/>
          <w:sz w:val="19"/>
          <w:szCs w:val="19"/>
          <w:color w:val="auto"/>
        </w:rPr>
        <w:t>183 days or more during the calendar year in which the sale or disposition occurs and certain other conditions are met;</w:t>
      </w:r>
    </w:p>
    <w:p>
      <w:pPr>
        <w:spacing w:after="0" w:line="183" w:lineRule="exact"/>
        <w:rPr>
          <w:rFonts w:ascii="Arial" w:cs="Arial" w:eastAsia="Arial" w:hAnsi="Arial"/>
          <w:sz w:val="19"/>
          <w:szCs w:val="19"/>
          <w:color w:val="auto"/>
        </w:rPr>
      </w:pPr>
    </w:p>
    <w:p>
      <w:pPr>
        <w:ind w:left="1060" w:hanging="359"/>
        <w:spacing w:after="0" w:line="276" w:lineRule="auto"/>
        <w:tabs>
          <w:tab w:leader="none" w:pos="10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82" w:lineRule="exact"/>
        <w:rPr>
          <w:rFonts w:ascii="Arial" w:cs="Arial" w:eastAsia="Arial" w:hAnsi="Arial"/>
          <w:sz w:val="19"/>
          <w:szCs w:val="19"/>
          <w:color w:val="auto"/>
        </w:rPr>
      </w:pPr>
    </w:p>
    <w:p>
      <w:pPr>
        <w:ind w:left="1060" w:right="120" w:hanging="359"/>
        <w:spacing w:after="0" w:line="276" w:lineRule="auto"/>
        <w:tabs>
          <w:tab w:leader="none" w:pos="10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our Class A shares constitute a United States real property interest by reason of our status as a USRPHC for U.S. federal income tax purposes and as a result such gain is treated as effectively connected with a trade or business conducted by the non-U.S. holder in the United States.</w:t>
      </w:r>
    </w:p>
    <w:p>
      <w:pPr>
        <w:spacing w:after="0" w:line="182" w:lineRule="exact"/>
        <w:rPr>
          <w:sz w:val="20"/>
          <w:szCs w:val="20"/>
          <w:color w:val="auto"/>
        </w:rPr>
      </w:pPr>
    </w:p>
    <w:p>
      <w:pPr>
        <w:jc w:val="both"/>
        <w:ind w:right="80" w:firstLine="702"/>
        <w:spacing w:after="0" w:line="269" w:lineRule="auto"/>
        <w:rPr>
          <w:sz w:val="20"/>
          <w:szCs w:val="20"/>
          <w:color w:val="auto"/>
        </w:rPr>
      </w:pPr>
      <w:r>
        <w:rPr>
          <w:rFonts w:ascii="Arial" w:cs="Arial" w:eastAsia="Arial" w:hAnsi="Arial"/>
          <w:sz w:val="19"/>
          <w:szCs w:val="19"/>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w:t>
      </w:r>
    </w:p>
    <w:p>
      <w:pPr>
        <w:sectPr>
          <w:pgSz w:w="11880" w:h="15480" w:orient="portrait"/>
          <w:cols w:equalWidth="0" w:num="1">
            <w:col w:w="9980"/>
          </w:cols>
          <w:pgMar w:left="940" w:top="66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9980"/>
          </w:cols>
          <w:pgMar w:left="940" w:top="669" w:right="960" w:bottom="0" w:gutter="0" w:footer="0" w:header="0"/>
          <w:type w:val="continuous"/>
        </w:sectPr>
      </w:pPr>
    </w:p>
    <w:bookmarkStart w:id="35" w:name="page36"/>
    <w:bookmarkEnd w:id="35"/>
    <w:p>
      <w:pPr>
        <w:ind w:right="200" w:firstLine="702"/>
        <w:spacing w:after="0" w:line="263" w:lineRule="auto"/>
        <w:rPr>
          <w:sz w:val="20"/>
          <w:szCs w:val="20"/>
          <w:color w:val="auto"/>
        </w:rPr>
      </w:pPr>
      <w:r>
        <w:rPr>
          <w:rFonts w:ascii="Arial" w:cs="Arial" w:eastAsia="Arial" w:hAnsi="Arial"/>
          <w:sz w:val="19"/>
          <w:szCs w:val="19"/>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96" w:lineRule="exact"/>
        <w:rPr>
          <w:sz w:val="20"/>
          <w:szCs w:val="20"/>
          <w:color w:val="auto"/>
        </w:rPr>
      </w:pPr>
    </w:p>
    <w:p>
      <w:pPr>
        <w:ind w:right="40" w:firstLine="790"/>
        <w:spacing w:after="0" w:line="293" w:lineRule="auto"/>
        <w:rPr>
          <w:sz w:val="20"/>
          <w:szCs w:val="20"/>
          <w:color w:val="auto"/>
        </w:rPr>
      </w:pPr>
      <w:r>
        <w:rPr>
          <w:rFonts w:ascii="Arial" w:cs="Arial" w:eastAsia="Arial" w:hAnsi="Arial"/>
          <w:sz w:val="17"/>
          <w:szCs w:val="17"/>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United States real property interest and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treated as disposing of a United States real property interest and would be subject to U.S. federal income tax on a taxable disposition of our Class A shares (as described in the preceding paragraph), and a 15% withholding tax would apply to the gross proceeds from such disposition.</w:t>
      </w:r>
    </w:p>
    <w:p>
      <w:pPr>
        <w:spacing w:after="0" w:line="178" w:lineRule="exact"/>
        <w:rPr>
          <w:sz w:val="20"/>
          <w:szCs w:val="20"/>
          <w:color w:val="auto"/>
        </w:rPr>
      </w:pPr>
    </w:p>
    <w:p>
      <w:pPr>
        <w:jc w:val="both"/>
        <w:ind w:right="540" w:firstLine="790"/>
        <w:spacing w:after="0" w:line="276" w:lineRule="auto"/>
        <w:rPr>
          <w:sz w:val="20"/>
          <w:szCs w:val="20"/>
          <w:color w:val="auto"/>
        </w:rPr>
      </w:pPr>
      <w:r>
        <w:rPr>
          <w:rFonts w:ascii="Arial" w:cs="Arial" w:eastAsia="Arial" w:hAnsi="Arial"/>
          <w:sz w:val="19"/>
          <w:szCs w:val="19"/>
          <w:color w:val="auto"/>
        </w:rPr>
        <w:t>Non-U.S. holders should consult their tax advisors with respect to the application of the foregoing rules to their ownership and disposition of our Class A shares, including regarding potentially applicable income tax treaties that may provide for different rules.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Backup Withholding and Information Reporting</w:t>
      </w:r>
    </w:p>
    <w:p>
      <w:pPr>
        <w:spacing w:after="0" w:line="257" w:lineRule="exact"/>
        <w:rPr>
          <w:sz w:val="20"/>
          <w:szCs w:val="20"/>
          <w:color w:val="auto"/>
        </w:rPr>
      </w:pPr>
    </w:p>
    <w:p>
      <w:pPr>
        <w:ind w:right="100" w:firstLine="702"/>
        <w:spacing w:after="0" w:line="266" w:lineRule="auto"/>
        <w:rPr>
          <w:sz w:val="20"/>
          <w:szCs w:val="20"/>
          <w:color w:val="auto"/>
        </w:rPr>
      </w:pPr>
      <w:r>
        <w:rPr>
          <w:rFonts w:ascii="Arial" w:cs="Arial" w:eastAsia="Arial" w:hAnsi="Arial"/>
          <w:sz w:val="19"/>
          <w:szCs w:val="19"/>
          <w:color w:val="auto"/>
        </w:rPr>
        <w:t>Any distributions paid to a non-U.S. holder must be reported annually to the IRS and to each non-U.S. holder. Copies of these information returns may be made available to the tax authorities in the country in which the non-U.S. holder resides or is established. Payments of distributions to a non-U.S. holder generally will not be subject to backup withholding if the non-U.S. holder establishes an exemption by properly certifying its non-U.S. status on an IRS Form W-8BEN, or IRS Form W-8BEN-E (or other applicable or successor form).</w:t>
      </w:r>
    </w:p>
    <w:p>
      <w:pPr>
        <w:spacing w:after="0" w:line="193" w:lineRule="exact"/>
        <w:rPr>
          <w:sz w:val="20"/>
          <w:szCs w:val="20"/>
          <w:color w:val="auto"/>
        </w:rPr>
      </w:pPr>
    </w:p>
    <w:p>
      <w:pPr>
        <w:ind w:firstLine="702"/>
        <w:spacing w:after="0" w:line="261" w:lineRule="auto"/>
        <w:rPr>
          <w:sz w:val="20"/>
          <w:szCs w:val="20"/>
          <w:color w:val="auto"/>
        </w:rPr>
      </w:pPr>
      <w:r>
        <w:rPr>
          <w:rFonts w:ascii="Arial" w:cs="Arial" w:eastAsia="Arial" w:hAnsi="Arial"/>
          <w:sz w:val="19"/>
          <w:szCs w:val="19"/>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98" w:lineRule="exact"/>
        <w:rPr>
          <w:sz w:val="20"/>
          <w:szCs w:val="20"/>
          <w:color w:val="auto"/>
        </w:rPr>
      </w:pPr>
    </w:p>
    <w:p>
      <w:pPr>
        <w:jc w:val="both"/>
        <w:ind w:right="80" w:firstLine="702"/>
        <w:spacing w:after="0" w:line="276" w:lineRule="auto"/>
        <w:rPr>
          <w:sz w:val="20"/>
          <w:szCs w:val="20"/>
          <w:color w:val="auto"/>
        </w:rPr>
      </w:pPr>
      <w:r>
        <w:rPr>
          <w:rFonts w:ascii="Arial" w:cs="Arial" w:eastAsia="Arial" w:hAnsi="Arial"/>
          <w:sz w:val="19"/>
          <w:szCs w:val="19"/>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ectPr>
          <w:pgSz w:w="11880" w:h="15480" w:orient="portrait"/>
          <w:cols w:equalWidth="0" w:num="1">
            <w:col w:w="10000"/>
          </w:cols>
          <w:pgMar w:left="940" w:top="67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10000"/>
          </w:cols>
          <w:pgMar w:left="940" w:top="676" w:right="940" w:bottom="0" w:gutter="0" w:footer="0" w:header="0"/>
          <w:type w:val="continuous"/>
        </w:sectPr>
      </w:pPr>
    </w:p>
    <w:bookmarkStart w:id="36" w:name="page37"/>
    <w:bookmarkEnd w:id="36"/>
    <w:p>
      <w:pPr>
        <w:spacing w:after="0"/>
        <w:rPr>
          <w:sz w:val="20"/>
          <w:szCs w:val="20"/>
          <w:color w:val="auto"/>
        </w:rPr>
      </w:pPr>
      <w:r>
        <w:rPr>
          <w:rFonts w:ascii="Arial" w:cs="Arial" w:eastAsia="Arial" w:hAnsi="Arial"/>
          <w:sz w:val="19"/>
          <w:szCs w:val="19"/>
          <w:b w:val="1"/>
          <w:bCs w:val="1"/>
          <w:i w:val="1"/>
          <w:iCs w:val="1"/>
          <w:color w:val="auto"/>
        </w:rPr>
        <w:t>Additional Withholding Requirements under FATCA</w:t>
      </w:r>
    </w:p>
    <w:p>
      <w:pPr>
        <w:spacing w:after="0" w:line="257" w:lineRule="exact"/>
        <w:rPr>
          <w:sz w:val="20"/>
          <w:szCs w:val="20"/>
          <w:color w:val="auto"/>
        </w:rPr>
      </w:pPr>
    </w:p>
    <w:p>
      <w:pPr>
        <w:ind w:right="40" w:firstLine="702"/>
        <w:spacing w:after="0" w:line="274" w:lineRule="auto"/>
        <w:rPr>
          <w:sz w:val="20"/>
          <w:szCs w:val="20"/>
          <w:color w:val="auto"/>
        </w:rPr>
      </w:pPr>
      <w:r>
        <w:rPr>
          <w:rFonts w:ascii="Arial" w:cs="Arial" w:eastAsia="Arial" w:hAnsi="Arial"/>
          <w:sz w:val="18"/>
          <w:szCs w:val="18"/>
          <w:color w:val="auto"/>
        </w:rPr>
        <w:t>Sections 1471 through 1474 of the Code, and the U.S. Treasury regulations and administrative guidance issued thereunder (“FATCA”), impose a 30% withholding tax on any dividends paid on our Class A shares and, subject to the proposed U.S. Treasury regulations discussed below, on proceeds from sales or other dispositions of our Class A shares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While gross proceeds from a sale or other disposition of our Class A shares paid after January 1, 2019 would have originally been subject to withholding under FATCA, proposed U.S. Treasury regulations provide that such payments of gross proceeds do not constitute withholdable payments. Taxpayers may generally rely on these proposed U.S. Treasury regulations until they are revoked or final U.S. Treasury regulations are issued. Non-U.S. holders are encouraged to consult their own tax advisors regarding the effects of FATCA on an investment in our Class A shares.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Available Information</w:t>
      </w:r>
    </w:p>
    <w:p>
      <w:pPr>
        <w:spacing w:after="0" w:line="255" w:lineRule="exact"/>
        <w:rPr>
          <w:sz w:val="20"/>
          <w:szCs w:val="20"/>
          <w:color w:val="auto"/>
        </w:rPr>
      </w:pPr>
    </w:p>
    <w:p>
      <w:pPr>
        <w:ind w:firstLine="702"/>
        <w:spacing w:after="0" w:line="267" w:lineRule="auto"/>
        <w:rPr>
          <w:sz w:val="20"/>
          <w:szCs w:val="20"/>
          <w:color w:val="auto"/>
        </w:rPr>
      </w:pPr>
      <w:r>
        <w:rPr>
          <w:rFonts w:ascii="Arial" w:cs="Arial" w:eastAsia="Arial" w:hAnsi="Arial"/>
          <w:sz w:val="18"/>
          <w:szCs w:val="18"/>
          <w:color w:val="auto"/>
        </w:rPr>
        <w:t xml:space="preserve">We make available, free of charge on our Internet website at </w:t>
      </w:r>
      <w:r>
        <w:rPr>
          <w:rFonts w:ascii="Arial" w:cs="Arial" w:eastAsia="Arial" w:hAnsi="Arial"/>
          <w:sz w:val="18"/>
          <w:szCs w:val="18"/>
          <w:b w:val="1"/>
          <w:bCs w:val="1"/>
          <w:i w:val="1"/>
          <w:iCs w:val="1"/>
          <w:color w:val="auto"/>
        </w:rPr>
        <w:t>www.plains.com</w:t>
      </w:r>
      <w:r>
        <w:rPr>
          <w:rFonts w:ascii="Arial" w:cs="Arial" w:eastAsia="Arial" w:hAnsi="Arial"/>
          <w:sz w:val="18"/>
          <w:szCs w:val="18"/>
          <w:color w:val="auto"/>
        </w:rPr>
        <w:t xml:space="preserve">, our annual reports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SEC maintains an Internet site that contains reports, proxy and information statements, and other information regarding issuers that file electronically with the SEC at </w:t>
      </w:r>
      <w:r>
        <w:rPr>
          <w:rFonts w:ascii="Arial" w:cs="Arial" w:eastAsia="Arial" w:hAnsi="Arial"/>
          <w:sz w:val="18"/>
          <w:szCs w:val="18"/>
          <w:b w:val="1"/>
          <w:bCs w:val="1"/>
          <w:i w:val="1"/>
          <w:iCs w:val="1"/>
          <w:color w:val="auto"/>
        </w:rPr>
        <w:t>http://www.sec.gov</w:t>
      </w:r>
      <w:r>
        <w:rPr>
          <w:rFonts w:ascii="Arial" w:cs="Arial" w:eastAsia="Arial" w:hAnsi="Arial"/>
          <w:sz w:val="18"/>
          <w:szCs w:val="18"/>
          <w:color w:val="auto"/>
        </w:rPr>
        <w:t>. Our website includes a significant amount of information about us, including financial, sustainability and other information that could be deemed material to investors. Investors and others are encouraged to review the information posted on our website. The information posted on our website is not incorporated by reference into this Annual Report on Form 10-K or any of our other filings with the SEC.</w:t>
      </w:r>
    </w:p>
    <w:p>
      <w:pPr>
        <w:sectPr>
          <w:pgSz w:w="11880" w:h="15480" w:orient="portrait"/>
          <w:cols w:equalWidth="0" w:num="1">
            <w:col w:w="9980"/>
          </w:cols>
          <w:pgMar w:left="940" w:top="66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9980"/>
          </w:cols>
          <w:pgMar w:left="940" w:top="669" w:right="960" w:bottom="0" w:gutter="0" w:footer="0" w:header="0"/>
          <w:type w:val="continuous"/>
        </w:sectPr>
      </w:pPr>
    </w:p>
    <w:bookmarkStart w:id="37" w:name="page38"/>
    <w:bookmarkEnd w:id="37"/>
    <w:p>
      <w:pPr>
        <w:spacing w:after="0"/>
        <w:rPr>
          <w:sz w:val="20"/>
          <w:szCs w:val="20"/>
          <w:color w:val="auto"/>
        </w:rPr>
      </w:pPr>
      <w:r>
        <w:rPr>
          <w:rFonts w:ascii="Arial" w:cs="Arial" w:eastAsia="Arial" w:hAnsi="Arial"/>
          <w:sz w:val="19"/>
          <w:szCs w:val="19"/>
          <w:b w:val="1"/>
          <w:bCs w:val="1"/>
          <w:color w:val="auto"/>
        </w:rPr>
        <w:t xml:space="preserve">Item 1A. </w:t>
      </w:r>
      <w:r>
        <w:rPr>
          <w:rFonts w:ascii="Arial" w:cs="Arial" w:eastAsia="Arial" w:hAnsi="Arial"/>
          <w:sz w:val="19"/>
          <w:szCs w:val="19"/>
          <w:b w:val="1"/>
          <w:bCs w:val="1"/>
          <w:i w:val="1"/>
          <w:iCs w:val="1"/>
          <w:color w:val="auto"/>
        </w:rPr>
        <w:t>Risk Factors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Summary of Risk Factors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Inherent in an Investment in Us</w:t>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auto"/>
        </w:rPr>
        <w:t>Our partnership structure carries inherent risks, including but not limited to:</w:t>
      </w:r>
    </w:p>
    <w:p>
      <w:pPr>
        <w:spacing w:after="0" w:line="132" w:lineRule="exact"/>
        <w:rPr>
          <w:sz w:val="20"/>
          <w:szCs w:val="20"/>
          <w:color w:val="auto"/>
        </w:rPr>
      </w:pPr>
    </w:p>
    <w:p>
      <w:pPr>
        <w:ind w:left="700" w:right="80" w:hanging="350"/>
        <w:spacing w:after="0" w:line="295"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our cash flow will be entirely dependent upon the ability of PAA to make cash distributions to AAP, and the ability of AAP to make cash distributions to us;</w:t>
      </w:r>
    </w:p>
    <w:p>
      <w:pPr>
        <w:spacing w:after="0" w:line="47" w:lineRule="exact"/>
        <w:rPr>
          <w:rFonts w:ascii="Arial" w:cs="Arial" w:eastAsia="Arial" w:hAnsi="Arial"/>
          <w:sz w:val="19"/>
          <w:szCs w:val="19"/>
          <w:color w:val="auto"/>
        </w:rPr>
      </w:pPr>
    </w:p>
    <w:p>
      <w:pPr>
        <w:ind w:left="700" w:right="760" w:hanging="350"/>
        <w:spacing w:after="0" w:line="295"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distributions AAP is entitled to receive may fluctuate, which may reduce cash distributions to our Class A shareholders;</w:t>
      </w:r>
    </w:p>
    <w:p>
      <w:pPr>
        <w:spacing w:after="0" w:line="47" w:lineRule="exact"/>
        <w:rPr>
          <w:rFonts w:ascii="Arial" w:cs="Arial" w:eastAsia="Arial" w:hAnsi="Arial"/>
          <w:sz w:val="19"/>
          <w:szCs w:val="19"/>
          <w:color w:val="auto"/>
        </w:rPr>
      </w:pPr>
    </w:p>
    <w:p>
      <w:pPr>
        <w:ind w:left="700" w:right="140" w:hanging="350"/>
        <w:spacing w:after="0" w:line="295"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if distributions on our Class A shares are not paid with respect to any fiscal quarter, our Class A shareholders will not be entitled to receive that quarter’s payments in the future;</w:t>
      </w:r>
    </w:p>
    <w:p>
      <w:pPr>
        <w:spacing w:after="0" w:line="47" w:lineRule="exact"/>
        <w:rPr>
          <w:rFonts w:ascii="Arial" w:cs="Arial" w:eastAsia="Arial" w:hAnsi="Arial"/>
          <w:sz w:val="19"/>
          <w:szCs w:val="19"/>
          <w:color w:val="auto"/>
        </w:rPr>
      </w:pPr>
    </w:p>
    <w:p>
      <w:pPr>
        <w:ind w:left="700" w:hanging="350"/>
        <w:spacing w:after="0"/>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amount of cash that we and PAA distribute each quarter may limit our ability to grow;</w:t>
      </w:r>
    </w:p>
    <w:p>
      <w:pPr>
        <w:spacing w:after="0" w:line="132" w:lineRule="exact"/>
        <w:rPr>
          <w:rFonts w:ascii="Arial" w:cs="Arial" w:eastAsia="Arial" w:hAnsi="Arial"/>
          <w:sz w:val="19"/>
          <w:szCs w:val="19"/>
          <w:color w:val="auto"/>
        </w:rPr>
      </w:pPr>
    </w:p>
    <w:p>
      <w:pPr>
        <w:ind w:left="700" w:right="460" w:hanging="350"/>
        <w:spacing w:after="0" w:line="295"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Class B shareholders own a significant number of shares, which may make the removal of our general partner difficult; and</w:t>
      </w:r>
    </w:p>
    <w:p>
      <w:pPr>
        <w:spacing w:after="0" w:line="47" w:lineRule="exact"/>
        <w:rPr>
          <w:rFonts w:ascii="Arial" w:cs="Arial" w:eastAsia="Arial" w:hAnsi="Arial"/>
          <w:sz w:val="19"/>
          <w:szCs w:val="19"/>
          <w:color w:val="auto"/>
        </w:rPr>
      </w:pPr>
    </w:p>
    <w:p>
      <w:pPr>
        <w:ind w:left="700" w:right="600" w:hanging="350"/>
        <w:spacing w:after="0" w:line="276"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Conflicts of Interest</w:t>
      </w:r>
    </w:p>
    <w:p>
      <w:pPr>
        <w:spacing w:after="0" w:line="257" w:lineRule="exact"/>
        <w:rPr>
          <w:sz w:val="20"/>
          <w:szCs w:val="20"/>
          <w:color w:val="auto"/>
        </w:rPr>
      </w:pPr>
    </w:p>
    <w:p>
      <w:pPr>
        <w:ind w:right="200"/>
        <w:spacing w:after="0" w:line="295" w:lineRule="auto"/>
        <w:rPr>
          <w:sz w:val="20"/>
          <w:szCs w:val="20"/>
          <w:color w:val="auto"/>
        </w:rPr>
      </w:pPr>
      <w:r>
        <w:rPr>
          <w:rFonts w:ascii="Arial" w:cs="Arial" w:eastAsia="Arial" w:hAnsi="Arial"/>
          <w:sz w:val="19"/>
          <w:szCs w:val="19"/>
          <w:color w:val="auto"/>
        </w:rPr>
        <w:t>Our existing organizational structure and the current and future relationships among us, PAA, our respective general partners, the Legacy Owners and affiliated entities present the potential for conflicts of interest.</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PAA’s Business</w:t>
      </w:r>
    </w:p>
    <w:p>
      <w:pPr>
        <w:spacing w:after="0" w:line="257" w:lineRule="exact"/>
        <w:rPr>
          <w:sz w:val="20"/>
          <w:szCs w:val="20"/>
          <w:color w:val="auto"/>
        </w:rPr>
      </w:pPr>
    </w:p>
    <w:p>
      <w:pPr>
        <w:ind w:right="140"/>
        <w:spacing w:after="0" w:line="295" w:lineRule="auto"/>
        <w:rPr>
          <w:sz w:val="20"/>
          <w:szCs w:val="20"/>
          <w:color w:val="auto"/>
        </w:rPr>
      </w:pPr>
      <w:r>
        <w:rPr>
          <w:rFonts w:ascii="Arial" w:cs="Arial" w:eastAsia="Arial" w:hAnsi="Arial"/>
          <w:sz w:val="19"/>
          <w:szCs w:val="19"/>
          <w:color w:val="auto"/>
        </w:rPr>
        <w:t>PAA’s business, results of operations, financial condition, cash flows and unit price can be adversely affected by many factors including but not limited to:</w:t>
      </w:r>
    </w:p>
    <w:p>
      <w:pPr>
        <w:spacing w:after="0" w:line="172" w:lineRule="exact"/>
        <w:rPr>
          <w:sz w:val="20"/>
          <w:szCs w:val="20"/>
          <w:color w:val="auto"/>
        </w:rPr>
      </w:pPr>
    </w:p>
    <w:p>
      <w:pPr>
        <w:ind w:left="700" w:right="80" w:hanging="350"/>
        <w:spacing w:after="0" w:line="264" w:lineRule="auto"/>
        <w:tabs>
          <w:tab w:leader="none" w:pos="700" w:val="left"/>
        </w:tabs>
        <w:numPr>
          <w:ilvl w:val="0"/>
          <w:numId w:val="22"/>
        </w:numPr>
        <w:rPr>
          <w:rFonts w:ascii="Arial" w:cs="Arial" w:eastAsia="Arial" w:hAnsi="Arial"/>
          <w:sz w:val="19"/>
          <w:szCs w:val="19"/>
          <w:b w:val="1"/>
          <w:bCs w:val="1"/>
          <w:color w:val="auto"/>
        </w:rPr>
      </w:pPr>
      <w:r>
        <w:rPr>
          <w:rFonts w:ascii="Arial" w:cs="Arial" w:eastAsia="Arial" w:hAnsi="Arial"/>
          <w:sz w:val="19"/>
          <w:szCs w:val="19"/>
          <w:color w:val="auto"/>
        </w:rPr>
        <w:t>the volume of crude oil, natural gas and NGL shipped, processed, purchased, stored, fractionated and/or gathered at or through the use of PAA’s pipelines and facilities, which can be negatively impacted by a variety of factors outside of its control;</w:t>
      </w:r>
    </w:p>
    <w:p>
      <w:pPr>
        <w:ind w:left="700" w:right="160" w:hanging="350"/>
        <w:spacing w:after="0" w:line="274" w:lineRule="auto"/>
        <w:tabs>
          <w:tab w:leader="none" w:pos="700" w:val="left"/>
        </w:tabs>
        <w:numPr>
          <w:ilvl w:val="0"/>
          <w:numId w:val="22"/>
        </w:numPr>
        <w:rPr>
          <w:rFonts w:ascii="Arial" w:cs="Arial" w:eastAsia="Arial" w:hAnsi="Arial"/>
          <w:sz w:val="19"/>
          <w:szCs w:val="19"/>
          <w:b w:val="1"/>
          <w:bCs w:val="1"/>
          <w:color w:val="auto"/>
        </w:rPr>
      </w:pPr>
      <w:r>
        <w:rPr>
          <w:rFonts w:ascii="Arial" w:cs="Arial" w:eastAsia="Arial" w:hAnsi="Arial"/>
          <w:sz w:val="19"/>
          <w:szCs w:val="19"/>
          <w:color w:val="auto"/>
        </w:rPr>
        <w:t>competition in PAA’s industry, including recontracting and other risks associated with the general capacity overbuild of midstream energy infrastructure in some of the areas where PAA operates;</w:t>
      </w:r>
    </w:p>
    <w:p>
      <w:pPr>
        <w:spacing w:after="0" w:line="7" w:lineRule="exact"/>
        <w:rPr>
          <w:rFonts w:ascii="Arial" w:cs="Arial" w:eastAsia="Arial" w:hAnsi="Arial"/>
          <w:sz w:val="19"/>
          <w:szCs w:val="19"/>
          <w:b w:val="1"/>
          <w:bCs w:val="1"/>
          <w:color w:val="auto"/>
        </w:rPr>
      </w:pPr>
    </w:p>
    <w:p>
      <w:pPr>
        <w:ind w:left="700" w:right="280" w:hanging="350"/>
        <w:spacing w:after="0" w:line="289" w:lineRule="auto"/>
        <w:tabs>
          <w:tab w:leader="none" w:pos="700" w:val="left"/>
        </w:tabs>
        <w:numPr>
          <w:ilvl w:val="0"/>
          <w:numId w:val="22"/>
        </w:numPr>
        <w:rPr>
          <w:rFonts w:ascii="Arial" w:cs="Arial" w:eastAsia="Arial" w:hAnsi="Arial"/>
          <w:sz w:val="19"/>
          <w:szCs w:val="19"/>
          <w:b w:val="1"/>
          <w:bCs w:val="1"/>
          <w:color w:val="auto"/>
        </w:rPr>
      </w:pPr>
      <w:r>
        <w:rPr>
          <w:rFonts w:ascii="Arial" w:cs="Arial" w:eastAsia="Arial" w:hAnsi="Arial"/>
          <w:sz w:val="19"/>
          <w:szCs w:val="19"/>
          <w:color w:val="auto"/>
        </w:rPr>
        <w:t>changes in supply and demand for the products PAA handles and the services it provides, which can be caused by a variety of factors outside of its control;</w:t>
      </w:r>
    </w:p>
    <w:p>
      <w:pPr>
        <w:ind w:left="700" w:right="100" w:hanging="350"/>
        <w:spacing w:after="0" w:line="269" w:lineRule="auto"/>
        <w:tabs>
          <w:tab w:leader="none" w:pos="700" w:val="left"/>
        </w:tabs>
        <w:numPr>
          <w:ilvl w:val="0"/>
          <w:numId w:val="22"/>
        </w:numPr>
        <w:rPr>
          <w:rFonts w:ascii="Arial" w:cs="Arial" w:eastAsia="Arial" w:hAnsi="Arial"/>
          <w:sz w:val="19"/>
          <w:szCs w:val="19"/>
          <w:b w:val="1"/>
          <w:bCs w:val="1"/>
          <w:color w:val="auto"/>
        </w:rPr>
      </w:pPr>
      <w:r>
        <w:rPr>
          <w:rFonts w:ascii="Arial" w:cs="Arial" w:eastAsia="Arial" w:hAnsi="Arial"/>
          <w:sz w:val="19"/>
          <w:szCs w:val="19"/>
          <w:color w:val="auto"/>
        </w:rPr>
        <w:t>natural disasters, catastrophes, terrorist attacks (including eco-terrorist attacks), process safety failures, equipment failures or other events, including pipeline or facility accidents and cyber or other attacks on PAA’s electronic and computer systems, could interrupt its operations, hinder PAA’s ability to fulfil its contractual obligations and/or result in severe personal injury, property damage and environmental damage;</w:t>
      </w:r>
    </w:p>
    <w:p>
      <w:pPr>
        <w:spacing w:after="0" w:line="14" w:lineRule="exact"/>
        <w:rPr>
          <w:rFonts w:ascii="Arial" w:cs="Arial" w:eastAsia="Arial" w:hAnsi="Arial"/>
          <w:sz w:val="19"/>
          <w:szCs w:val="19"/>
          <w:b w:val="1"/>
          <w:bCs w:val="1"/>
          <w:color w:val="auto"/>
        </w:rPr>
      </w:pPr>
    </w:p>
    <w:p>
      <w:pPr>
        <w:ind w:left="700" w:right="160" w:hanging="350"/>
        <w:spacing w:after="0" w:line="285" w:lineRule="auto"/>
        <w:tabs>
          <w:tab w:leader="none" w:pos="700" w:val="left"/>
        </w:tabs>
        <w:numPr>
          <w:ilvl w:val="0"/>
          <w:numId w:val="22"/>
        </w:numPr>
        <w:rPr>
          <w:rFonts w:ascii="Arial" w:cs="Arial" w:eastAsia="Arial" w:hAnsi="Arial"/>
          <w:sz w:val="19"/>
          <w:szCs w:val="19"/>
          <w:b w:val="1"/>
          <w:bCs w:val="1"/>
          <w:color w:val="auto"/>
        </w:rPr>
      </w:pPr>
      <w:r>
        <w:rPr>
          <w:rFonts w:ascii="Arial" w:cs="Arial" w:eastAsia="Arial" w:hAnsi="Arial"/>
          <w:sz w:val="19"/>
          <w:szCs w:val="19"/>
          <w:color w:val="auto"/>
        </w:rPr>
        <w:t>cybersecurity attacks, data breaches and other disruptions affecting PAA or its service providers could materially and adversely affect its business, operations, reputation and financial results;</w:t>
      </w:r>
    </w:p>
    <w:p>
      <w:pPr>
        <w:ind w:left="700" w:right="260" w:hanging="350"/>
        <w:spacing w:after="0" w:line="292" w:lineRule="auto"/>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risks arising from climate change, energy conservation measures, or initiatives that stimulate demand for alternative forms of energy;</w:t>
      </w:r>
    </w:p>
    <w:p>
      <w:pPr>
        <w:spacing w:after="0" w:line="1" w:lineRule="exact"/>
        <w:rPr>
          <w:rFonts w:ascii="Arial" w:cs="Arial" w:eastAsia="Arial" w:hAnsi="Arial"/>
          <w:sz w:val="19"/>
          <w:szCs w:val="19"/>
          <w:color w:val="auto"/>
        </w:rPr>
      </w:pPr>
    </w:p>
    <w:p>
      <w:pPr>
        <w:ind w:left="700" w:right="260" w:hanging="350"/>
        <w:spacing w:after="0" w:line="285" w:lineRule="auto"/>
        <w:tabs>
          <w:tab w:leader="none" w:pos="700" w:val="left"/>
        </w:tabs>
        <w:numPr>
          <w:ilvl w:val="0"/>
          <w:numId w:val="22"/>
        </w:numPr>
        <w:rPr>
          <w:rFonts w:ascii="Arial" w:cs="Arial" w:eastAsia="Arial" w:hAnsi="Arial"/>
          <w:sz w:val="19"/>
          <w:szCs w:val="19"/>
          <w:b w:val="1"/>
          <w:bCs w:val="1"/>
          <w:color w:val="auto"/>
        </w:rPr>
      </w:pPr>
      <w:r>
        <w:rPr>
          <w:rFonts w:ascii="Arial" w:cs="Arial" w:eastAsia="Arial" w:hAnsi="Arial"/>
          <w:sz w:val="19"/>
          <w:szCs w:val="19"/>
          <w:color w:val="auto"/>
        </w:rPr>
        <w:t>societal and political pressures from various groups, including opposition to the development or operation of PAA’s pipelines and facilities;</w:t>
      </w:r>
    </w:p>
    <w:p>
      <w:pPr>
        <w:ind w:left="700" w:right="200" w:hanging="350"/>
        <w:spacing w:after="0" w:line="292" w:lineRule="auto"/>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increased concern by financial stakeholders with respect to PAA’s governance structure and the perceived social and environmental cost of PAA’s industry;</w:t>
      </w:r>
    </w:p>
    <w:p>
      <w:pPr>
        <w:spacing w:after="0" w:line="1" w:lineRule="exact"/>
        <w:rPr>
          <w:rFonts w:ascii="Arial" w:cs="Arial" w:eastAsia="Arial" w:hAnsi="Arial"/>
          <w:sz w:val="19"/>
          <w:szCs w:val="19"/>
          <w:color w:val="auto"/>
        </w:rPr>
      </w:pPr>
    </w:p>
    <w:p>
      <w:pPr>
        <w:ind w:left="700" w:hanging="350"/>
        <w:spacing w:after="0" w:line="289" w:lineRule="auto"/>
        <w:tabs>
          <w:tab w:leader="none" w:pos="700" w:val="left"/>
        </w:tabs>
        <w:numPr>
          <w:ilvl w:val="0"/>
          <w:numId w:val="22"/>
        </w:numPr>
        <w:rPr>
          <w:rFonts w:ascii="Arial" w:cs="Arial" w:eastAsia="Arial" w:hAnsi="Arial"/>
          <w:sz w:val="19"/>
          <w:szCs w:val="19"/>
          <w:b w:val="1"/>
          <w:bCs w:val="1"/>
          <w:color w:val="auto"/>
        </w:rPr>
      </w:pPr>
      <w:r>
        <w:rPr>
          <w:rFonts w:ascii="Arial" w:cs="Arial" w:eastAsia="Arial" w:hAnsi="Arial"/>
          <w:sz w:val="19"/>
          <w:szCs w:val="19"/>
          <w:color w:val="auto"/>
        </w:rPr>
        <w:t>the overall forward market for crude oil and NGL, and certain market structures, the absence of pricing volatility and other market factors;</w:t>
      </w:r>
    </w:p>
    <w:p>
      <w:pPr>
        <w:ind w:left="700" w:hanging="350"/>
        <w:spacing w:after="0" w:line="285" w:lineRule="auto"/>
        <w:tabs>
          <w:tab w:leader="none" w:pos="700" w:val="left"/>
        </w:tabs>
        <w:numPr>
          <w:ilvl w:val="0"/>
          <w:numId w:val="22"/>
        </w:numPr>
        <w:rPr>
          <w:rFonts w:ascii="Arial" w:cs="Arial" w:eastAsia="Arial" w:hAnsi="Arial"/>
          <w:sz w:val="19"/>
          <w:szCs w:val="19"/>
          <w:b w:val="1"/>
          <w:bCs w:val="1"/>
          <w:color w:val="auto"/>
        </w:rPr>
      </w:pPr>
      <w:r>
        <w:rPr>
          <w:rFonts w:ascii="Arial" w:cs="Arial" w:eastAsia="Arial" w:hAnsi="Arial"/>
          <w:sz w:val="19"/>
          <w:szCs w:val="19"/>
          <w:color w:val="auto"/>
        </w:rPr>
        <w:t>an inability to fully implement or realize expected returns or other anticipated benefits associated with acquisitions, joint venture and joint ownership arrangements, divestitures and other projects;</w:t>
      </w:r>
    </w:p>
    <w:p>
      <w:pPr>
        <w:ind w:left="700" w:hanging="350"/>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entering into new businesses in connection with PAA’s strategy to participate in emerging energy opportunities;</w:t>
      </w:r>
    </w:p>
    <w:p>
      <w:pPr>
        <w:sectPr>
          <w:pgSz w:w="11880" w:h="15480" w:orient="portrait"/>
          <w:cols w:equalWidth="0" w:num="1">
            <w:col w:w="10000"/>
          </w:cols>
          <w:pgMar w:left="940" w:top="669" w:right="94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10000"/>
          </w:cols>
          <w:pgMar w:left="940" w:top="669" w:right="940" w:bottom="0" w:gutter="0" w:footer="0" w:header="0"/>
          <w:type w:val="continuous"/>
        </w:sectPr>
      </w:pPr>
    </w:p>
    <w:bookmarkStart w:id="38" w:name="page39"/>
    <w:bookmarkEnd w:id="38"/>
    <w:p>
      <w:pPr>
        <w:ind w:left="700" w:hanging="350"/>
        <w:spacing w:after="0"/>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pandemics, epidemics or other public health events;</w:t>
      </w:r>
    </w:p>
    <w:p>
      <w:pPr>
        <w:spacing w:after="0" w:line="80" w:lineRule="exact"/>
        <w:rPr>
          <w:rFonts w:ascii="Arial" w:cs="Arial" w:eastAsia="Arial" w:hAnsi="Arial"/>
          <w:sz w:val="19"/>
          <w:szCs w:val="19"/>
          <w:color w:val="auto"/>
        </w:rPr>
      </w:pPr>
    </w:p>
    <w:p>
      <w:pPr>
        <w:ind w:left="700" w:hanging="350"/>
        <w:spacing w:after="0"/>
        <w:tabs>
          <w:tab w:leader="none" w:pos="70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loss of PAA’s investment grade credit rating or a significant reduction in the ability of PAA to receive open credit;</w:t>
      </w:r>
    </w:p>
    <w:p>
      <w:pPr>
        <w:spacing w:after="0" w:line="85" w:lineRule="exact"/>
        <w:rPr>
          <w:rFonts w:ascii="Arial" w:cs="Arial" w:eastAsia="Arial" w:hAnsi="Arial"/>
          <w:sz w:val="18"/>
          <w:szCs w:val="18"/>
          <w:b w:val="1"/>
          <w:bCs w:val="1"/>
          <w:color w:val="auto"/>
        </w:rPr>
      </w:pPr>
    </w:p>
    <w:p>
      <w:pPr>
        <w:ind w:left="700" w:hanging="350"/>
        <w:spacing w:after="0" w:line="289" w:lineRule="auto"/>
        <w:tabs>
          <w:tab w:leader="none" w:pos="700" w:val="left"/>
        </w:tabs>
        <w:numPr>
          <w:ilvl w:val="0"/>
          <w:numId w:val="23"/>
        </w:numPr>
        <w:rPr>
          <w:rFonts w:ascii="Arial" w:cs="Arial" w:eastAsia="Arial" w:hAnsi="Arial"/>
          <w:sz w:val="19"/>
          <w:szCs w:val="19"/>
          <w:b w:val="1"/>
          <w:bCs w:val="1"/>
          <w:color w:val="auto"/>
        </w:rPr>
      </w:pPr>
      <w:r>
        <w:rPr>
          <w:rFonts w:ascii="Arial" w:cs="Arial" w:eastAsia="Arial" w:hAnsi="Arial"/>
          <w:sz w:val="19"/>
          <w:szCs w:val="19"/>
          <w:color w:val="auto"/>
        </w:rPr>
        <w:t>the credit risk of PAA’s customers and other counterparties it transacts with in the ordinary course of business activities;</w:t>
      </w:r>
    </w:p>
    <w:p>
      <w:pPr>
        <w:ind w:left="700" w:hanging="350"/>
        <w:spacing w:after="0"/>
        <w:tabs>
          <w:tab w:leader="none" w:pos="70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tightened capital markets or other factors that increase PAA’s cost of capital or otherwise limit its access to capital;</w:t>
      </w:r>
    </w:p>
    <w:p>
      <w:pPr>
        <w:spacing w:after="0" w:line="85" w:lineRule="exact"/>
        <w:rPr>
          <w:rFonts w:ascii="Arial" w:cs="Arial" w:eastAsia="Arial" w:hAnsi="Arial"/>
          <w:sz w:val="18"/>
          <w:szCs w:val="18"/>
          <w:b w:val="1"/>
          <w:bCs w:val="1"/>
          <w:color w:val="auto"/>
        </w:rPr>
      </w:pPr>
    </w:p>
    <w:p>
      <w:pPr>
        <w:ind w:left="700" w:hanging="350"/>
        <w:spacing w:after="0"/>
        <w:tabs>
          <w:tab w:leader="none" w:pos="700" w:val="left"/>
        </w:tabs>
        <w:numPr>
          <w:ilvl w:val="0"/>
          <w:numId w:val="23"/>
        </w:numPr>
        <w:rPr>
          <w:rFonts w:ascii="Arial" w:cs="Arial" w:eastAsia="Arial" w:hAnsi="Arial"/>
          <w:sz w:val="19"/>
          <w:szCs w:val="19"/>
          <w:b w:val="1"/>
          <w:bCs w:val="1"/>
          <w:color w:val="auto"/>
        </w:rPr>
      </w:pPr>
      <w:r>
        <w:rPr>
          <w:rFonts w:ascii="Arial" w:cs="Arial" w:eastAsia="Arial" w:hAnsi="Arial"/>
          <w:sz w:val="19"/>
          <w:szCs w:val="19"/>
          <w:color w:val="auto"/>
        </w:rPr>
        <w:t>the insufficiency of, or non-compliance with, PAA’s risk policies;</w:t>
      </w:r>
    </w:p>
    <w:p>
      <w:pPr>
        <w:spacing w:after="0" w:line="67" w:lineRule="exact"/>
        <w:rPr>
          <w:rFonts w:ascii="Arial" w:cs="Arial" w:eastAsia="Arial" w:hAnsi="Arial"/>
          <w:sz w:val="19"/>
          <w:szCs w:val="19"/>
          <w:b w:val="1"/>
          <w:bCs w:val="1"/>
          <w:color w:val="auto"/>
        </w:rPr>
      </w:pPr>
    </w:p>
    <w:p>
      <w:pPr>
        <w:ind w:left="700" w:hanging="350"/>
        <w:spacing w:after="0" w:line="292" w:lineRule="auto"/>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PAA’s insurance coverage may not fully cover its losses and it may in the future encounter increased costs related to, and lack of availability of, insurance;</w:t>
      </w:r>
    </w:p>
    <w:p>
      <w:pPr>
        <w:spacing w:after="0" w:line="1" w:lineRule="exact"/>
        <w:rPr>
          <w:rFonts w:ascii="Arial" w:cs="Arial" w:eastAsia="Arial" w:hAnsi="Arial"/>
          <w:sz w:val="19"/>
          <w:szCs w:val="19"/>
          <w:color w:val="auto"/>
        </w:rPr>
      </w:pPr>
    </w:p>
    <w:p>
      <w:pPr>
        <w:ind w:left="700" w:hanging="350"/>
        <w:spacing w:after="0"/>
        <w:tabs>
          <w:tab w:leader="none" w:pos="70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PAA’s current or future debt levels, or inability to borrow additional funds or capitalize on business opportunities;</w:t>
      </w:r>
    </w:p>
    <w:p>
      <w:pPr>
        <w:spacing w:after="0" w:line="85" w:lineRule="exact"/>
        <w:rPr>
          <w:rFonts w:ascii="Arial" w:cs="Arial" w:eastAsia="Arial" w:hAnsi="Arial"/>
          <w:sz w:val="18"/>
          <w:szCs w:val="18"/>
          <w:b w:val="1"/>
          <w:bCs w:val="1"/>
          <w:color w:val="auto"/>
        </w:rPr>
      </w:pPr>
    </w:p>
    <w:p>
      <w:pPr>
        <w:ind w:left="700" w:hanging="350"/>
        <w:spacing w:after="0"/>
        <w:tabs>
          <w:tab w:leader="none" w:pos="700" w:val="left"/>
        </w:tabs>
        <w:numPr>
          <w:ilvl w:val="0"/>
          <w:numId w:val="23"/>
        </w:numPr>
        <w:rPr>
          <w:rFonts w:ascii="Arial" w:cs="Arial" w:eastAsia="Arial" w:hAnsi="Arial"/>
          <w:sz w:val="19"/>
          <w:szCs w:val="19"/>
          <w:b w:val="1"/>
          <w:bCs w:val="1"/>
          <w:color w:val="auto"/>
        </w:rPr>
      </w:pPr>
      <w:r>
        <w:rPr>
          <w:rFonts w:ascii="Arial" w:cs="Arial" w:eastAsia="Arial" w:hAnsi="Arial"/>
          <w:sz w:val="19"/>
          <w:szCs w:val="19"/>
          <w:color w:val="auto"/>
        </w:rPr>
        <w:t>changes in interest rates and currency exchange rates;</w:t>
      </w:r>
    </w:p>
    <w:p>
      <w:pPr>
        <w:spacing w:after="0" w:line="67" w:lineRule="exact"/>
        <w:rPr>
          <w:rFonts w:ascii="Arial" w:cs="Arial" w:eastAsia="Arial" w:hAnsi="Arial"/>
          <w:sz w:val="19"/>
          <w:szCs w:val="19"/>
          <w:b w:val="1"/>
          <w:bCs w:val="1"/>
          <w:color w:val="auto"/>
        </w:rPr>
      </w:pPr>
    </w:p>
    <w:p>
      <w:pPr>
        <w:ind w:left="700" w:hanging="350"/>
        <w:spacing w:after="0"/>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difficulties recruiting and retaining PAA’s workforce;</w:t>
      </w:r>
    </w:p>
    <w:p>
      <w:pPr>
        <w:spacing w:after="0" w:line="73" w:lineRule="exact"/>
        <w:rPr>
          <w:rFonts w:ascii="Arial" w:cs="Arial" w:eastAsia="Arial" w:hAnsi="Arial"/>
          <w:sz w:val="19"/>
          <w:szCs w:val="19"/>
          <w:color w:val="auto"/>
        </w:rPr>
      </w:pPr>
    </w:p>
    <w:p>
      <w:pPr>
        <w:ind w:left="700" w:hanging="350"/>
        <w:spacing w:after="0"/>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an impairment of long-term assets;</w:t>
      </w:r>
    </w:p>
    <w:p>
      <w:pPr>
        <w:spacing w:after="0" w:line="73" w:lineRule="exact"/>
        <w:rPr>
          <w:rFonts w:ascii="Arial" w:cs="Arial" w:eastAsia="Arial" w:hAnsi="Arial"/>
          <w:sz w:val="19"/>
          <w:szCs w:val="19"/>
          <w:color w:val="auto"/>
        </w:rPr>
      </w:pPr>
    </w:p>
    <w:p>
      <w:pPr>
        <w:ind w:left="700" w:hanging="350"/>
        <w:spacing w:after="0"/>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significant under-utilization of certain assets due to fixed costs incurred to obtain the right to use such assets;</w:t>
      </w:r>
    </w:p>
    <w:p>
      <w:pPr>
        <w:spacing w:after="0" w:line="73" w:lineRule="exact"/>
        <w:rPr>
          <w:rFonts w:ascii="Arial" w:cs="Arial" w:eastAsia="Arial" w:hAnsi="Arial"/>
          <w:sz w:val="19"/>
          <w:szCs w:val="19"/>
          <w:color w:val="auto"/>
        </w:rPr>
      </w:pPr>
    </w:p>
    <w:p>
      <w:pPr>
        <w:ind w:left="700" w:hanging="350"/>
        <w:spacing w:after="0"/>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cost to repair and maintain PAA’s assets;</w:t>
      </w:r>
    </w:p>
    <w:p>
      <w:pPr>
        <w:spacing w:after="0" w:line="73" w:lineRule="exact"/>
        <w:rPr>
          <w:rFonts w:ascii="Arial" w:cs="Arial" w:eastAsia="Arial" w:hAnsi="Arial"/>
          <w:sz w:val="19"/>
          <w:szCs w:val="19"/>
          <w:color w:val="auto"/>
        </w:rPr>
      </w:pPr>
    </w:p>
    <w:p>
      <w:pPr>
        <w:ind w:left="700" w:hanging="350"/>
        <w:spacing w:after="0" w:line="289" w:lineRule="auto"/>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PAA does not own all of the land on which its pipelines and facilities are located, which could result in disruptions to its operations;</w:t>
      </w:r>
    </w:p>
    <w:p>
      <w:pPr>
        <w:ind w:left="700" w:hanging="350"/>
        <w:spacing w:after="0" w:line="289" w:lineRule="auto"/>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failure to obtain materials or commodities in the quantity and the quality PAA needs, and at commercially acceptable prices, whether due to supply disruptions, inflation, tariffs, quotas or other factors; and</w:t>
      </w:r>
    </w:p>
    <w:p>
      <w:pPr>
        <w:ind w:left="700" w:hanging="350"/>
        <w:spacing w:after="0" w:line="295" w:lineRule="auto"/>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pace of development of natural gas infrastructure could have an adverse impact on expected crude oil production growth in the Permian Basin.</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Laws and Regulations Impacting PAA’s Business</w:t>
      </w:r>
    </w:p>
    <w:p>
      <w:pPr>
        <w:spacing w:after="0" w:line="257" w:lineRule="exact"/>
        <w:rPr>
          <w:sz w:val="20"/>
          <w:szCs w:val="20"/>
          <w:color w:val="auto"/>
        </w:rPr>
      </w:pPr>
    </w:p>
    <w:p>
      <w:pPr>
        <w:jc w:val="both"/>
        <w:ind w:right="180"/>
        <w:spacing w:after="0" w:line="276" w:lineRule="auto"/>
        <w:rPr>
          <w:sz w:val="20"/>
          <w:szCs w:val="20"/>
          <w:color w:val="auto"/>
        </w:rPr>
      </w:pPr>
      <w:r>
        <w:rPr>
          <w:rFonts w:ascii="Arial" w:cs="Arial" w:eastAsia="Arial" w:hAnsi="Arial"/>
          <w:sz w:val="19"/>
          <w:szCs w:val="19"/>
          <w:color w:val="auto"/>
        </w:rPr>
        <w:t>PAA’s business may be adversely impacted by existing or new laws, executive orders and regulations relating to protection of the environment and wildlife, operational safety, cross-border import/export and tax matters, financial and hedging activities, climate change and related matters.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Inherent in an Investment in PAA</w:t>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auto"/>
        </w:rPr>
        <w:t>PAA’s partnership structure carries inherent risks, including but not limited to:</w:t>
      </w:r>
    </w:p>
    <w:p>
      <w:pPr>
        <w:spacing w:after="0" w:line="249" w:lineRule="exact"/>
        <w:rPr>
          <w:sz w:val="20"/>
          <w:szCs w:val="20"/>
          <w:color w:val="auto"/>
        </w:rPr>
      </w:pPr>
    </w:p>
    <w:p>
      <w:pPr>
        <w:ind w:left="700" w:right="620" w:hanging="350"/>
        <w:spacing w:after="0" w:line="295" w:lineRule="auto"/>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cost reimbursements due to PAA’s general partner may be substantial and will reduce PAA’s cash available for distribution to its unitholders;</w:t>
      </w:r>
    </w:p>
    <w:p>
      <w:pPr>
        <w:spacing w:after="0" w:line="47" w:lineRule="exact"/>
        <w:rPr>
          <w:rFonts w:ascii="Arial" w:cs="Arial" w:eastAsia="Arial" w:hAnsi="Arial"/>
          <w:sz w:val="19"/>
          <w:szCs w:val="19"/>
          <w:color w:val="auto"/>
        </w:rPr>
      </w:pPr>
    </w:p>
    <w:p>
      <w:pPr>
        <w:ind w:left="700" w:right="320" w:hanging="350"/>
        <w:spacing w:after="0" w:line="295" w:lineRule="auto"/>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cash distributions are not guaranteed and may fluctuate with PAA’s performance and the establishment of financial reserves; and</w:t>
      </w:r>
    </w:p>
    <w:p>
      <w:pPr>
        <w:spacing w:after="0" w:line="47" w:lineRule="exact"/>
        <w:rPr>
          <w:rFonts w:ascii="Arial" w:cs="Arial" w:eastAsia="Arial" w:hAnsi="Arial"/>
          <w:sz w:val="19"/>
          <w:szCs w:val="19"/>
          <w:color w:val="auto"/>
        </w:rPr>
      </w:pPr>
    </w:p>
    <w:p>
      <w:pPr>
        <w:ind w:left="700" w:right="20" w:hanging="350"/>
        <w:spacing w:after="0" w:line="295" w:lineRule="auto"/>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PAA’s preferred units have rights, preferences and privileges that are not the same as, and are preferential to, the rights of holders of PAA’s common units.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Risks</w:t>
      </w:r>
    </w:p>
    <w:p>
      <w:pPr>
        <w:spacing w:after="0" w:line="257" w:lineRule="exact"/>
        <w:rPr>
          <w:sz w:val="20"/>
          <w:szCs w:val="20"/>
          <w:color w:val="auto"/>
        </w:rPr>
      </w:pPr>
    </w:p>
    <w:p>
      <w:pPr>
        <w:ind w:right="160"/>
        <w:spacing w:after="0" w:line="295" w:lineRule="auto"/>
        <w:rPr>
          <w:sz w:val="20"/>
          <w:szCs w:val="20"/>
          <w:color w:val="auto"/>
        </w:rPr>
      </w:pPr>
      <w:r>
        <w:rPr>
          <w:rFonts w:ascii="Arial" w:cs="Arial" w:eastAsia="Arial" w:hAnsi="Arial"/>
          <w:sz w:val="19"/>
          <w:szCs w:val="19"/>
          <w:color w:val="auto"/>
        </w:rPr>
        <w:t>Our shares are subject to tax risks, which may adversely impact the value of or market for our shares and may reduce our cash available for distribution or debt service, including but not limited to:</w:t>
      </w:r>
    </w:p>
    <w:p>
      <w:pPr>
        <w:spacing w:after="0" w:line="48" w:lineRule="exact"/>
        <w:rPr>
          <w:sz w:val="20"/>
          <w:szCs w:val="20"/>
          <w:color w:val="auto"/>
        </w:rPr>
      </w:pPr>
    </w:p>
    <w:p>
      <w:pPr>
        <w:ind w:left="700" w:hanging="350"/>
        <w:spacing w:after="0" w:line="264" w:lineRule="auto"/>
        <w:tabs>
          <w:tab w:leader="none" w:pos="7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tax treatment of PAA depends on its status as a partnership for U.S. federal income tax purposes and not being subject to a material amount of entity-level taxation. The cash available for distribution to us from PAA may be substantially reduced if PAA were to become subject to entity-level taxation as a result of the Internal Revenue Service (“IRS”) treating PAA as a corporation or legislative, judicial or administrative changes, and may also be reduced by any audit adjustments if imposed directly on PAA. Additionally, the treatment of PAA as a corporation would increase the portion of our distributions treated as taxable dividends; and</w:t>
      </w:r>
    </w:p>
    <w:p>
      <w:pPr>
        <w:spacing w:after="0" w:line="78" w:lineRule="exact"/>
        <w:rPr>
          <w:rFonts w:ascii="Arial" w:cs="Arial" w:eastAsia="Arial" w:hAnsi="Arial"/>
          <w:sz w:val="19"/>
          <w:szCs w:val="19"/>
          <w:color w:val="auto"/>
        </w:rPr>
      </w:pPr>
    </w:p>
    <w:p>
      <w:pPr>
        <w:ind w:left="700" w:right="140" w:hanging="350"/>
        <w:spacing w:after="0" w:line="276" w:lineRule="auto"/>
        <w:tabs>
          <w:tab w:leader="none" w:pos="7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our current tax treatment may change, which could affect the value of our Class A shares or reduce our cash available for distribution, and any decrease in our Class A share price could adversely affect our amount of cash available for distribution.</w:t>
      </w:r>
    </w:p>
    <w:p>
      <w:pPr>
        <w:sectPr>
          <w:pgSz w:w="11880" w:h="15480" w:orient="portrait"/>
          <w:cols w:equalWidth="0" w:num="1">
            <w:col w:w="10000"/>
          </w:cols>
          <w:pgMar w:left="940" w:top="67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10000"/>
          </w:cols>
          <w:pgMar w:left="940" w:top="676" w:right="940" w:bottom="0" w:gutter="0" w:footer="0" w:header="0"/>
          <w:type w:val="continuous"/>
        </w:sectPr>
      </w:pPr>
    </w:p>
    <w:bookmarkStart w:id="39" w:name="page40"/>
    <w:bookmarkEnd w:id="39"/>
    <w:p>
      <w:pPr>
        <w:spacing w:after="0"/>
        <w:rPr>
          <w:sz w:val="20"/>
          <w:szCs w:val="20"/>
          <w:color w:val="auto"/>
        </w:rPr>
      </w:pPr>
      <w:r>
        <w:rPr>
          <w:rFonts w:ascii="Arial" w:cs="Arial" w:eastAsia="Arial" w:hAnsi="Arial"/>
          <w:sz w:val="19"/>
          <w:szCs w:val="19"/>
          <w:b w:val="1"/>
          <w:bCs w:val="1"/>
          <w:color w:val="auto"/>
        </w:rPr>
        <w:t>Risks Inherent in an Investment in Us</w:t>
      </w:r>
    </w:p>
    <w:p>
      <w:pPr>
        <w:spacing w:after="0" w:line="249" w:lineRule="exact"/>
        <w:rPr>
          <w:sz w:val="20"/>
          <w:szCs w:val="20"/>
          <w:color w:val="auto"/>
        </w:rPr>
      </w:pPr>
    </w:p>
    <w:p>
      <w:pPr>
        <w:ind w:right="120"/>
        <w:spacing w:after="0" w:line="300" w:lineRule="auto"/>
        <w:rPr>
          <w:sz w:val="20"/>
          <w:szCs w:val="20"/>
          <w:color w:val="auto"/>
        </w:rPr>
      </w:pPr>
      <w:r>
        <w:rPr>
          <w:rFonts w:ascii="Arial" w:cs="Arial" w:eastAsia="Arial" w:hAnsi="Arial"/>
          <w:sz w:val="19"/>
          <w:szCs w:val="19"/>
          <w:b w:val="1"/>
          <w:bCs w:val="1"/>
          <w:i w:val="1"/>
          <w:iCs w:val="1"/>
          <w:color w:val="auto"/>
        </w:rPr>
        <w:t>Our cash flow will be entirely dependent upon the ability of PAA to make cash distributions to AAP, and the ability of AAP to make cash distributions to us.</w:t>
      </w:r>
    </w:p>
    <w:p>
      <w:pPr>
        <w:spacing w:after="0" w:line="163" w:lineRule="exact"/>
        <w:rPr>
          <w:sz w:val="20"/>
          <w:szCs w:val="20"/>
          <w:color w:val="auto"/>
        </w:rPr>
      </w:pPr>
    </w:p>
    <w:p>
      <w:pPr>
        <w:ind w:firstLine="702"/>
        <w:spacing w:after="0" w:line="275" w:lineRule="auto"/>
        <w:rPr>
          <w:sz w:val="20"/>
          <w:szCs w:val="20"/>
          <w:color w:val="auto"/>
        </w:rPr>
      </w:pPr>
      <w:r>
        <w:rPr>
          <w:rFonts w:ascii="Arial" w:cs="Arial" w:eastAsia="Arial" w:hAnsi="Arial"/>
          <w:sz w:val="18"/>
          <w:szCs w:val="18"/>
          <w:color w:val="auto"/>
        </w:rPr>
        <w:t>The source of our earnings and cash flow currently consists exclusively of cash distributions from AAP, which currently consist exclusively of cash distributions from PAA. The amount of cash that PAA will be able to distribute to its partners, including AAP, each quarter principally depends upon the amount of cash it generates from its business. For a description of certain factors that can cause fluctuations in the amount of cash that PAA generates from its business, please read “—Risks Related to PAA’s Business”, “—Risks Related to Laws and Regulations Impacting PAA’s Business”, “—Risks Inherent in an Investment in PAA” and Item 7. “Management’s Discussion and Analysis of Financial Condition and Results of Operations.” PAA may not have sufficient available cash each quarter to continue paying distributions at its current level or at all. If PAA reduces its per unit distribution, either because of reduced operating cash flow, higher expenses, capital requirements or otherwise, we will have less cash available for distribution and would likely be required to reduce our per share distribution. The amount of cash PAA has available for distribution depends primarily upon PAA’s cash flow, including cash flow from the release of financial reserves as well as borrowings, and is not solely a function of profitability, which will be affected by non-cash items. As a result, PAA may make cash distributions during periods when it records losses and may not make cash distributions during periods when it records profits.</w:t>
      </w:r>
    </w:p>
    <w:p>
      <w:pPr>
        <w:spacing w:after="0" w:line="192" w:lineRule="exact"/>
        <w:rPr>
          <w:sz w:val="20"/>
          <w:szCs w:val="20"/>
          <w:color w:val="auto"/>
        </w:rPr>
      </w:pPr>
    </w:p>
    <w:p>
      <w:pPr>
        <w:ind w:firstLine="702"/>
        <w:spacing w:after="0" w:line="295" w:lineRule="auto"/>
        <w:rPr>
          <w:sz w:val="20"/>
          <w:szCs w:val="20"/>
          <w:color w:val="auto"/>
        </w:rPr>
      </w:pPr>
      <w:r>
        <w:rPr>
          <w:rFonts w:ascii="Arial" w:cs="Arial" w:eastAsia="Arial" w:hAnsi="Arial"/>
          <w:sz w:val="19"/>
          <w:szCs w:val="19"/>
          <w:color w:val="auto"/>
        </w:rPr>
        <w:t>Furthermore, AAP’s ability to distribute cash to us and our ability to distribute cash received from AAP to our Class A shareholders is limited by a number of factors, including:</w:t>
      </w:r>
    </w:p>
    <w:p>
      <w:pPr>
        <w:spacing w:after="0" w:line="48" w:lineRule="exact"/>
        <w:rPr>
          <w:sz w:val="20"/>
          <w:szCs w:val="20"/>
          <w:color w:val="auto"/>
        </w:rPr>
      </w:pPr>
    </w:p>
    <w:p>
      <w:pPr>
        <w:ind w:left="1060" w:hanging="359"/>
        <w:spacing w:after="0"/>
        <w:tabs>
          <w:tab w:leader="none" w:pos="10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our payment of any income taxes;</w:t>
      </w:r>
    </w:p>
    <w:p>
      <w:pPr>
        <w:spacing w:after="0" w:line="132" w:lineRule="exact"/>
        <w:rPr>
          <w:rFonts w:ascii="Arial" w:cs="Arial" w:eastAsia="Arial" w:hAnsi="Arial"/>
          <w:sz w:val="19"/>
          <w:szCs w:val="19"/>
          <w:color w:val="auto"/>
        </w:rPr>
      </w:pPr>
    </w:p>
    <w:p>
      <w:pPr>
        <w:ind w:left="1060" w:right="260" w:hanging="359"/>
        <w:spacing w:after="0" w:line="295" w:lineRule="auto"/>
        <w:tabs>
          <w:tab w:leader="none" w:pos="10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restrictions on distributions contained in PAA’s credit facilities and any future debt agreements entered into by AAP, PAA or us; and</w:t>
      </w:r>
    </w:p>
    <w:p>
      <w:pPr>
        <w:spacing w:after="0" w:line="47" w:lineRule="exact"/>
        <w:rPr>
          <w:rFonts w:ascii="Arial" w:cs="Arial" w:eastAsia="Arial" w:hAnsi="Arial"/>
          <w:sz w:val="19"/>
          <w:szCs w:val="19"/>
          <w:color w:val="auto"/>
        </w:rPr>
      </w:pPr>
    </w:p>
    <w:p>
      <w:pPr>
        <w:ind w:left="1060" w:right="140" w:hanging="359"/>
        <w:spacing w:after="0" w:line="358"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reserves our general partner establishes for, among other things, the proper conduct of our business or to comply with applicable law or any agreement binding on us or our subsidiaries (exclusive of PAA and its subsidiaries).</w:t>
      </w:r>
    </w:p>
    <w:p>
      <w:pPr>
        <w:spacing w:after="0" w:line="119" w:lineRule="exact"/>
        <w:rPr>
          <w:sz w:val="20"/>
          <w:szCs w:val="20"/>
          <w:color w:val="auto"/>
        </w:rPr>
      </w:pPr>
    </w:p>
    <w:p>
      <w:pPr>
        <w:ind w:right="200" w:firstLine="702"/>
        <w:spacing w:after="0" w:line="276" w:lineRule="auto"/>
        <w:rPr>
          <w:sz w:val="20"/>
          <w:szCs w:val="20"/>
          <w:color w:val="auto"/>
        </w:rPr>
      </w:pPr>
      <w:r>
        <w:rPr>
          <w:rFonts w:ascii="Arial" w:cs="Arial" w:eastAsia="Arial" w:hAnsi="Arial"/>
          <w:sz w:val="19"/>
          <w:szCs w:val="19"/>
          <w:color w:val="auto"/>
        </w:rPr>
        <w:t>A material increase in amounts paid or reserved with respect to any of these factors could restrict our ability to pay quarterly distributions to our Class A shareholders. See Item 5. “Market for Registrant’s Shares, Related Shareholder Matters and Issuer Purchases of Equity Securities—Cash Distribution Policy.”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distributions AAP is entitled to receive may fluctuate, which may reduce cash distributions to our Class A shareholders.</w:t>
      </w:r>
    </w:p>
    <w:p>
      <w:pPr>
        <w:spacing w:after="0" w:line="291" w:lineRule="exact"/>
        <w:rPr>
          <w:sz w:val="20"/>
          <w:szCs w:val="20"/>
          <w:color w:val="auto"/>
        </w:rPr>
      </w:pPr>
    </w:p>
    <w:p>
      <w:pPr>
        <w:ind w:right="40" w:firstLine="702"/>
        <w:spacing w:after="0" w:line="279" w:lineRule="auto"/>
        <w:rPr>
          <w:sz w:val="20"/>
          <w:szCs w:val="20"/>
          <w:color w:val="auto"/>
        </w:rPr>
      </w:pPr>
      <w:r>
        <w:rPr>
          <w:rFonts w:ascii="Arial" w:cs="Arial" w:eastAsia="Arial" w:hAnsi="Arial"/>
          <w:sz w:val="18"/>
          <w:szCs w:val="18"/>
          <w:color w:val="auto"/>
        </w:rPr>
        <w:t>At December 31, 2023, we owned an approximate 84% limited partner interest in AAP, which owned approximately 232.7 million PAA common units. All of the cash flow we receive from AAP is derived from its ownership of these PAA common units. Because distributions on PAA common units are dependent on the amount of cash PAA generates, distributions may fluctuate based on PAA’s performance. The actual amount of cash that is available to be distributed each quarter will depend on numerous factors, some of which are beyond our control and the control of PAA. Cash distributions are dependent primarily on cash flow, including cash flow from financial reserves and working capital borrowings, and not solely on profitability, which is affected by non-cash items. Therefore, PAA’s cash distributions might be made during periods when PAA records losses and might not be made during periods when PAA record profits.</w:t>
      </w:r>
    </w:p>
    <w:p>
      <w:pPr>
        <w:spacing w:after="0" w:line="174" w:lineRule="exact"/>
        <w:rPr>
          <w:sz w:val="20"/>
          <w:szCs w:val="20"/>
          <w:color w:val="auto"/>
        </w:rPr>
      </w:pPr>
    </w:p>
    <w:p>
      <w:pPr>
        <w:ind w:right="260"/>
        <w:spacing w:after="0" w:line="300" w:lineRule="auto"/>
        <w:rPr>
          <w:sz w:val="20"/>
          <w:szCs w:val="20"/>
          <w:color w:val="auto"/>
        </w:rPr>
      </w:pPr>
      <w:r>
        <w:rPr>
          <w:rFonts w:ascii="Arial" w:cs="Arial" w:eastAsia="Arial" w:hAnsi="Arial"/>
          <w:sz w:val="19"/>
          <w:szCs w:val="19"/>
          <w:b w:val="1"/>
          <w:bCs w:val="1"/>
          <w:i w:val="1"/>
          <w:iCs w:val="1"/>
          <w:color w:val="auto"/>
        </w:rPr>
        <w:t>If distributions on our Class A shares are not paid with respect to any fiscal quarter, our Class A shareholders will not be entitled to receive that quarter’s payments in the future.</w:t>
      </w:r>
    </w:p>
    <w:p>
      <w:pPr>
        <w:spacing w:after="0" w:line="163" w:lineRule="exact"/>
        <w:rPr>
          <w:sz w:val="20"/>
          <w:szCs w:val="20"/>
          <w:color w:val="auto"/>
        </w:rPr>
      </w:pPr>
    </w:p>
    <w:p>
      <w:pPr>
        <w:jc w:val="both"/>
        <w:ind w:firstLine="702"/>
        <w:spacing w:after="0" w:line="276" w:lineRule="auto"/>
        <w:rPr>
          <w:sz w:val="20"/>
          <w:szCs w:val="20"/>
          <w:color w:val="auto"/>
        </w:rPr>
      </w:pPr>
      <w:r>
        <w:rPr>
          <w:rFonts w:ascii="Arial" w:cs="Arial" w:eastAsia="Arial" w:hAnsi="Arial"/>
          <w:sz w:val="19"/>
          <w:szCs w:val="19"/>
          <w:color w:val="auto"/>
        </w:rPr>
        <w:t>Our distributions to our Class A shareholders are not cumulative. Consequently, if distributions on our Class A shares are not paid with respect to any fiscal quarter, our Class A shareholders will not be entitled to receive that quarter’s payments in the future.</w:t>
      </w:r>
    </w:p>
    <w:p>
      <w:pPr>
        <w:sectPr>
          <w:pgSz w:w="11880" w:h="15480" w:orient="portrait"/>
          <w:cols w:equalWidth="0" w:num="1">
            <w:col w:w="9960"/>
          </w:cols>
          <w:pgMar w:left="940" w:top="66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9960"/>
          </w:cols>
          <w:pgMar w:left="940" w:top="669" w:right="980" w:bottom="0" w:gutter="0" w:footer="0" w:header="0"/>
          <w:type w:val="continuous"/>
        </w:sectPr>
      </w:pPr>
    </w:p>
    <w:bookmarkStart w:id="40" w:name="page41"/>
    <w:bookmarkEnd w:id="40"/>
    <w:p>
      <w:pPr>
        <w:spacing w:after="0"/>
        <w:rPr>
          <w:sz w:val="20"/>
          <w:szCs w:val="20"/>
          <w:color w:val="auto"/>
        </w:rPr>
      </w:pPr>
      <w:r>
        <w:rPr>
          <w:rFonts w:ascii="Arial" w:cs="Arial" w:eastAsia="Arial" w:hAnsi="Arial"/>
          <w:sz w:val="19"/>
          <w:szCs w:val="19"/>
          <w:b w:val="1"/>
          <w:bCs w:val="1"/>
          <w:i w:val="1"/>
          <w:iCs w:val="1"/>
          <w:color w:val="auto"/>
        </w:rPr>
        <w:t>The amount of cash that we and PAA distribute each quarter may limit our ability to grow.</w:t>
      </w:r>
    </w:p>
    <w:p>
      <w:pPr>
        <w:spacing w:after="0" w:line="257" w:lineRule="exact"/>
        <w:rPr>
          <w:sz w:val="20"/>
          <w:szCs w:val="20"/>
          <w:color w:val="auto"/>
        </w:rPr>
      </w:pPr>
    </w:p>
    <w:p>
      <w:pPr>
        <w:ind w:right="20" w:firstLine="702"/>
        <w:spacing w:after="0" w:line="280" w:lineRule="auto"/>
        <w:rPr>
          <w:sz w:val="20"/>
          <w:szCs w:val="20"/>
          <w:color w:val="auto"/>
        </w:rPr>
      </w:pPr>
      <w:r>
        <w:rPr>
          <w:rFonts w:ascii="Arial" w:cs="Arial" w:eastAsia="Arial" w:hAnsi="Arial"/>
          <w:sz w:val="18"/>
          <w:szCs w:val="18"/>
          <w:color w:val="auto"/>
        </w:rPr>
        <w:t>Because we distribute all of our available cash, our growth may not be as fast as the growth of businesses that reinvest their available cash to expand ongoing operations. In fact, because currently our cash flow is generated solely from distributions we receive from AAP, which are derived from AAP’s partnership interests in PAA, our growth will be completely dependent upon PAA. The amount of distributions received by AAP is based on PAA’s per unit distribution paid on each PAA common unit and the number of PAA common units that AAP owns. If we issue additional Class A shares or we were to incur debt or are required to pay taxes, the payment of distributions on those additional Class A shares, or interest on such debt or payment of such taxes, could increase the risk that we will be unable to maintain or increase our cash distribution levels.</w:t>
      </w:r>
    </w:p>
    <w:p>
      <w:pPr>
        <w:spacing w:after="0" w:line="174" w:lineRule="exact"/>
        <w:rPr>
          <w:sz w:val="20"/>
          <w:szCs w:val="20"/>
          <w:color w:val="auto"/>
        </w:rPr>
      </w:pPr>
    </w:p>
    <w:p>
      <w:pPr>
        <w:ind w:right="400"/>
        <w:spacing w:after="0" w:line="300" w:lineRule="auto"/>
        <w:rPr>
          <w:sz w:val="20"/>
          <w:szCs w:val="20"/>
          <w:color w:val="auto"/>
        </w:rPr>
      </w:pPr>
      <w:r>
        <w:rPr>
          <w:rFonts w:ascii="Arial" w:cs="Arial" w:eastAsia="Arial" w:hAnsi="Arial"/>
          <w:sz w:val="19"/>
          <w:szCs w:val="19"/>
          <w:b w:val="1"/>
          <w:bCs w:val="1"/>
          <w:i w:val="1"/>
          <w:iCs w:val="1"/>
          <w:color w:val="auto"/>
        </w:rPr>
        <w:t>Restrictions in PAA’s credit facilities could limit AAP’s ability to make distributions to us, thereby limiting our ability to make distributions to our Class A shareholders.</w:t>
      </w:r>
    </w:p>
    <w:p>
      <w:pPr>
        <w:spacing w:after="0" w:line="163" w:lineRule="exact"/>
        <w:rPr>
          <w:sz w:val="20"/>
          <w:szCs w:val="20"/>
          <w:color w:val="auto"/>
        </w:rPr>
      </w:pPr>
    </w:p>
    <w:p>
      <w:pPr>
        <w:ind w:firstLine="702"/>
        <w:spacing w:after="0" w:line="284" w:lineRule="auto"/>
        <w:rPr>
          <w:sz w:val="20"/>
          <w:szCs w:val="20"/>
          <w:color w:val="auto"/>
        </w:rPr>
      </w:pPr>
      <w:r>
        <w:rPr>
          <w:rFonts w:ascii="Arial" w:cs="Arial" w:eastAsia="Arial" w:hAnsi="Arial"/>
          <w:sz w:val="18"/>
          <w:szCs w:val="18"/>
          <w:color w:val="auto"/>
        </w:rPr>
        <w:t>PAA’s credit facilities contain various operating and financial restrictions and covenants. PAA’s ability to comply with these restrictions and covenants may be affected by events beyond its control, including prevailing economic, financial and industry conditions. If PAA is unable to comply with these restrictions and covenants, any indebtedness under these credit facilities may become immediately due and payable and PAA’s lenders’ commitment to make further loans under these credit facilities may terminate. PAA might not have, or be able to obtain, sufficient funds to make these accelerated payments.</w:t>
      </w:r>
    </w:p>
    <w:p>
      <w:pPr>
        <w:spacing w:after="0" w:line="179" w:lineRule="exact"/>
        <w:rPr>
          <w:sz w:val="20"/>
          <w:szCs w:val="20"/>
          <w:color w:val="auto"/>
        </w:rPr>
      </w:pPr>
    </w:p>
    <w:p>
      <w:pPr>
        <w:ind w:right="40" w:firstLine="702"/>
        <w:spacing w:after="0" w:line="266" w:lineRule="auto"/>
        <w:rPr>
          <w:sz w:val="20"/>
          <w:szCs w:val="20"/>
          <w:color w:val="auto"/>
        </w:rPr>
      </w:pPr>
      <w:r>
        <w:rPr>
          <w:rFonts w:ascii="Arial" w:cs="Arial" w:eastAsia="Arial" w:hAnsi="Arial"/>
          <w:sz w:val="19"/>
          <w:szCs w:val="19"/>
          <w:color w:val="auto"/>
        </w:rPr>
        <w:t>For more information regarding PAA’s credit facilities, please read “Management’s Discussion and Analysis of Financial Condition and Results of Operations—Liquidity and Capital Resources.” For information regarding risks related to PAA’s credit facilities, please see “—Risks Related to PAA’s Business—The terms of PAA’s indebtedness may limit its ability to borrow additional funds or capitalize on business opportunities. In addition, PAA’s future debt level may limit its future financial and operating flexibility.”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Class B shareholders own a significant number of shares, which may make the removal of our general partner difficult.</w:t>
      </w:r>
    </w:p>
    <w:p>
      <w:pPr>
        <w:spacing w:after="0" w:line="280" w:lineRule="exact"/>
        <w:rPr>
          <w:sz w:val="20"/>
          <w:szCs w:val="20"/>
          <w:color w:val="auto"/>
        </w:rPr>
      </w:pPr>
    </w:p>
    <w:p>
      <w:pPr>
        <w:ind w:right="20" w:firstLine="702"/>
        <w:spacing w:after="0" w:line="263" w:lineRule="auto"/>
        <w:rPr>
          <w:sz w:val="20"/>
          <w:szCs w:val="20"/>
          <w:color w:val="auto"/>
        </w:rPr>
      </w:pPr>
      <w:r>
        <w:rPr>
          <w:rFonts w:ascii="Arial" w:cs="Arial" w:eastAsia="Arial" w:hAnsi="Arial"/>
          <w:sz w:val="19"/>
          <w:szCs w:val="19"/>
          <w:color w:val="auto"/>
        </w:rPr>
        <w:t xml:space="preserve">Our shareholders have only limited voting rights on matters affecting our business and, therefore, limited ability to influence management’s decisions regarding our business. If our Class A shareholders are dissatisfied with the performance of our general partner, it may be difficult for them to remove our general partner. Our general partner may only be removed by vote of the holders of at least 66 </w:t>
      </w:r>
      <w:r>
        <w:rPr>
          <w:rFonts w:ascii="Arial" w:cs="Arial" w:eastAsia="Arial" w:hAnsi="Arial"/>
          <w:sz w:val="13"/>
          <w:szCs w:val="13"/>
          <w:color w:val="auto"/>
        </w:rPr>
        <w:t>2</w:t>
      </w:r>
      <w:r>
        <w:rPr>
          <w:rFonts w:ascii="Arial" w:cs="Arial" w:eastAsia="Arial" w:hAnsi="Arial"/>
          <w:sz w:val="19"/>
          <w:szCs w:val="19"/>
          <w:color w:val="auto"/>
        </w:rPr>
        <w:t>/</w:t>
      </w:r>
      <w:r>
        <w:rPr>
          <w:rFonts w:ascii="Arial" w:cs="Arial" w:eastAsia="Arial" w:hAnsi="Arial"/>
          <w:sz w:val="13"/>
          <w:szCs w:val="13"/>
          <w:color w:val="auto"/>
        </w:rPr>
        <w:t>3</w:t>
      </w:r>
      <w:r>
        <w:rPr>
          <w:rFonts w:ascii="Arial" w:cs="Arial" w:eastAsia="Arial" w:hAnsi="Arial"/>
          <w:sz w:val="19"/>
          <w:szCs w:val="19"/>
          <w:color w:val="auto"/>
        </w:rPr>
        <w:t>% of our outstanding shares (including both Class A and Class B shares). At December 31, 2023, the Legacy Owners owned approximately 16% of our outstanding Class A and Class B shares. Without the support of our Legacy Owners, such ownership level may make it more difficult for our Class A shareholders to obtain the requisite vote level required to remove our general partner.</w:t>
      </w:r>
    </w:p>
    <w:p>
      <w:pPr>
        <w:spacing w:after="0" w:line="196" w:lineRule="exact"/>
        <w:rPr>
          <w:sz w:val="20"/>
          <w:szCs w:val="20"/>
          <w:color w:val="auto"/>
        </w:rPr>
      </w:pPr>
    </w:p>
    <w:p>
      <w:pPr>
        <w:ind w:right="40" w:firstLine="702"/>
        <w:spacing w:after="0" w:line="295" w:lineRule="auto"/>
        <w:rPr>
          <w:sz w:val="20"/>
          <w:szCs w:val="20"/>
          <w:color w:val="auto"/>
        </w:rPr>
      </w:pPr>
      <w:r>
        <w:rPr>
          <w:rFonts w:ascii="Arial" w:cs="Arial" w:eastAsia="Arial" w:hAnsi="Arial"/>
          <w:sz w:val="19"/>
          <w:szCs w:val="19"/>
          <w:color w:val="auto"/>
        </w:rPr>
        <w:t>As a result of these provisions, the price at which our shares trade may be lower because of the absence or reduction of a control or takeover premium in the trading price.</w:t>
      </w:r>
    </w:p>
    <w:p>
      <w:pPr>
        <w:spacing w:after="0" w:line="158" w:lineRule="exact"/>
        <w:rPr>
          <w:sz w:val="20"/>
          <w:szCs w:val="20"/>
          <w:color w:val="auto"/>
        </w:rPr>
      </w:pPr>
    </w:p>
    <w:p>
      <w:pPr>
        <w:spacing w:after="0" w:line="278" w:lineRule="auto"/>
        <w:rPr>
          <w:sz w:val="20"/>
          <w:szCs w:val="20"/>
          <w:color w:val="auto"/>
        </w:rPr>
      </w:pPr>
      <w:r>
        <w:rPr>
          <w:rFonts w:ascii="Arial" w:cs="Arial" w:eastAsia="Arial" w:hAnsi="Arial"/>
          <w:sz w:val="19"/>
          <w:szCs w:val="19"/>
          <w:b w:val="1"/>
          <w:bCs w:val="1"/>
          <w:i w:val="1"/>
          <w:iCs w:val="1"/>
          <w:color w:val="auto"/>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spacing w:after="0" w:line="184" w:lineRule="exact"/>
        <w:rPr>
          <w:sz w:val="20"/>
          <w:szCs w:val="20"/>
          <w:color w:val="auto"/>
        </w:rPr>
      </w:pPr>
    </w:p>
    <w:p>
      <w:pPr>
        <w:ind w:right="40" w:firstLine="702"/>
        <w:spacing w:after="0" w:line="263" w:lineRule="auto"/>
        <w:rPr>
          <w:sz w:val="20"/>
          <w:szCs w:val="20"/>
          <w:color w:val="auto"/>
        </w:rPr>
      </w:pPr>
      <w:r>
        <w:rPr>
          <w:rFonts w:ascii="Arial" w:cs="Arial" w:eastAsia="Arial" w:hAnsi="Arial"/>
          <w:sz w:val="19"/>
          <w:szCs w:val="19"/>
          <w:color w:val="auto"/>
        </w:rPr>
        <w:t>Our general partner may cause us to issue an unlimited number of additional Class A shares or other equity securities of equal rank with the Class A shares, or cause AAP to issue additional securities, in each case without shareholder approval. In addition, we may issue an unlimited number of shares that are senior to our Class A shares in right of distribution, liquidation and voting. Except for Class A shares issued in connection with the exercise of an Exchange Right, which will result in the cancellation of an equivalent number of Class B shares and therefore have no effect on the total number of outstanding shares, the issuance of additional Class A shares or our other equity securities of equal or senior rank, or the issuance by AAP of additional securities, will have the following effects:</w:t>
      </w:r>
    </w:p>
    <w:p>
      <w:pPr>
        <w:spacing w:after="0" w:line="79" w:lineRule="exact"/>
        <w:rPr>
          <w:sz w:val="20"/>
          <w:szCs w:val="20"/>
          <w:color w:val="auto"/>
        </w:rPr>
      </w:pPr>
    </w:p>
    <w:p>
      <w:pPr>
        <w:ind w:left="1060" w:hanging="359"/>
        <w:spacing w:after="0"/>
        <w:tabs>
          <w:tab w:leader="none" w:pos="10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each shareholder’s proportionate ownership interest in us may decrease;</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amount of cash available for distribution on each Class A share may decrease;</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relative voting strength of each previously outstanding Class A share may be diminished;</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ratio of taxable income to distributions may increase; and</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market price of the Class A shares may decline.</w:t>
      </w:r>
    </w:p>
    <w:p>
      <w:pPr>
        <w:sectPr>
          <w:pgSz w:w="11880" w:h="15480" w:orient="portrait"/>
          <w:cols w:equalWidth="0" w:num="1">
            <w:col w:w="10000"/>
          </w:cols>
          <w:pgMar w:left="940" w:top="66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10000"/>
          </w:cols>
          <w:pgMar w:left="940" w:top="669" w:right="940" w:bottom="0" w:gutter="0" w:footer="0" w:header="0"/>
          <w:type w:val="continuous"/>
        </w:sectPr>
      </w:pPr>
    </w:p>
    <w:bookmarkStart w:id="41" w:name="page42"/>
    <w:bookmarkEnd w:id="41"/>
    <w:p>
      <w:pPr>
        <w:ind w:right="540"/>
        <w:spacing w:after="0" w:line="300" w:lineRule="auto"/>
        <w:rPr>
          <w:sz w:val="20"/>
          <w:szCs w:val="20"/>
          <w:color w:val="auto"/>
        </w:rPr>
      </w:pPr>
      <w:r>
        <w:rPr>
          <w:rFonts w:ascii="Arial" w:cs="Arial" w:eastAsia="Arial" w:hAnsi="Arial"/>
          <w:sz w:val="19"/>
          <w:szCs w:val="19"/>
          <w:b w:val="1"/>
          <w:bCs w:val="1"/>
          <w:i w:val="1"/>
          <w:iCs w:val="1"/>
          <w:color w:val="auto"/>
        </w:rPr>
        <w:t>If PAA’s unitholders remove PAA GP as PAA”s general partner, AAP may be required to sell or exchange its indirect general partner interest and we may lose our ability to manage and control PAA.</w:t>
      </w:r>
    </w:p>
    <w:p>
      <w:pPr>
        <w:spacing w:after="0" w:line="163" w:lineRule="exact"/>
        <w:rPr>
          <w:sz w:val="20"/>
          <w:szCs w:val="20"/>
          <w:color w:val="auto"/>
        </w:rPr>
      </w:pPr>
    </w:p>
    <w:p>
      <w:pPr>
        <w:ind w:right="60" w:firstLine="702"/>
        <w:spacing w:after="0" w:line="279" w:lineRule="auto"/>
        <w:rPr>
          <w:sz w:val="20"/>
          <w:szCs w:val="20"/>
          <w:color w:val="auto"/>
        </w:rPr>
      </w:pPr>
      <w:r>
        <w:rPr>
          <w:rFonts w:ascii="Arial" w:cs="Arial" w:eastAsia="Arial" w:hAnsi="Arial"/>
          <w:sz w:val="18"/>
          <w:szCs w:val="18"/>
          <w:color w:val="auto"/>
        </w:rPr>
        <w:t xml:space="preserve">We currently manage our investment in PAA through our indirect ownership of PAA GP, which serves as PAA’s general partner. PAA’s partnership agreement gives unitholders of PAA the right to remove PAA GP as general partner upon the affirmative vote of holders of 66 </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PAA’s outstanding units. If PAA GP withdraws as general partner or is removed without cause (as defined in PAA’s partnership agreement) and a successor general partner is elected, AAP will receive cash in exchange for its indirect general partner interest. If PAA GP withdraws under circumstances other than those described in the preceding sentence and a successor general partner is elected, the successor general partner will purchase the general partner interest for its fair market value. If PAA GP’s interests are not purchased, they will be converted into common units. In either case, we could lose our ability to manage and control PAA.</w:t>
      </w:r>
    </w:p>
    <w:p>
      <w:pPr>
        <w:spacing w:after="0" w:line="181" w:lineRule="exact"/>
        <w:rPr>
          <w:sz w:val="20"/>
          <w:szCs w:val="20"/>
          <w:color w:val="auto"/>
        </w:rPr>
      </w:pPr>
    </w:p>
    <w:p>
      <w:pPr>
        <w:ind w:right="40" w:firstLine="702"/>
        <w:spacing w:after="0" w:line="276" w:lineRule="auto"/>
        <w:rPr>
          <w:sz w:val="20"/>
          <w:szCs w:val="20"/>
          <w:color w:val="auto"/>
        </w:rPr>
      </w:pPr>
      <w:r>
        <w:rPr>
          <w:rFonts w:ascii="Arial" w:cs="Arial" w:eastAsia="Arial" w:hAnsi="Arial"/>
          <w:sz w:val="19"/>
          <w:szCs w:val="19"/>
          <w:color w:val="auto"/>
        </w:rPr>
        <w:t>In addition, if PAA GP is removed or withdraws as general partner of PAA, we could face an increased risk of being deemed an investment company. Please read “—If in the future we cease to manage and control PAA, we may be deemed to be an investment company under the Investment Company Act of 1940.”</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Shareholders may not have limited liability if a court finds that shareholder action constitutes control of our business.</w:t>
      </w:r>
    </w:p>
    <w:p>
      <w:pPr>
        <w:spacing w:after="0" w:line="280" w:lineRule="exact"/>
        <w:rPr>
          <w:sz w:val="20"/>
          <w:szCs w:val="20"/>
          <w:color w:val="auto"/>
        </w:rPr>
      </w:pPr>
    </w:p>
    <w:p>
      <w:pPr>
        <w:ind w:firstLine="702"/>
        <w:spacing w:after="0" w:line="305" w:lineRule="auto"/>
        <w:rPr>
          <w:sz w:val="20"/>
          <w:szCs w:val="20"/>
          <w:color w:val="auto"/>
        </w:rPr>
      </w:pPr>
      <w:r>
        <w:rPr>
          <w:rFonts w:ascii="Arial" w:cs="Arial" w:eastAsia="Arial" w:hAnsi="Arial"/>
          <w:sz w:val="17"/>
          <w:szCs w:val="17"/>
          <w:color w:val="auto"/>
        </w:rPr>
        <w:t>Under Delaware law, our shareholders could be held liable for our obligations to the same extent as a general partner if a court determined that the right or the exercise of the right by our shareholders as a group to remove or replace our general partner, to approve some amendments to the partnership agreement or to take other action under our partnership agreement constituted participation in the “control” of our business. Additionally, the limitations on the liability of holders of limited partner interests for the liabilities of a limited partnership have not been clearly established in many jurisdictions.</w:t>
      </w:r>
    </w:p>
    <w:p>
      <w:pPr>
        <w:spacing w:after="0" w:line="162" w:lineRule="exact"/>
        <w:rPr>
          <w:sz w:val="20"/>
          <w:szCs w:val="20"/>
          <w:color w:val="auto"/>
        </w:rPr>
      </w:pPr>
    </w:p>
    <w:p>
      <w:pPr>
        <w:ind w:right="80" w:firstLine="702"/>
        <w:spacing w:after="0" w:line="276" w:lineRule="auto"/>
        <w:rPr>
          <w:sz w:val="20"/>
          <w:szCs w:val="20"/>
          <w:color w:val="auto"/>
        </w:rPr>
      </w:pPr>
      <w:r>
        <w:rPr>
          <w:rFonts w:ascii="Arial" w:cs="Arial" w:eastAsia="Arial" w:hAnsi="Arial"/>
          <w:sz w:val="19"/>
          <w:szCs w:val="19"/>
          <w:color w:val="auto"/>
        </w:rPr>
        <w:t>Furthermore, Section 17-607 of the Delaware Revised Uniform Limited Partnership Act provides that, under some circumstances, a shareholder may be liable to us for the amount of a distribution for a period of three years from the date of the distribution.</w:t>
      </w:r>
    </w:p>
    <w:p>
      <w:pPr>
        <w:spacing w:after="0" w:line="175" w:lineRule="exact"/>
        <w:rPr>
          <w:sz w:val="20"/>
          <w:szCs w:val="20"/>
          <w:color w:val="auto"/>
        </w:rPr>
      </w:pPr>
    </w:p>
    <w:p>
      <w:pPr>
        <w:ind w:right="20"/>
        <w:spacing w:after="0" w:line="300" w:lineRule="auto"/>
        <w:rPr>
          <w:sz w:val="20"/>
          <w:szCs w:val="20"/>
          <w:color w:val="auto"/>
        </w:rPr>
      </w:pPr>
      <w:r>
        <w:rPr>
          <w:rFonts w:ascii="Arial" w:cs="Arial" w:eastAsia="Arial" w:hAnsi="Arial"/>
          <w:sz w:val="19"/>
          <w:szCs w:val="19"/>
          <w:b w:val="1"/>
          <w:bCs w:val="1"/>
          <w:i w:val="1"/>
          <w:iCs w:val="1"/>
          <w:color w:val="auto"/>
        </w:rPr>
        <w:t>If in the future we cease to manage and control PAA, we may be deemed to be an investment company under the Investment Company Act of 1940.</w:t>
      </w:r>
    </w:p>
    <w:p>
      <w:pPr>
        <w:spacing w:after="0" w:line="163" w:lineRule="exact"/>
        <w:rPr>
          <w:sz w:val="20"/>
          <w:szCs w:val="20"/>
          <w:color w:val="auto"/>
        </w:rPr>
      </w:pPr>
    </w:p>
    <w:p>
      <w:pPr>
        <w:ind w:firstLine="702"/>
        <w:spacing w:after="0" w:line="299" w:lineRule="auto"/>
        <w:rPr>
          <w:sz w:val="20"/>
          <w:szCs w:val="20"/>
          <w:color w:val="auto"/>
        </w:rPr>
      </w:pPr>
      <w:r>
        <w:rPr>
          <w:rFonts w:ascii="Arial" w:cs="Arial" w:eastAsia="Arial" w:hAnsi="Arial"/>
          <w:sz w:val="17"/>
          <w:szCs w:val="17"/>
          <w:color w:val="auto"/>
        </w:rPr>
        <w:t>If we cease to indirectly manage and control PAA and are deemed to be an investment company under the Investment Company Act of 1940, we would either have to register as an investment company under the Investment Company Act of 1940, obtain exemptive relief from the SEC or modify our organizational structure or our contractual rights to fall outside the definition of an investment company. Registering as an investment company could, among other things, materially limit our ability to engage in transactions with affiliates, including the purchase and sale of certain securities or other property to or from our affiliates, restrict the ability of PAA and us to borrow funds or engage in other transactions involving leverage, require us to add additional directors who are independent of us and our affiliates, and adversely affect the price of our Class A shares.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partnership agreement restricts the rights of shareholders owning 20% or more of our shares.</w:t>
      </w:r>
    </w:p>
    <w:p>
      <w:pPr>
        <w:spacing w:after="0" w:line="257" w:lineRule="exact"/>
        <w:rPr>
          <w:sz w:val="20"/>
          <w:szCs w:val="20"/>
          <w:color w:val="auto"/>
        </w:rPr>
      </w:pPr>
    </w:p>
    <w:p>
      <w:pPr>
        <w:ind w:right="60" w:firstLine="702"/>
        <w:spacing w:after="0" w:line="278" w:lineRule="auto"/>
        <w:rPr>
          <w:sz w:val="20"/>
          <w:szCs w:val="20"/>
          <w:color w:val="auto"/>
        </w:rPr>
      </w:pPr>
      <w:r>
        <w:rPr>
          <w:rFonts w:ascii="Arial" w:cs="Arial" w:eastAsia="Arial" w:hAnsi="Arial"/>
          <w:sz w:val="18"/>
          <w:szCs w:val="18"/>
          <w:color w:val="auto"/>
        </w:rPr>
        <w:t>Our shareholders’ voting rights are restricted by the provision in our partnership agreement generally providing that any shares held by a person or group that owns 20% or more of any class of shares then outstanding, other than our general partner, the Legacy Owners (or certain transferees in private, non-exchange transactions), their respective affiliates and persons who acquired such shares with the prior approval of our general partner’s board of directors, cannot be voted on any matter, except that such shares constituting up to 19.9% of the total shares outstanding may be voted in the election of directors. In addition, our partnership agreement contains provisions limiting the ability of our shareholders to call meetings or to acquire information about our operations, as well as other provisions limiting our shareholders’ ability to influence the manner or direction of our management. As a result, the price at which our Class A shares will trade may be lower because of the absence or reduction of a takeover premium in the trading price.</w:t>
      </w:r>
    </w:p>
    <w:p>
      <w:pPr>
        <w:sectPr>
          <w:pgSz w:w="11880" w:h="15480" w:orient="portrait"/>
          <w:cols w:equalWidth="0" w:num="1">
            <w:col w:w="9980"/>
          </w:cols>
          <w:pgMar w:left="940" w:top="66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9980"/>
          </w:cols>
          <w:pgMar w:left="940" w:top="669" w:right="960" w:bottom="0" w:gutter="0" w:footer="0" w:header="0"/>
          <w:type w:val="continuous"/>
        </w:sectPr>
      </w:pPr>
    </w:p>
    <w:bookmarkStart w:id="42" w:name="page43"/>
    <w:bookmarkEnd w:id="42"/>
    <w:p>
      <w:pPr>
        <w:spacing w:after="0" w:line="401" w:lineRule="auto"/>
        <w:rPr>
          <w:sz w:val="20"/>
          <w:szCs w:val="20"/>
          <w:color w:val="auto"/>
        </w:rPr>
      </w:pPr>
      <w:r>
        <w:rPr>
          <w:rFonts w:ascii="Arial" w:cs="Arial" w:eastAsia="Arial" w:hAnsi="Arial"/>
          <w:sz w:val="16"/>
          <w:szCs w:val="16"/>
          <w:b w:val="1"/>
          <w:bCs w:val="1"/>
          <w:i w:val="1"/>
          <w:iCs w:val="1"/>
          <w:color w:val="auto"/>
        </w:rPr>
        <w:t>If PAA’s general partner, which is owned by AAP, is not fully reimbursed or indemnified for obligations and liabilities it incurs in managing the business and affairs of PAA, its value, and, therefore, the value of our Class A shares, could decline.</w:t>
      </w:r>
    </w:p>
    <w:p>
      <w:pPr>
        <w:spacing w:after="0" w:line="94" w:lineRule="exact"/>
        <w:rPr>
          <w:sz w:val="20"/>
          <w:szCs w:val="20"/>
          <w:color w:val="auto"/>
        </w:rPr>
      </w:pPr>
    </w:p>
    <w:p>
      <w:pPr>
        <w:ind w:right="180" w:firstLine="702"/>
        <w:spacing w:after="0" w:line="264" w:lineRule="auto"/>
        <w:rPr>
          <w:sz w:val="20"/>
          <w:szCs w:val="20"/>
          <w:color w:val="auto"/>
        </w:rPr>
      </w:pPr>
      <w:r>
        <w:rPr>
          <w:rFonts w:ascii="Arial" w:cs="Arial" w:eastAsia="Arial" w:hAnsi="Arial"/>
          <w:sz w:val="19"/>
          <w:szCs w:val="19"/>
          <w:color w:val="auto"/>
        </w:rPr>
        <w:t>AAP, GP LLC and their affiliates may make expenditures on behalf of PAA for which PAA GP will seek reimbursement from PAA. Under Delaware partnership law, PAA GP has unlimited liability for the obligations of PAA, such as its debts and environmental liabilities, except for those contractual obligations of PAA that are expressly made without recourse to the general partner. To the extent PAA GP incurs obligations on behalf of PAA, it is entitled to be reimbursed or indemnified by PAA. If PAA is unable or unwilling to reimburse or indemnify PAA GP, PAA GP may be required to satisfy those liabilities or obligations, which would reduce AAP’s cash flows to us.</w:t>
      </w:r>
    </w:p>
    <w:p>
      <w:pPr>
        <w:spacing w:after="0" w:line="189" w:lineRule="exact"/>
        <w:rPr>
          <w:sz w:val="20"/>
          <w:szCs w:val="20"/>
          <w:color w:val="auto"/>
        </w:rPr>
      </w:pPr>
    </w:p>
    <w:p>
      <w:pPr>
        <w:ind w:right="200"/>
        <w:spacing w:after="0" w:line="300" w:lineRule="auto"/>
        <w:rPr>
          <w:sz w:val="20"/>
          <w:szCs w:val="20"/>
          <w:color w:val="auto"/>
        </w:rPr>
      </w:pPr>
      <w:r>
        <w:rPr>
          <w:rFonts w:ascii="Arial" w:cs="Arial" w:eastAsia="Arial" w:hAnsi="Arial"/>
          <w:sz w:val="19"/>
          <w:szCs w:val="19"/>
          <w:b w:val="1"/>
          <w:bCs w:val="1"/>
          <w:i w:val="1"/>
          <w:iCs w:val="1"/>
          <w:color w:val="auto"/>
        </w:rPr>
        <w:t>The price of our Class A shares may be volatile, and holders of our Class A shares could lose a significant portion of their investments.</w:t>
      </w:r>
    </w:p>
    <w:p>
      <w:pPr>
        <w:spacing w:after="0" w:line="163" w:lineRule="exact"/>
        <w:rPr>
          <w:sz w:val="20"/>
          <w:szCs w:val="20"/>
          <w:color w:val="auto"/>
        </w:rPr>
      </w:pPr>
    </w:p>
    <w:p>
      <w:pPr>
        <w:ind w:right="140" w:firstLine="702"/>
        <w:spacing w:after="0" w:line="289" w:lineRule="auto"/>
        <w:rPr>
          <w:sz w:val="20"/>
          <w:szCs w:val="20"/>
          <w:color w:val="auto"/>
        </w:rPr>
      </w:pPr>
      <w:r>
        <w:rPr>
          <w:rFonts w:ascii="Arial" w:cs="Arial" w:eastAsia="Arial" w:hAnsi="Arial"/>
          <w:sz w:val="18"/>
          <w:szCs w:val="18"/>
          <w:color w:val="auto"/>
        </w:rPr>
        <w:t>The market price of our Class A shares could be volatile, and our shareholders may not be able to resell their Class A shares at or above the price at which they purchased such Class A shares due to fluctuations in the market price of the Class A shares, including changes in price caused by factors unrelated to our operating performance or prospects or the operating performance or prospects of PAA. The following factors, among others, could affect our Class A share price:</w:t>
      </w:r>
    </w:p>
    <w:p>
      <w:pPr>
        <w:spacing w:after="0" w:line="56" w:lineRule="exact"/>
        <w:rPr>
          <w:sz w:val="20"/>
          <w:szCs w:val="20"/>
          <w:color w:val="auto"/>
        </w:rPr>
      </w:pPr>
    </w:p>
    <w:p>
      <w:pPr>
        <w:ind w:left="1060" w:hanging="359"/>
        <w:spacing w:after="0"/>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PAA’s operating and financial performance and prospects and the trading price of its common units;</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level of PAA’s quarterly distributions and our quarterly distributions;</w:t>
      </w:r>
    </w:p>
    <w:p>
      <w:pPr>
        <w:spacing w:after="0" w:line="132" w:lineRule="exact"/>
        <w:rPr>
          <w:rFonts w:ascii="Arial" w:cs="Arial" w:eastAsia="Arial" w:hAnsi="Arial"/>
          <w:sz w:val="19"/>
          <w:szCs w:val="19"/>
          <w:color w:val="auto"/>
        </w:rPr>
      </w:pPr>
    </w:p>
    <w:p>
      <w:pPr>
        <w:ind w:left="1060" w:right="260" w:hanging="359"/>
        <w:spacing w:after="0" w:line="295" w:lineRule="auto"/>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quarterly variations in the rate of growth of our financial indicators, such as distributable cash flow per Class A share, net income and revenues;</w:t>
      </w:r>
    </w:p>
    <w:p>
      <w:pPr>
        <w:spacing w:after="0" w:line="47" w:lineRule="exact"/>
        <w:rPr>
          <w:rFonts w:ascii="Arial" w:cs="Arial" w:eastAsia="Arial" w:hAnsi="Arial"/>
          <w:sz w:val="19"/>
          <w:szCs w:val="19"/>
          <w:color w:val="auto"/>
        </w:rPr>
      </w:pPr>
    </w:p>
    <w:p>
      <w:pPr>
        <w:ind w:left="1060" w:hanging="359"/>
        <w:spacing w:after="0"/>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changes in revenue or earnings and distribution estimates or publication of research reports by analysts;</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speculation by the press or investment community;</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sales of our Class A shares by our shareholders;</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exercise by the Legacy Owners of their exchange rights with respect to any retained AAP units;</w:t>
      </w:r>
    </w:p>
    <w:p>
      <w:pPr>
        <w:spacing w:after="0" w:line="132" w:lineRule="exact"/>
        <w:rPr>
          <w:rFonts w:ascii="Arial" w:cs="Arial" w:eastAsia="Arial" w:hAnsi="Arial"/>
          <w:sz w:val="19"/>
          <w:szCs w:val="19"/>
          <w:color w:val="auto"/>
        </w:rPr>
      </w:pPr>
    </w:p>
    <w:p>
      <w:pPr>
        <w:ind w:left="1060" w:right="540" w:hanging="359"/>
        <w:spacing w:after="0" w:line="295" w:lineRule="auto"/>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announcements by PAA or its competitors of significant contracts, acquisitions, strategic partnerships, joint ventures, securities offerings or capital commitments;</w:t>
      </w:r>
    </w:p>
    <w:p>
      <w:pPr>
        <w:spacing w:after="0" w:line="47" w:lineRule="exact"/>
        <w:rPr>
          <w:rFonts w:ascii="Arial" w:cs="Arial" w:eastAsia="Arial" w:hAnsi="Arial"/>
          <w:sz w:val="19"/>
          <w:szCs w:val="19"/>
          <w:color w:val="auto"/>
        </w:rPr>
      </w:pPr>
    </w:p>
    <w:p>
      <w:pPr>
        <w:ind w:left="1060" w:hanging="359"/>
        <w:spacing w:after="0"/>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general market conditions, including conditions in financial markets;</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changes in accounting standards, policies, guidance, interpretations or principles;</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adverse changes in tax laws or regulations;</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domestic and international economic, legal and regulatory factors related to PAA’s performance; and</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other factors described in these “Risk Factors.”</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An increase in interest rates may cause the market price of our shares to decline.</w:t>
      </w:r>
    </w:p>
    <w:p>
      <w:pPr>
        <w:spacing w:after="0" w:line="257" w:lineRule="exact"/>
        <w:rPr>
          <w:sz w:val="20"/>
          <w:szCs w:val="20"/>
          <w:color w:val="auto"/>
        </w:rPr>
      </w:pPr>
    </w:p>
    <w:p>
      <w:pPr>
        <w:ind w:right="40" w:firstLine="702"/>
        <w:spacing w:after="0" w:line="263" w:lineRule="auto"/>
        <w:rPr>
          <w:sz w:val="20"/>
          <w:szCs w:val="20"/>
          <w:color w:val="auto"/>
        </w:rPr>
      </w:pPr>
      <w:r>
        <w:rPr>
          <w:rFonts w:ascii="Arial" w:cs="Arial" w:eastAsia="Arial" w:hAnsi="Arial"/>
          <w:sz w:val="19"/>
          <w:szCs w:val="19"/>
          <w:color w:val="auto"/>
        </w:rPr>
        <w:t>Like all equity investments, an investment in our Class A shares is subject to certain risks. In exchange for accepting these risks, investors may expect to receive a higher rate of return than would otherwise be obtainable from lower-risk investments. Accordingly, as interest rates rise, the ability of investors to obtain higher risk-adjusted rates of return by purchasing government-backed debt securities may cause a corresponding decline in demand for riskier investments generally, including yield-based equity investments such as publicly traded limited partnership interests. Reduced demand for our Class A shares resulting from investors seeking other more favorable investment opportunities may cause the trading price of our Class A shares to decline.</w:t>
      </w:r>
    </w:p>
    <w:p>
      <w:pPr>
        <w:spacing w:after="0" w:line="189" w:lineRule="exact"/>
        <w:rPr>
          <w:sz w:val="20"/>
          <w:szCs w:val="20"/>
          <w:color w:val="auto"/>
        </w:rPr>
      </w:pPr>
    </w:p>
    <w:p>
      <w:pPr>
        <w:ind w:right="340"/>
        <w:spacing w:after="0" w:line="363" w:lineRule="auto"/>
        <w:rPr>
          <w:sz w:val="20"/>
          <w:szCs w:val="20"/>
          <w:color w:val="auto"/>
        </w:rPr>
      </w:pPr>
      <w:r>
        <w:rPr>
          <w:rFonts w:ascii="Arial" w:cs="Arial" w:eastAsia="Arial" w:hAnsi="Arial"/>
          <w:sz w:val="17"/>
          <w:szCs w:val="17"/>
          <w:b w:val="1"/>
          <w:bCs w:val="1"/>
          <w:i w:val="1"/>
          <w:iCs w:val="1"/>
          <w:color w:val="auto"/>
        </w:rPr>
        <w:t>Future sales of our Class A shares in the public market could reduce our Class A share price, and any additional capital raised by us through the sale of equity or convertible securities may have a dilutive effect on our shareholders.</w:t>
      </w:r>
    </w:p>
    <w:p>
      <w:pPr>
        <w:spacing w:after="0" w:line="118" w:lineRule="exact"/>
        <w:rPr>
          <w:sz w:val="20"/>
          <w:szCs w:val="20"/>
          <w:color w:val="auto"/>
        </w:rPr>
      </w:pPr>
    </w:p>
    <w:p>
      <w:pPr>
        <w:ind w:firstLine="702"/>
        <w:spacing w:after="0" w:line="289" w:lineRule="auto"/>
        <w:rPr>
          <w:sz w:val="20"/>
          <w:szCs w:val="20"/>
          <w:color w:val="auto"/>
        </w:rPr>
      </w:pPr>
      <w:r>
        <w:rPr>
          <w:rFonts w:ascii="Arial" w:cs="Arial" w:eastAsia="Arial" w:hAnsi="Arial"/>
          <w:sz w:val="18"/>
          <w:szCs w:val="18"/>
          <w:color w:val="auto"/>
        </w:rPr>
        <w:t>Subject to certain limitations and exceptions, holders of AAP units may exchange their AAP units (together with a corresponding number of Class B shares) for Class A shares (on a one-for-one basis, subject to customary conversion rate adjustments for equity splits and reclassification and other similar transactions) and then sell those Class A shares. We may also issue additional Class A shares or convertible securities in subsequent public or private offerings.</w:t>
      </w:r>
    </w:p>
    <w:p>
      <w:pPr>
        <w:sectPr>
          <w:pgSz w:w="11880" w:h="15480" w:orient="portrait"/>
          <w:cols w:equalWidth="0" w:num="1">
            <w:col w:w="9980"/>
          </w:cols>
          <w:pgMar w:left="940" w:top="66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9980"/>
          </w:cols>
          <w:pgMar w:left="940" w:top="669" w:right="960" w:bottom="0" w:gutter="0" w:footer="0" w:header="0"/>
          <w:type w:val="continuous"/>
        </w:sectPr>
      </w:pPr>
    </w:p>
    <w:bookmarkStart w:id="43" w:name="page44"/>
    <w:bookmarkEnd w:id="43"/>
    <w:p>
      <w:pPr>
        <w:ind w:firstLine="702"/>
        <w:spacing w:after="0" w:line="289" w:lineRule="auto"/>
        <w:rPr>
          <w:sz w:val="20"/>
          <w:szCs w:val="20"/>
          <w:color w:val="auto"/>
        </w:rPr>
      </w:pPr>
      <w:r>
        <w:rPr>
          <w:rFonts w:ascii="Arial" w:cs="Arial" w:eastAsia="Arial" w:hAnsi="Arial"/>
          <w:sz w:val="18"/>
          <w:szCs w:val="18"/>
          <w:color w:val="auto"/>
        </w:rPr>
        <w:t>We cannot predict the size of future issuances of our Class A shares or securities convertible into Class A shares or the effect, if any, that future issuances and sales of our Class A shares will have on the market price of our Class A shares. Sales of substantial amounts of our Class A shares (including shares issued in connection with an acquisition), or the perception that such sales could occur, may adversely affect prevailing market prices of our Class A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Legacy Owners hold a meaningful portion of the combined voting power of our Class A and Class B shares.</w:t>
      </w:r>
    </w:p>
    <w:p>
      <w:pPr>
        <w:spacing w:after="0" w:line="268" w:lineRule="exact"/>
        <w:rPr>
          <w:sz w:val="20"/>
          <w:szCs w:val="20"/>
          <w:color w:val="auto"/>
        </w:rPr>
      </w:pPr>
    </w:p>
    <w:p>
      <w:pPr>
        <w:ind w:right="40" w:firstLine="702"/>
        <w:spacing w:after="0" w:line="278" w:lineRule="auto"/>
        <w:rPr>
          <w:sz w:val="20"/>
          <w:szCs w:val="20"/>
          <w:color w:val="auto"/>
        </w:rPr>
      </w:pPr>
      <w:r>
        <w:rPr>
          <w:rFonts w:ascii="Arial" w:cs="Arial" w:eastAsia="Arial" w:hAnsi="Arial"/>
          <w:sz w:val="18"/>
          <w:szCs w:val="18"/>
          <w:color w:val="auto"/>
        </w:rPr>
        <w:t>At December 31, 2023, through their ownership of Class B shares, the Legacy Owners held approximately 16% of the combined voting power of our Class A and Class B shares. The Legacy Owners are entitled to act separately in their own respective interests with respect to their partnership interests in us, and collectively they currently have the ability to influence (although not the ability to block outright) (i) the outcome of any matters requiring shareholder approval, including certain mergers and other material transactions and (ii) a change in the composition of our board of directors or a change in control of our company that could deprive our shareholders of an opportunity to receive a premium for their Class A shares as part of a sale of our company. So long as the Legacy Owners continue to own a meaningful amount of our outstanding shares, even if such amount is less than 50%, they will continue to be able to influence any matters requiring shareholder approval, regardless of whether or not other shareholders believe that such matters are in their own best interests.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 valuation allowance on our deferred tax asset could reduce our earnings.</w:t>
      </w:r>
    </w:p>
    <w:p>
      <w:pPr>
        <w:spacing w:after="0" w:line="257" w:lineRule="exact"/>
        <w:rPr>
          <w:sz w:val="20"/>
          <w:szCs w:val="20"/>
          <w:color w:val="auto"/>
        </w:rPr>
      </w:pPr>
    </w:p>
    <w:p>
      <w:pPr>
        <w:ind w:right="60" w:firstLine="702"/>
        <w:spacing w:after="0" w:line="262" w:lineRule="auto"/>
        <w:rPr>
          <w:sz w:val="20"/>
          <w:szCs w:val="20"/>
          <w:color w:val="auto"/>
        </w:rPr>
      </w:pPr>
      <w:r>
        <w:rPr>
          <w:rFonts w:ascii="Arial" w:cs="Arial" w:eastAsia="Arial" w:hAnsi="Arial"/>
          <w:sz w:val="19"/>
          <w:szCs w:val="19"/>
          <w:color w:val="auto"/>
        </w:rPr>
        <w:t>As of December 31, 2023, we had a gross deferred tax asset of approximately $1.3 billion. Generally accepted accounting principles in the United States (“GAAP”) requires that a valuation allowance must be established for deferred tax assets when it is more likely than not that they will not be realized. We believe that the deferred tax asset we recorded through 2023 will be realized and that a valuation allowance is not required. However, if we were to determine that a valuation allowance was appropriate for our deferred tax asset, we would be required to take an immediate charge to earnings with a corresponding reduction of partners’ capital and increase in balance sheet leverage as measured by debt-to-total capitalization. In light of the Tax Cuts and Jobs Act of 2017, a valuation allowance will not be required for any U.S. federal deferred tax asset created after 2017.</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incur liability as a result of our ownership of our and PAA’s general partner.</w:t>
      </w:r>
    </w:p>
    <w:p>
      <w:pPr>
        <w:spacing w:after="0" w:line="257" w:lineRule="exact"/>
        <w:rPr>
          <w:sz w:val="20"/>
          <w:szCs w:val="20"/>
          <w:color w:val="auto"/>
        </w:rPr>
      </w:pPr>
    </w:p>
    <w:p>
      <w:pPr>
        <w:ind w:right="20" w:firstLine="702"/>
        <w:spacing w:after="0" w:line="262" w:lineRule="auto"/>
        <w:rPr>
          <w:sz w:val="20"/>
          <w:szCs w:val="20"/>
          <w:color w:val="auto"/>
        </w:rPr>
      </w:pPr>
      <w:r>
        <w:rPr>
          <w:rFonts w:ascii="Arial" w:cs="Arial" w:eastAsia="Arial" w:hAnsi="Arial"/>
          <w:sz w:val="19"/>
          <w:szCs w:val="19"/>
          <w:color w:val="auto"/>
        </w:rPr>
        <w:t>Under Delaware law, a general partner of a limited partnership is generally liable for the debts and liabilities of the partnership for which it serves as general partner, subject to the terms of any indemnification agreements contained in the partnership agreement and except to the extent the partnership’s contracts are non-recourse to the general partner. As a result of our structure, we indirectly own and control the general partner of PAA and own a portion of our general partner’s membership interests. Our percentage ownership of our general partner is expected to increase over time as the Legacy Owners exercise their exchange rights. To the extent the indemnification provisions in the applicable partnership agreement or non-recourse provisions in our contracts are not sufficient to protect us from such liability, we may in the future incur liabilities as a result of our ownership of these general partner entities.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Conflicts of Interest</w:t>
      </w:r>
    </w:p>
    <w:p>
      <w:pPr>
        <w:spacing w:after="0" w:line="257" w:lineRule="exact"/>
        <w:rPr>
          <w:sz w:val="20"/>
          <w:szCs w:val="20"/>
          <w:color w:val="auto"/>
        </w:rPr>
      </w:pPr>
    </w:p>
    <w:p>
      <w:pPr>
        <w:ind w:right="180" w:firstLine="702"/>
        <w:spacing w:after="0" w:line="295" w:lineRule="auto"/>
        <w:rPr>
          <w:sz w:val="20"/>
          <w:szCs w:val="20"/>
          <w:color w:val="auto"/>
        </w:rPr>
      </w:pPr>
      <w:r>
        <w:rPr>
          <w:rFonts w:ascii="Arial" w:cs="Arial" w:eastAsia="Arial" w:hAnsi="Arial"/>
          <w:sz w:val="19"/>
          <w:szCs w:val="19"/>
          <w:color w:val="auto"/>
        </w:rPr>
        <w:t>Our existing organizational structure and the current and future relationships among us, PAA, our respective general partners, the Legacy Owners and affiliated entities present the potential for conflicts of interest.</w:t>
      </w:r>
    </w:p>
    <w:p>
      <w:pPr>
        <w:spacing w:after="0" w:line="158" w:lineRule="exact"/>
        <w:rPr>
          <w:sz w:val="20"/>
          <w:szCs w:val="20"/>
          <w:color w:val="auto"/>
        </w:rPr>
      </w:pPr>
    </w:p>
    <w:p>
      <w:pPr>
        <w:jc w:val="both"/>
        <w:spacing w:after="0" w:line="300" w:lineRule="auto"/>
        <w:rPr>
          <w:sz w:val="20"/>
          <w:szCs w:val="20"/>
          <w:color w:val="auto"/>
        </w:rPr>
      </w:pPr>
      <w:r>
        <w:rPr>
          <w:rFonts w:ascii="Arial" w:cs="Arial" w:eastAsia="Arial" w:hAnsi="Arial"/>
          <w:sz w:val="19"/>
          <w:szCs w:val="19"/>
          <w:b w:val="1"/>
          <w:bCs w:val="1"/>
          <w:i w:val="1"/>
          <w:iCs w:val="1"/>
          <w:color w:val="auto"/>
        </w:rPr>
        <w:t>Conflicts of interest may arise as a result of our organizational structure and the current and future relationships among us, PAA, our respective general partners, the Legacy Owners and affiliated entities.</w:t>
      </w:r>
    </w:p>
    <w:p>
      <w:pPr>
        <w:spacing w:after="0" w:line="163" w:lineRule="exact"/>
        <w:rPr>
          <w:sz w:val="20"/>
          <w:szCs w:val="20"/>
          <w:color w:val="auto"/>
        </w:rPr>
      </w:pPr>
    </w:p>
    <w:p>
      <w:pPr>
        <w:jc w:val="both"/>
        <w:ind w:firstLine="702"/>
        <w:spacing w:after="0" w:line="276" w:lineRule="auto"/>
        <w:rPr>
          <w:sz w:val="20"/>
          <w:szCs w:val="20"/>
          <w:color w:val="auto"/>
        </w:rPr>
      </w:pPr>
      <w:r>
        <w:rPr>
          <w:rFonts w:ascii="Arial" w:cs="Arial" w:eastAsia="Arial" w:hAnsi="Arial"/>
          <w:sz w:val="19"/>
          <w:szCs w:val="19"/>
          <w:color w:val="auto"/>
        </w:rPr>
        <w:t>Our partnership agreement defines the duties of our general partner (and, by extension, its officers and directors). Our general partner’s board of directors or its conflicts committee will have authority on our behalf to resolve any conflict involving us and they have broad latitude to consider the interests of all parties to the conflict.</w:t>
      </w:r>
    </w:p>
    <w:p>
      <w:pPr>
        <w:spacing w:after="0" w:line="182" w:lineRule="exact"/>
        <w:rPr>
          <w:sz w:val="20"/>
          <w:szCs w:val="20"/>
          <w:color w:val="auto"/>
        </w:rPr>
      </w:pPr>
    </w:p>
    <w:p>
      <w:pPr>
        <w:ind w:right="520" w:firstLine="702"/>
        <w:spacing w:after="0" w:line="269" w:lineRule="auto"/>
        <w:rPr>
          <w:sz w:val="20"/>
          <w:szCs w:val="20"/>
          <w:color w:val="auto"/>
        </w:rPr>
      </w:pPr>
      <w:r>
        <w:rPr>
          <w:rFonts w:ascii="Arial" w:cs="Arial" w:eastAsia="Arial" w:hAnsi="Arial"/>
          <w:sz w:val="19"/>
          <w:szCs w:val="19"/>
          <w:color w:val="auto"/>
        </w:rPr>
        <w:t>Conflicts of interest may arise between us and our shareholders, on the one hand, and our general partner and its owners and affiliated entities, on the other hand, or between us and our shareholders, on the one hand, and PAA and its unitholders, on the other hand. The resolution of these conflicts may not always be in our best interest or that of our shareholders.</w:t>
      </w:r>
    </w:p>
    <w:p>
      <w:pPr>
        <w:sectPr>
          <w:pgSz w:w="11880" w:h="15480" w:orient="portrait"/>
          <w:cols w:equalWidth="0" w:num="1">
            <w:col w:w="9960"/>
          </w:cols>
          <w:pgMar w:left="940" w:top="67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9960"/>
          </w:cols>
          <w:pgMar w:left="940" w:top="676" w:right="980" w:bottom="0" w:gutter="0" w:footer="0" w:header="0"/>
          <w:type w:val="continuous"/>
        </w:sectPr>
      </w:pPr>
    </w:p>
    <w:bookmarkStart w:id="44" w:name="page45"/>
    <w:bookmarkEnd w:id="44"/>
    <w:p>
      <w:pPr>
        <w:ind w:right="180"/>
        <w:spacing w:after="0" w:line="278" w:lineRule="auto"/>
        <w:rPr>
          <w:sz w:val="20"/>
          <w:szCs w:val="20"/>
          <w:color w:val="auto"/>
        </w:rPr>
      </w:pPr>
      <w:r>
        <w:rPr>
          <w:rFonts w:ascii="Arial" w:cs="Arial" w:eastAsia="Arial" w:hAnsi="Arial"/>
          <w:sz w:val="19"/>
          <w:szCs w:val="19"/>
          <w:b w:val="1"/>
          <w:bCs w:val="1"/>
          <w:i w:val="1"/>
          <w:iCs w:val="1"/>
          <w:color w:val="auto"/>
        </w:rPr>
        <w:t>Our partnership agreement defines our general partner’s duties to us and contains provisions that reduce the remedies available to our shareholders for actions that might otherwise be challenged as breaches of fiduciary or other duties under state law.</w:t>
      </w:r>
    </w:p>
    <w:p>
      <w:pPr>
        <w:spacing w:after="0" w:line="184" w:lineRule="exact"/>
        <w:rPr>
          <w:sz w:val="20"/>
          <w:szCs w:val="20"/>
          <w:color w:val="auto"/>
        </w:rPr>
      </w:pPr>
    </w:p>
    <w:p>
      <w:pPr>
        <w:ind w:right="380" w:firstLine="702"/>
        <w:spacing w:after="0" w:line="295" w:lineRule="auto"/>
        <w:rPr>
          <w:sz w:val="20"/>
          <w:szCs w:val="20"/>
          <w:color w:val="auto"/>
        </w:rPr>
      </w:pPr>
      <w:r>
        <w:rPr>
          <w:rFonts w:ascii="Arial" w:cs="Arial" w:eastAsia="Arial" w:hAnsi="Arial"/>
          <w:sz w:val="19"/>
          <w:szCs w:val="19"/>
          <w:color w:val="auto"/>
        </w:rPr>
        <w:t>Our partnership agreement contains provisions that substantially reduce the standards to which our general partner would otherwise be held by state fiduciary duty law. For example, our partnership agreement:</w:t>
      </w:r>
    </w:p>
    <w:p>
      <w:pPr>
        <w:spacing w:after="0" w:line="48" w:lineRule="exact"/>
        <w:rPr>
          <w:sz w:val="20"/>
          <w:szCs w:val="20"/>
          <w:color w:val="auto"/>
        </w:rPr>
      </w:pPr>
    </w:p>
    <w:p>
      <w:pPr>
        <w:ind w:left="1060" w:hanging="359"/>
        <w:spacing w:after="0" w:line="263" w:lineRule="auto"/>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the Legacy Owners, our affiliates or any limited partner. Examples include its right to vote membership interests in our general partner held by us, the exercise of its limited call right, its rights to transfer or vote any shares it may own, and its determination whether or not to consent to any merger or consolidation of our partnership or amendment to our partnership agreement;</w:t>
      </w:r>
    </w:p>
    <w:p>
      <w:pPr>
        <w:spacing w:after="0" w:line="78" w:lineRule="exact"/>
        <w:rPr>
          <w:rFonts w:ascii="Arial" w:cs="Arial" w:eastAsia="Arial" w:hAnsi="Arial"/>
          <w:sz w:val="19"/>
          <w:szCs w:val="19"/>
          <w:color w:val="auto"/>
        </w:rPr>
      </w:pPr>
    </w:p>
    <w:p>
      <w:pPr>
        <w:ind w:left="1060" w:right="40" w:hanging="359"/>
        <w:spacing w:after="0" w:line="269" w:lineRule="auto"/>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generally provides that our general partner will not have any liability to us or our shareholders for decisions made in its capacity as a general partner so long as it acted in good faith which, pursuant to our partnership agreement, requires a subjective belief that the determination, or other action or anticipated result thereof is in, or not opposed to, our best interests;</w:t>
      </w:r>
    </w:p>
    <w:p>
      <w:pPr>
        <w:spacing w:after="0" w:line="73" w:lineRule="exact"/>
        <w:rPr>
          <w:rFonts w:ascii="Arial" w:cs="Arial" w:eastAsia="Arial" w:hAnsi="Arial"/>
          <w:sz w:val="19"/>
          <w:szCs w:val="19"/>
          <w:color w:val="auto"/>
        </w:rPr>
      </w:pPr>
    </w:p>
    <w:p>
      <w:pPr>
        <w:ind w:left="1060" w:right="80" w:hanging="359"/>
        <w:spacing w:after="0" w:line="269" w:lineRule="auto"/>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generally provides that any resolution or course of action adopted by our general partner and its affiliates in respect of a conflict of interest will be permitted and deemed approved by all of our partners, and will not constitute a breach of our partnership agreement or any duty stated or implied by law or equity if the resolution or course of action in respect of such conflict of interest is:</w:t>
      </w:r>
    </w:p>
    <w:p>
      <w:pPr>
        <w:spacing w:after="0" w:line="73" w:lineRule="exact"/>
        <w:rPr>
          <w:rFonts w:ascii="Arial" w:cs="Arial" w:eastAsia="Arial" w:hAnsi="Arial"/>
          <w:sz w:val="19"/>
          <w:szCs w:val="19"/>
          <w:color w:val="auto"/>
        </w:rPr>
      </w:pPr>
    </w:p>
    <w:p>
      <w:pPr>
        <w:ind w:left="1760" w:right="80" w:hanging="357"/>
        <w:spacing w:after="0" w:line="276" w:lineRule="auto"/>
        <w:tabs>
          <w:tab w:leader="none" w:pos="1760" w:val="left"/>
        </w:tabs>
        <w:numPr>
          <w:ilvl w:val="1"/>
          <w:numId w:val="29"/>
        </w:numPr>
        <w:rPr>
          <w:rFonts w:ascii="Arial" w:cs="Arial" w:eastAsia="Arial" w:hAnsi="Arial"/>
          <w:sz w:val="19"/>
          <w:szCs w:val="19"/>
          <w:color w:val="auto"/>
        </w:rPr>
      </w:pPr>
      <w:r>
        <w:rPr>
          <w:rFonts w:ascii="Arial" w:cs="Arial" w:eastAsia="Arial" w:hAnsi="Arial"/>
          <w:sz w:val="19"/>
          <w:szCs w:val="19"/>
          <w:color w:val="auto"/>
        </w:rPr>
        <w:t>approved by a majority of the members of our general partner’s conflicts committee after due inquiry, based on a subjective belief that the course of action or determination that is the subject of such approval is fair and reasonable to us;</w:t>
      </w:r>
    </w:p>
    <w:p>
      <w:pPr>
        <w:spacing w:after="0" w:line="65" w:lineRule="exact"/>
        <w:rPr>
          <w:rFonts w:ascii="Arial" w:cs="Arial" w:eastAsia="Arial" w:hAnsi="Arial"/>
          <w:sz w:val="19"/>
          <w:szCs w:val="19"/>
          <w:color w:val="auto"/>
        </w:rPr>
      </w:pPr>
    </w:p>
    <w:p>
      <w:pPr>
        <w:jc w:val="both"/>
        <w:ind w:left="1760" w:right="540" w:hanging="357"/>
        <w:spacing w:after="0" w:line="276" w:lineRule="auto"/>
        <w:tabs>
          <w:tab w:leader="none" w:pos="1760" w:val="left"/>
        </w:tabs>
        <w:numPr>
          <w:ilvl w:val="1"/>
          <w:numId w:val="29"/>
        </w:numPr>
        <w:rPr>
          <w:rFonts w:ascii="Arial" w:cs="Arial" w:eastAsia="Arial" w:hAnsi="Arial"/>
          <w:sz w:val="19"/>
          <w:szCs w:val="19"/>
          <w:color w:val="auto"/>
        </w:rPr>
      </w:pPr>
      <w:r>
        <w:rPr>
          <w:rFonts w:ascii="Arial" w:cs="Arial" w:eastAsia="Arial" w:hAnsi="Arial"/>
          <w:sz w:val="19"/>
          <w:szCs w:val="19"/>
          <w:color w:val="auto"/>
        </w:rPr>
        <w:t>approved by majority vote of our Class A shares and Class B shares (excluding Class C shares and excluding shares owned by our general partner and its affiliates, but including shares owned by the Legacy Owners) voting together as a single class;</w:t>
      </w:r>
    </w:p>
    <w:p>
      <w:pPr>
        <w:spacing w:after="0" w:line="65" w:lineRule="exact"/>
        <w:rPr>
          <w:rFonts w:ascii="Arial" w:cs="Arial" w:eastAsia="Arial" w:hAnsi="Arial"/>
          <w:sz w:val="19"/>
          <w:szCs w:val="19"/>
          <w:color w:val="auto"/>
        </w:rPr>
      </w:pPr>
    </w:p>
    <w:p>
      <w:pPr>
        <w:ind w:left="1760" w:right="280" w:hanging="357"/>
        <w:spacing w:after="0" w:line="295" w:lineRule="auto"/>
        <w:tabs>
          <w:tab w:leader="none" w:pos="1809" w:val="left"/>
        </w:tabs>
        <w:numPr>
          <w:ilvl w:val="1"/>
          <w:numId w:val="29"/>
        </w:numPr>
        <w:rPr>
          <w:rFonts w:ascii="Arial" w:cs="Arial" w:eastAsia="Arial" w:hAnsi="Arial"/>
          <w:sz w:val="19"/>
          <w:szCs w:val="19"/>
          <w:color w:val="auto"/>
        </w:rPr>
      </w:pPr>
      <w:r>
        <w:rPr>
          <w:rFonts w:ascii="Arial" w:cs="Arial" w:eastAsia="Arial" w:hAnsi="Arial"/>
          <w:sz w:val="19"/>
          <w:szCs w:val="19"/>
          <w:color w:val="auto"/>
        </w:rPr>
        <w:t>determined by our general partner (after due inquiry) to be on terms no less favorable to us than those generally being provided to or available from unrelated third parties; or</w:t>
      </w:r>
    </w:p>
    <w:p>
      <w:pPr>
        <w:spacing w:after="0" w:line="47" w:lineRule="exact"/>
        <w:rPr>
          <w:rFonts w:ascii="Arial" w:cs="Arial" w:eastAsia="Arial" w:hAnsi="Arial"/>
          <w:sz w:val="19"/>
          <w:szCs w:val="19"/>
          <w:color w:val="auto"/>
        </w:rPr>
      </w:pPr>
    </w:p>
    <w:p>
      <w:pPr>
        <w:ind w:left="1760" w:hanging="357"/>
        <w:spacing w:after="0" w:line="269" w:lineRule="auto"/>
        <w:tabs>
          <w:tab w:leader="none" w:pos="1809" w:val="left"/>
        </w:tabs>
        <w:numPr>
          <w:ilvl w:val="1"/>
          <w:numId w:val="29"/>
        </w:numPr>
        <w:rPr>
          <w:rFonts w:ascii="Arial" w:cs="Arial" w:eastAsia="Arial" w:hAnsi="Arial"/>
          <w:sz w:val="19"/>
          <w:szCs w:val="19"/>
          <w:color w:val="auto"/>
        </w:rPr>
      </w:pPr>
      <w:r>
        <w:rPr>
          <w:rFonts w:ascii="Arial" w:cs="Arial" w:eastAsia="Arial" w:hAnsi="Arial"/>
          <w:sz w:val="19"/>
          <w:szCs w:val="19"/>
          <w:color w:val="auto"/>
        </w:rPr>
        <w:t>determined by our general partner (after due inquiry) to be fair and reasonable to us, which determination may be made taking into account the circumstances and the relationships among the parties involved (including our short-term or long-term interests and other arrangements or relationships that could be considered favorable or advantageous to us).</w:t>
      </w:r>
    </w:p>
    <w:p>
      <w:pPr>
        <w:spacing w:after="0" w:line="73" w:lineRule="exact"/>
        <w:rPr>
          <w:rFonts w:ascii="Arial" w:cs="Arial" w:eastAsia="Arial" w:hAnsi="Arial"/>
          <w:sz w:val="19"/>
          <w:szCs w:val="19"/>
          <w:color w:val="auto"/>
        </w:rPr>
      </w:pPr>
    </w:p>
    <w:p>
      <w:pPr>
        <w:ind w:left="1060" w:right="80" w:hanging="359"/>
        <w:spacing w:after="0" w:line="262" w:lineRule="auto"/>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provides that, to the fullest extent permitted by law, in connection with any action or inaction of, or determination made by, our general partner or the conflicts committee of our general partner’s board of directors with respect to any matter relating to us, it shall be presumed that our general partner or the conflicts committee of our general partner’s board of directors acted in a manner that satisfied the contractual standards set forth in our partnership agreement, and in any proceeding brought by any limited partner or by or on behalf of such limited partner or any other limited partner or our partnership challenging any such action or inaction of, or determination made by, our general partner, the person bringing or prosecuting such proceeding shall have the burden of overcoming such presumption; and</w:t>
      </w:r>
    </w:p>
    <w:p>
      <w:pPr>
        <w:spacing w:after="0" w:line="80" w:lineRule="exact"/>
        <w:rPr>
          <w:rFonts w:ascii="Arial" w:cs="Arial" w:eastAsia="Arial" w:hAnsi="Arial"/>
          <w:sz w:val="19"/>
          <w:szCs w:val="19"/>
          <w:color w:val="auto"/>
        </w:rPr>
      </w:pPr>
    </w:p>
    <w:p>
      <w:pPr>
        <w:ind w:left="1060" w:right="100" w:hanging="359"/>
        <w:spacing w:after="0" w:line="266" w:lineRule="auto"/>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our general partner or those other persons acted in bad faith or engaged in fraud or willful misconduct or, in the case of a criminal matter, acted with knowledge that such person’s conduct was criminal.</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Legacy Owners may have interests that conflict with holders of our Class A shares.</w:t>
      </w:r>
    </w:p>
    <w:p>
      <w:pPr>
        <w:spacing w:after="0" w:line="257" w:lineRule="exact"/>
        <w:rPr>
          <w:sz w:val="20"/>
          <w:szCs w:val="20"/>
          <w:color w:val="auto"/>
        </w:rPr>
      </w:pPr>
    </w:p>
    <w:p>
      <w:pPr>
        <w:ind w:right="120" w:firstLine="702"/>
        <w:spacing w:after="0" w:line="269" w:lineRule="auto"/>
        <w:rPr>
          <w:sz w:val="20"/>
          <w:szCs w:val="20"/>
          <w:color w:val="auto"/>
        </w:rPr>
      </w:pPr>
      <w:r>
        <w:rPr>
          <w:rFonts w:ascii="Arial" w:cs="Arial" w:eastAsia="Arial" w:hAnsi="Arial"/>
          <w:sz w:val="19"/>
          <w:szCs w:val="19"/>
          <w:color w:val="auto"/>
        </w:rPr>
        <w:t>At December 31, 2023, the Legacy Owners owned approximately 16% of our outstanding Class A and Class B shares and approximately 16% of the AAP units. As a result, the Legacy Owners may have conflicting interests with holders of Class A shares. For example, the Legacy Owners may have different tax positions from us which could influence their decisions regarding whether and when to cause us to dispose of assets.</w:t>
      </w:r>
    </w:p>
    <w:p>
      <w:pPr>
        <w:sectPr>
          <w:pgSz w:w="11880" w:h="15480" w:orient="portrait"/>
          <w:cols w:equalWidth="0" w:num="1">
            <w:col w:w="10000"/>
          </w:cols>
          <w:pgMar w:left="940" w:top="66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10000"/>
          </w:cols>
          <w:pgMar w:left="940" w:top="669" w:right="940" w:bottom="0" w:gutter="0" w:footer="0" w:header="0"/>
          <w:type w:val="continuous"/>
        </w:sectPr>
      </w:pPr>
    </w:p>
    <w:bookmarkStart w:id="45" w:name="page46"/>
    <w:bookmarkEnd w:id="45"/>
    <w:p>
      <w:pPr>
        <w:ind w:right="40" w:firstLine="702"/>
        <w:spacing w:after="0" w:line="276" w:lineRule="auto"/>
        <w:rPr>
          <w:sz w:val="20"/>
          <w:szCs w:val="20"/>
          <w:color w:val="auto"/>
        </w:rPr>
      </w:pPr>
      <w:r>
        <w:rPr>
          <w:rFonts w:ascii="Arial" w:cs="Arial" w:eastAsia="Arial" w:hAnsi="Arial"/>
          <w:sz w:val="19"/>
          <w:szCs w:val="19"/>
          <w:color w:val="auto"/>
        </w:rPr>
        <w:t>Furthermore, conflicts of interest could arise in the future between us, on the one hand, and the Legacy Owners, on the other hand, concerning among other things, potential competitive business activities or business opportunities. These conflicts of interest may not be resolved in our favor.</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If we are presented with business opportunities, PAA has the first right to pursue such opportunities.</w:t>
      </w:r>
    </w:p>
    <w:p>
      <w:pPr>
        <w:spacing w:after="0" w:line="257" w:lineRule="exact"/>
        <w:rPr>
          <w:sz w:val="20"/>
          <w:szCs w:val="20"/>
          <w:color w:val="auto"/>
        </w:rPr>
      </w:pPr>
    </w:p>
    <w:p>
      <w:pPr>
        <w:ind w:firstLine="702"/>
        <w:spacing w:after="0" w:line="282" w:lineRule="auto"/>
        <w:rPr>
          <w:sz w:val="20"/>
          <w:szCs w:val="20"/>
          <w:color w:val="auto"/>
        </w:rPr>
      </w:pPr>
      <w:r>
        <w:rPr>
          <w:rFonts w:ascii="Arial" w:cs="Arial" w:eastAsia="Arial" w:hAnsi="Arial"/>
          <w:sz w:val="18"/>
          <w:szCs w:val="18"/>
          <w:color w:val="auto"/>
        </w:rPr>
        <w:t>Pursuant to the administrative agreement, we have agreed to certain business opportunity arrangements to address potential conflicts with respect to business opportunities that may arise among us, our general partner, PAA, PAA GP, AAP and GP LLC. If a business opportunity is presented to us, our general partner, PAA, PAA GP, AAP or GP LLC, then PAA will have the first right to pursue such business opportunity. We have the right to pursue and/or participate in such business opportunity if invited to do so by PAA, or if PAA abandons the business opportunity and GP LLC so notifies our general partner. Accordingly, the terms of the administrative agreement limit our ability to pursue business opportunities.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general partner’s affiliates and the Legacy Owners may compete with us.</w:t>
      </w:r>
    </w:p>
    <w:p>
      <w:pPr>
        <w:spacing w:after="0" w:line="257" w:lineRule="exact"/>
        <w:rPr>
          <w:sz w:val="20"/>
          <w:szCs w:val="20"/>
          <w:color w:val="auto"/>
        </w:rPr>
      </w:pPr>
    </w:p>
    <w:p>
      <w:pPr>
        <w:ind w:right="80" w:firstLine="702"/>
        <w:spacing w:after="0" w:line="284" w:lineRule="auto"/>
        <w:rPr>
          <w:sz w:val="20"/>
          <w:szCs w:val="20"/>
          <w:color w:val="auto"/>
        </w:rPr>
      </w:pPr>
      <w:r>
        <w:rPr>
          <w:rFonts w:ascii="Arial" w:cs="Arial" w:eastAsia="Arial" w:hAnsi="Arial"/>
          <w:sz w:val="18"/>
          <w:szCs w:val="18"/>
          <w:color w:val="auto"/>
        </w:rPr>
        <w:t>Our partnership agreement provides that our general partner will be restricted from engaging in any business activities other than acting as our general partner and those activities incidental to its ownership of interests in us. The restrictions contained in our general partner’s limited liability company agreement are subject to a number of exceptions. Affiliates of our general partner and the Legacy Owners will not be prohibited from engaging in other businesses or activities that might be in direct competition with us except to the extent they compete using our confidential information.</w:t>
      </w:r>
    </w:p>
    <w:p>
      <w:pPr>
        <w:spacing w:after="0" w:line="172" w:lineRule="exact"/>
        <w:rPr>
          <w:sz w:val="20"/>
          <w:szCs w:val="20"/>
          <w:color w:val="auto"/>
        </w:rPr>
      </w:pPr>
    </w:p>
    <w:p>
      <w:pPr>
        <w:ind w:right="80"/>
        <w:spacing w:after="0" w:line="300" w:lineRule="auto"/>
        <w:rPr>
          <w:sz w:val="20"/>
          <w:szCs w:val="20"/>
          <w:color w:val="auto"/>
        </w:rPr>
      </w:pPr>
      <w:r>
        <w:rPr>
          <w:rFonts w:ascii="Arial" w:cs="Arial" w:eastAsia="Arial" w:hAnsi="Arial"/>
          <w:sz w:val="19"/>
          <w:szCs w:val="19"/>
          <w:b w:val="1"/>
          <w:bCs w:val="1"/>
          <w:i w:val="1"/>
          <w:iCs w:val="1"/>
          <w:color w:val="auto"/>
        </w:rPr>
        <w:t>Our general partner has a call right that may require our shareholders to sell their Class A shares at an undesirable time or price.</w:t>
      </w:r>
    </w:p>
    <w:p>
      <w:pPr>
        <w:spacing w:after="0" w:line="163" w:lineRule="exact"/>
        <w:rPr>
          <w:sz w:val="20"/>
          <w:szCs w:val="20"/>
          <w:color w:val="auto"/>
        </w:rPr>
      </w:pPr>
    </w:p>
    <w:p>
      <w:pPr>
        <w:ind w:right="20" w:firstLine="702"/>
        <w:spacing w:after="0" w:line="276" w:lineRule="auto"/>
        <w:rPr>
          <w:sz w:val="20"/>
          <w:szCs w:val="20"/>
          <w:color w:val="auto"/>
        </w:rPr>
      </w:pPr>
      <w:r>
        <w:rPr>
          <w:rFonts w:ascii="Arial" w:cs="Arial" w:eastAsia="Arial" w:hAnsi="Arial"/>
          <w:sz w:val="18"/>
          <w:szCs w:val="18"/>
          <w:color w:val="auto"/>
        </w:rPr>
        <w:t>If at any time more than 80% of our outstanding Class A shares and Class B shares on a combined basis (including Class A shares issuable upon the exchange of Class B shares) are owned by our general partner, the Legacy Owners (or certain transferees in private, non-exchange transactions) or their respective affiliates, our general partner will have the right (which it may assign to any of its affiliates, the Legacy Owners or us),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certain transferees in private, non-exchange transactions) or their respective affiliates for such shares during the 90 day period preceding the date such notice is first mailed. As a result, holders of our Class A shares may be required to sell such Class A shares at an undesirable time or price and may not receive any return of or on their investment. Class A shareholders may also incur a tax liability upon a sale of their Class A shares. At December 31, 2023, the Legacy Owners owned approximately 16% of the Class A shares and Class B shares on a combined basis.</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PAA’s Business</w:t>
      </w:r>
    </w:p>
    <w:p>
      <w:pPr>
        <w:spacing w:after="0" w:line="249" w:lineRule="exact"/>
        <w:rPr>
          <w:sz w:val="20"/>
          <w:szCs w:val="20"/>
          <w:color w:val="auto"/>
        </w:rPr>
      </w:pPr>
    </w:p>
    <w:p>
      <w:pPr>
        <w:ind w:right="500"/>
        <w:spacing w:after="0" w:line="278" w:lineRule="auto"/>
        <w:rPr>
          <w:sz w:val="20"/>
          <w:szCs w:val="20"/>
          <w:color w:val="auto"/>
        </w:rPr>
      </w:pPr>
      <w:r>
        <w:rPr>
          <w:rFonts w:ascii="Arial" w:cs="Arial" w:eastAsia="Arial" w:hAnsi="Arial"/>
          <w:sz w:val="19"/>
          <w:szCs w:val="19"/>
          <w:b w:val="1"/>
          <w:bCs w:val="1"/>
          <w:i w:val="1"/>
          <w:iCs w:val="1"/>
          <w:color w:val="auto"/>
        </w:rPr>
        <w:t>PAA’s profitability depends on the volume of crude oil, natural gas and NGL shipped, processed, purchased, stored, fractionated and/or gathered at or through the use of its pipelines and facilities, which can be negatively impacted by a variety of factors outside of its control.</w:t>
      </w:r>
    </w:p>
    <w:p>
      <w:pPr>
        <w:spacing w:after="0" w:line="184" w:lineRule="exact"/>
        <w:rPr>
          <w:sz w:val="20"/>
          <w:szCs w:val="20"/>
          <w:color w:val="auto"/>
        </w:rPr>
      </w:pPr>
    </w:p>
    <w:p>
      <w:pPr>
        <w:ind w:firstLine="702"/>
        <w:spacing w:after="0" w:line="295" w:lineRule="auto"/>
        <w:rPr>
          <w:sz w:val="20"/>
          <w:szCs w:val="20"/>
          <w:color w:val="auto"/>
        </w:rPr>
      </w:pPr>
      <w:r>
        <w:rPr>
          <w:rFonts w:ascii="Arial" w:cs="Arial" w:eastAsia="Arial" w:hAnsi="Arial"/>
          <w:sz w:val="17"/>
          <w:szCs w:val="17"/>
          <w:color w:val="auto"/>
        </w:rPr>
        <w:t>Drilling activity, crude oil production and benchmark crude oil prices can fluctuate significantly over time for a wide variety of reasons, including prevailing economic conditions, geopolitical conflicts or events, reduced demand by consumers for end products made with hydrocarbons, increased competition, adverse weather conditions, public health emergencies, and governmental actions and regulations affecting prices and production levels. Crude oil prices may also decline due to actions of domestic or foreign oil producers—they may take actions that create an over-supply of crude oil, and decrease benchmark crude oil prices. If producers reduce drilling activity in response to future declines in such prices, reduced capital market access, increased capital raising costs or adverse governmental or regulatory action, including, for example, federal, state or local laws or regulations that restrict drilling activities for environmental, seismic or other reasons, it could adversely impact current or future production levels. In turn, such developments could lead to reduced throughput on PAA’s pipelines and at its other facilities, which, depending on the level of production declines, could have a material adverse effect on PAA’s business.</w:t>
      </w:r>
    </w:p>
    <w:p>
      <w:pPr>
        <w:spacing w:after="0" w:line="171" w:lineRule="exact"/>
        <w:rPr>
          <w:sz w:val="20"/>
          <w:szCs w:val="20"/>
          <w:color w:val="auto"/>
        </w:rPr>
      </w:pPr>
    </w:p>
    <w:p>
      <w:pPr>
        <w:ind w:right="160" w:firstLine="702"/>
        <w:spacing w:after="0" w:line="323" w:lineRule="auto"/>
        <w:rPr>
          <w:sz w:val="20"/>
          <w:szCs w:val="20"/>
          <w:color w:val="auto"/>
        </w:rPr>
      </w:pPr>
      <w:r>
        <w:rPr>
          <w:rFonts w:ascii="Arial" w:cs="Arial" w:eastAsia="Arial" w:hAnsi="Arial"/>
          <w:sz w:val="17"/>
          <w:szCs w:val="17"/>
          <w:color w:val="auto"/>
        </w:rPr>
        <w:t>Also, except with respect to some of PAA’s recently constructed long haul pipeline assets, third-party shippers generally do not have long-term contractual commitments to ship crude oil on PAA’s pipelines. A decision by a shipper to substantially reduce or cease to ship volumes of crude oil on PAA’s pipelines could cause a significant decline in its revenues.</w:t>
      </w:r>
    </w:p>
    <w:p>
      <w:pPr>
        <w:sectPr>
          <w:pgSz w:w="11880" w:h="15480" w:orient="portrait"/>
          <w:cols w:equalWidth="0" w:num="1">
            <w:col w:w="10000"/>
          </w:cols>
          <w:pgMar w:left="940" w:top="67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10000"/>
          </w:cols>
          <w:pgMar w:left="940" w:top="676" w:right="940" w:bottom="0" w:gutter="0" w:footer="0" w:header="0"/>
          <w:type w:val="continuous"/>
        </w:sectPr>
      </w:pPr>
    </w:p>
    <w:bookmarkStart w:id="46" w:name="page47"/>
    <w:bookmarkEnd w:id="46"/>
    <w:p>
      <w:pPr>
        <w:ind w:right="60" w:firstLine="702"/>
        <w:spacing w:after="0" w:line="269" w:lineRule="auto"/>
        <w:rPr>
          <w:sz w:val="20"/>
          <w:szCs w:val="20"/>
          <w:color w:val="auto"/>
        </w:rPr>
      </w:pPr>
      <w:r>
        <w:rPr>
          <w:rFonts w:ascii="Arial" w:cs="Arial" w:eastAsia="Arial" w:hAnsi="Arial"/>
          <w:sz w:val="19"/>
          <w:szCs w:val="19"/>
          <w:color w:val="auto"/>
        </w:rPr>
        <w:t>To maintain the volumes of crude oil PAA purchases in connection with its operations, PAA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adversely impact PAA’s ability to secure additional supplies of crude oil.</w:t>
      </w:r>
    </w:p>
    <w:p>
      <w:pPr>
        <w:spacing w:after="0" w:line="183" w:lineRule="exact"/>
        <w:rPr>
          <w:sz w:val="20"/>
          <w:szCs w:val="20"/>
          <w:color w:val="auto"/>
        </w:rPr>
      </w:pPr>
    </w:p>
    <w:p>
      <w:pPr>
        <w:ind w:right="180"/>
        <w:spacing w:after="0" w:line="278" w:lineRule="auto"/>
        <w:rPr>
          <w:sz w:val="20"/>
          <w:szCs w:val="20"/>
          <w:color w:val="auto"/>
        </w:rPr>
      </w:pPr>
      <w:r>
        <w:rPr>
          <w:rFonts w:ascii="Arial" w:cs="Arial" w:eastAsia="Arial" w:hAnsi="Arial"/>
          <w:sz w:val="19"/>
          <w:szCs w:val="19"/>
          <w:b w:val="1"/>
          <w:bCs w:val="1"/>
          <w:i w:val="1"/>
          <w:iCs w:val="1"/>
          <w:color w:val="auto"/>
        </w:rPr>
        <w:t>PAA’s profitability can be negatively affected by a variety of factors stemming from competition in its industry, including recontracting and other risks associated with the general capacity overbuild of midstream energy infrastructure in some of the areas where it operates.</w:t>
      </w:r>
    </w:p>
    <w:p>
      <w:pPr>
        <w:spacing w:after="0" w:line="184" w:lineRule="exact"/>
        <w:rPr>
          <w:sz w:val="20"/>
          <w:szCs w:val="20"/>
          <w:color w:val="auto"/>
        </w:rPr>
      </w:pPr>
    </w:p>
    <w:p>
      <w:pPr>
        <w:ind w:firstLine="702"/>
        <w:spacing w:after="0" w:line="277" w:lineRule="auto"/>
        <w:rPr>
          <w:sz w:val="20"/>
          <w:szCs w:val="20"/>
          <w:color w:val="auto"/>
        </w:rPr>
      </w:pPr>
      <w:r>
        <w:rPr>
          <w:rFonts w:ascii="Arial" w:cs="Arial" w:eastAsia="Arial" w:hAnsi="Arial"/>
          <w:sz w:val="18"/>
          <w:szCs w:val="18"/>
          <w:color w:val="auto"/>
        </w:rPr>
        <w:t>PAA faces competition in all aspects of its business and can give no assurances that it will be able to compete effectively against its competitors. In general, competition comes from a wide variety of participants in a wide variety of contexts, including new entrants and existing participants and in connection with day-to-day business, investment capital projects, acquisitions and joint venture activities. Some of PAA’s competitors have capital resources many times greater than PAA’s or control greater supplies of crude oil, natural gas or NGL. In addition, other competitors with significant excess capacity and high financial leverage may be motivated to reduce transportation rates to levels approaching variable operating costs, without regard to whether they are generating an acceptable return on their investment. These competitive risks make it more difficult for PAA to attract new customers and expose PAA to increased contract renewal and customer retention risk with respect to its existing customers and make recontracting at favorable rates and volumes more challenging, including, for example, with respect to certain of PAA’s long-haul Permian pipelines.</w:t>
      </w:r>
    </w:p>
    <w:p>
      <w:pPr>
        <w:spacing w:after="0" w:line="185" w:lineRule="exact"/>
        <w:rPr>
          <w:sz w:val="20"/>
          <w:szCs w:val="20"/>
          <w:color w:val="auto"/>
        </w:rPr>
      </w:pPr>
    </w:p>
    <w:p>
      <w:pPr>
        <w:ind w:right="280" w:firstLine="702"/>
        <w:spacing w:after="0" w:line="275" w:lineRule="auto"/>
        <w:rPr>
          <w:sz w:val="20"/>
          <w:szCs w:val="20"/>
          <w:color w:val="auto"/>
        </w:rPr>
      </w:pPr>
      <w:r>
        <w:rPr>
          <w:rFonts w:ascii="Arial" w:cs="Arial" w:eastAsia="Arial" w:hAnsi="Arial"/>
          <w:sz w:val="18"/>
          <w:szCs w:val="18"/>
          <w:color w:val="auto"/>
        </w:rPr>
        <w:t>A significant driver of competition in some of the markets where PAA operates (including, for example, the Eagle Ford, Permian Basin, and Rockies/Bakken areas) stems from the rapid development of new midstream energy infrastructure capacity that was driven by the combination of (i) 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PAA, many of the areas where PAA operates have become overbuilt, resulting in an excess of midstream energy infrastructure capacity. In addition, as an established participant in some markets, PAA also faces competition from aggressive new entrants to the market who are willing to provide services at a lower rate of return in order to establish relationships and gain a foothold in the market. In addition, PAA’s crude oil and NGL merchant activities utilize many of its pipelines and facilities. Competition that impacts PAA’s merchant activities could result in a reduction in the use of its transportation and facilities assets. All of these competitive effects put downward pressure on PAA’s throughput and margins and, together with other adverse competitive effects, could have a significant adverse impact on PAA’s financial position, cash flows and ability to pay or increase distributions to its unitholders.</w:t>
      </w:r>
    </w:p>
    <w:p>
      <w:pPr>
        <w:spacing w:after="0" w:line="192" w:lineRule="exact"/>
        <w:rPr>
          <w:sz w:val="20"/>
          <w:szCs w:val="20"/>
          <w:color w:val="auto"/>
        </w:rPr>
      </w:pPr>
    </w:p>
    <w:p>
      <w:pPr>
        <w:ind w:right="80" w:firstLine="702"/>
        <w:spacing w:after="0" w:line="266" w:lineRule="auto"/>
        <w:rPr>
          <w:sz w:val="20"/>
          <w:szCs w:val="20"/>
          <w:color w:val="auto"/>
        </w:rPr>
      </w:pPr>
      <w:r>
        <w:rPr>
          <w:rFonts w:ascii="Arial" w:cs="Arial" w:eastAsia="Arial" w:hAnsi="Arial"/>
          <w:sz w:val="19"/>
          <w:szCs w:val="19"/>
          <w:color w:val="auto"/>
        </w:rPr>
        <w:t>With respect to PAA’s crude oil activities, its competitors include other crude oil pipelines, the major integrated oil companies, their marketing affiliates, refiners, private equity-backed entities, and independent gatherers, brokers and marketers of widely varying sizes, financial resources and experience. PAA competes against these companies on the basis of many factors, including geographic proximity to production areas, market access, rates, terms of service, connection costs and other factors.</w:t>
      </w:r>
    </w:p>
    <w:p>
      <w:pPr>
        <w:spacing w:after="0" w:line="193" w:lineRule="exact"/>
        <w:rPr>
          <w:sz w:val="20"/>
          <w:szCs w:val="20"/>
          <w:color w:val="auto"/>
        </w:rPr>
      </w:pPr>
    </w:p>
    <w:p>
      <w:pPr>
        <w:ind w:right="40" w:firstLine="702"/>
        <w:spacing w:after="0" w:line="289" w:lineRule="auto"/>
        <w:rPr>
          <w:sz w:val="20"/>
          <w:szCs w:val="20"/>
          <w:color w:val="auto"/>
        </w:rPr>
      </w:pPr>
      <w:r>
        <w:rPr>
          <w:rFonts w:ascii="Arial" w:cs="Arial" w:eastAsia="Arial" w:hAnsi="Arial"/>
          <w:sz w:val="18"/>
          <w:szCs w:val="18"/>
          <w:color w:val="auto"/>
        </w:rPr>
        <w:t>With regard to PAA’s NGL operations, it competes with large oil, natural gas and natural gas liquids companies that may, relative to PAA,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sectPr>
          <w:pgSz w:w="11880" w:h="15480" w:orient="portrait"/>
          <w:cols w:equalWidth="0" w:num="1">
            <w:col w:w="10000"/>
          </w:cols>
          <w:pgMar w:left="940" w:top="67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10000"/>
          </w:cols>
          <w:pgMar w:left="940" w:top="676" w:right="940" w:bottom="0" w:gutter="0" w:footer="0" w:header="0"/>
          <w:type w:val="continuous"/>
        </w:sectPr>
      </w:pPr>
    </w:p>
    <w:bookmarkStart w:id="47" w:name="page48"/>
    <w:bookmarkEnd w:id="47"/>
    <w:p>
      <w:pPr>
        <w:ind w:right="420"/>
        <w:spacing w:after="0" w:line="300" w:lineRule="auto"/>
        <w:rPr>
          <w:sz w:val="20"/>
          <w:szCs w:val="20"/>
          <w:color w:val="auto"/>
        </w:rPr>
      </w:pPr>
      <w:r>
        <w:rPr>
          <w:rFonts w:ascii="Arial" w:cs="Arial" w:eastAsia="Arial" w:hAnsi="Arial"/>
          <w:sz w:val="19"/>
          <w:szCs w:val="19"/>
          <w:b w:val="1"/>
          <w:bCs w:val="1"/>
          <w:i w:val="1"/>
          <w:iCs w:val="1"/>
          <w:color w:val="auto"/>
        </w:rPr>
        <w:t>Changes in supply and demand for the products PAA handles, which can be caused by a variety of factors outside of its control, can negatively affect its operating results.</w:t>
      </w:r>
    </w:p>
    <w:p>
      <w:pPr>
        <w:spacing w:after="0" w:line="163" w:lineRule="exact"/>
        <w:rPr>
          <w:sz w:val="20"/>
          <w:szCs w:val="20"/>
          <w:color w:val="auto"/>
        </w:rPr>
      </w:pPr>
    </w:p>
    <w:p>
      <w:pPr>
        <w:ind w:right="40" w:firstLine="702"/>
        <w:spacing w:after="0" w:line="276" w:lineRule="auto"/>
        <w:rPr>
          <w:sz w:val="20"/>
          <w:szCs w:val="20"/>
          <w:color w:val="auto"/>
        </w:rPr>
      </w:pPr>
      <w:r>
        <w:rPr>
          <w:rFonts w:ascii="Arial" w:cs="Arial" w:eastAsia="Arial" w:hAnsi="Arial"/>
          <w:sz w:val="18"/>
          <w:szCs w:val="18"/>
          <w:color w:val="auto"/>
        </w:rPr>
        <w:t>Supply and demand for crude oil and other hydrocarbon products PAA handles can fluctuate based on a variety of factors, including price, current and future economic conditions, geopolitical conflicts or events, fuel conservation measures, alternative fuel adoption, governmental regulation, including climate change regulations, and technological advances in fuel economy and energy generation and storage technologies. For example, legislative, regulatory or executive actions intended to reduce emissions of greenhouse gases could increase the cost of consuming crude oil and other hydrocarbon products or accelerate the adoption of alternative energy technologies, thereby causing a reduction in the demand for such products. Given that crude oil and petroleum products are global commodities, demand can also be significantly influenced by global market conditions, particularly in key consumption markets such as the United States and China, domestic and foreign political conditions and governmental or regulatory actions (including restrictions on the import or export of crude oil or petroleum products). Demand also depends on the ability and willingness of shippers having access to PAA’s transportation assets to satisfy their demand by deliveries through those assets. Decreases in demand for the products PAA handles, whether at a global level or in areas its assets serve, can negatively affect its operating results.</w:t>
      </w:r>
    </w:p>
    <w:p>
      <w:pPr>
        <w:spacing w:after="0" w:line="185" w:lineRule="exact"/>
        <w:rPr>
          <w:sz w:val="20"/>
          <w:szCs w:val="20"/>
          <w:color w:val="auto"/>
        </w:rPr>
      </w:pPr>
    </w:p>
    <w:p>
      <w:pPr>
        <w:ind w:right="40" w:firstLine="702"/>
        <w:spacing w:after="0" w:line="298" w:lineRule="auto"/>
        <w:rPr>
          <w:sz w:val="20"/>
          <w:szCs w:val="20"/>
          <w:color w:val="auto"/>
        </w:rPr>
      </w:pPr>
      <w:r>
        <w:rPr>
          <w:rFonts w:ascii="Arial" w:cs="Arial" w:eastAsia="Arial" w:hAnsi="Arial"/>
          <w:sz w:val="18"/>
          <w:szCs w:val="18"/>
          <w:color w:val="auto"/>
        </w:rPr>
        <w:t>The supply of crude oil depends on a variety of global political and economic factors, including the reliance of foreign governments on petroleum revenues. Excess global supply of crude oil may negatively impact PAA’s operating results by decreasing the price of crude oil and making production and transportation less profitable in areas PAA services.</w:t>
      </w:r>
    </w:p>
    <w:p>
      <w:pPr>
        <w:spacing w:after="0" w:line="165" w:lineRule="exact"/>
        <w:rPr>
          <w:sz w:val="20"/>
          <w:szCs w:val="20"/>
          <w:color w:val="auto"/>
        </w:rPr>
      </w:pPr>
    </w:p>
    <w:p>
      <w:pPr>
        <w:ind w:right="220" w:firstLine="702"/>
        <w:spacing w:after="0" w:line="266" w:lineRule="auto"/>
        <w:rPr>
          <w:sz w:val="20"/>
          <w:szCs w:val="20"/>
          <w:color w:val="auto"/>
        </w:rPr>
      </w:pPr>
      <w:r>
        <w:rPr>
          <w:rFonts w:ascii="Arial" w:cs="Arial" w:eastAsia="Arial" w:hAnsi="Arial"/>
          <w:sz w:val="19"/>
          <w:szCs w:val="19"/>
          <w:color w:val="auto"/>
        </w:rPr>
        <w:t>Fluctuations in demand for crude oil, such as those caused by refinery downtime or shutdowns, can have a negative effect on PAA’s operating results. Specifically, reduced demand in an area serviced by PAA’s transportation systems will negatively affect the throughput on such systems. Although the negative impact may be mitigated or overcome by PAA’s ability to capture differentials created by demand fluctuations, this ability is dependent on the availability of certain grades of crude oil at specific locations, and thus is largely unpredictable.</w:t>
      </w:r>
    </w:p>
    <w:p>
      <w:pPr>
        <w:spacing w:after="0" w:line="193" w:lineRule="exact"/>
        <w:rPr>
          <w:sz w:val="20"/>
          <w:szCs w:val="20"/>
          <w:color w:val="auto"/>
        </w:rPr>
      </w:pPr>
    </w:p>
    <w:p>
      <w:pPr>
        <w:ind w:right="140" w:firstLine="702"/>
        <w:spacing w:after="0" w:line="264" w:lineRule="auto"/>
        <w:rPr>
          <w:sz w:val="20"/>
          <w:szCs w:val="20"/>
          <w:color w:val="auto"/>
        </w:rPr>
      </w:pPr>
      <w:r>
        <w:rPr>
          <w:rFonts w:ascii="Arial" w:cs="Arial" w:eastAsia="Arial" w:hAnsi="Arial"/>
          <w:sz w:val="19"/>
          <w:szCs w:val="19"/>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PAA handles or a reduction of the fees it charges for its services or margins it earns. Also, increased supply of NGL products could reduce the value of NGL PAA handles and reduce the margins realized by it.</w:t>
      </w:r>
    </w:p>
    <w:p>
      <w:pPr>
        <w:spacing w:after="0" w:line="196" w:lineRule="exact"/>
        <w:rPr>
          <w:sz w:val="20"/>
          <w:szCs w:val="20"/>
          <w:color w:val="auto"/>
        </w:rPr>
      </w:pPr>
    </w:p>
    <w:p>
      <w:pPr>
        <w:ind w:right="100" w:firstLine="702"/>
        <w:spacing w:after="0" w:line="269" w:lineRule="auto"/>
        <w:rPr>
          <w:sz w:val="20"/>
          <w:szCs w:val="20"/>
          <w:color w:val="auto"/>
        </w:rPr>
      </w:pPr>
      <w:r>
        <w:rPr>
          <w:rFonts w:ascii="Arial" w:cs="Arial" w:eastAsia="Arial" w:hAnsi="Arial"/>
          <w:sz w:val="19"/>
          <w:szCs w:val="19"/>
          <w:color w:val="auto"/>
        </w:rPr>
        <w:t>NGL and products produced from NGL also compete with products from global markets. Any reduced demand or increased supply for ethane, propane, normal butane, iso-butane or natural gasoline in the markets PAA accesses for any of the reasons stated above could adversely affect demand for the services PAA provides as well as NGL prices, which could negatively impact its operating results.</w:t>
      </w:r>
    </w:p>
    <w:p>
      <w:pPr>
        <w:spacing w:after="0" w:line="183" w:lineRule="exact"/>
        <w:rPr>
          <w:sz w:val="20"/>
          <w:szCs w:val="20"/>
          <w:color w:val="auto"/>
        </w:rPr>
      </w:pPr>
    </w:p>
    <w:p>
      <w:pPr>
        <w:ind w:right="80"/>
        <w:spacing w:after="0" w:line="267" w:lineRule="auto"/>
        <w:rPr>
          <w:sz w:val="20"/>
          <w:szCs w:val="20"/>
          <w:color w:val="auto"/>
        </w:rPr>
      </w:pPr>
      <w:r>
        <w:rPr>
          <w:rFonts w:ascii="Arial" w:cs="Arial" w:eastAsia="Arial" w:hAnsi="Arial"/>
          <w:sz w:val="19"/>
          <w:szCs w:val="19"/>
          <w:b w:val="1"/>
          <w:bCs w:val="1"/>
          <w:i w:val="1"/>
          <w:iCs w:val="1"/>
          <w:color w:val="auto"/>
        </w:rPr>
        <w:t>Natural disasters, catastrophes, terrorist attacks (including eco-terrorist attacks), process safety failures, equipment failures or other events, including pipeline or facility accidents and cyber or other attacks on PAA’s electronic and computer systems, could interrupt its operations, hinder its ability to fulfil its contractual obligations and/or result in severe personal injury, property damage and environmental damage, which could have a material adverse effect on its financial position, results of operations and cash flows.</w:t>
      </w:r>
    </w:p>
    <w:p>
      <w:pPr>
        <w:spacing w:after="0" w:line="196" w:lineRule="exact"/>
        <w:rPr>
          <w:sz w:val="20"/>
          <w:szCs w:val="20"/>
          <w:color w:val="auto"/>
        </w:rPr>
      </w:pPr>
    </w:p>
    <w:p>
      <w:pPr>
        <w:ind w:firstLine="702"/>
        <w:spacing w:after="0" w:line="279" w:lineRule="auto"/>
        <w:rPr>
          <w:sz w:val="20"/>
          <w:szCs w:val="20"/>
          <w:color w:val="auto"/>
        </w:rPr>
      </w:pPr>
      <w:r>
        <w:rPr>
          <w:rFonts w:ascii="Arial" w:cs="Arial" w:eastAsia="Arial" w:hAnsi="Arial"/>
          <w:sz w:val="18"/>
          <w:szCs w:val="18"/>
          <w:color w:val="auto"/>
        </w:rPr>
        <w:t>Some of PAA’s operations involve risks of personal injury, property damage and environmental damage that could curtail its operations and otherwise materially adversely affect its cash flow. Virtually all of PAA’s operations are exposed to potential natural disasters or other natural events, including hurricanes, tornadoes, storms, floods, earthquakes, shifting soil and/ or landslides. The location of some of PAA’s assets and its customers’ assets in the U.S. Gulf Coast region makes them particularly vulnerable to hurricane or tropical storm risk. PAA’s facilities and operations are also vulnerable to accidents caused by process safety failures, equipment failures, or human error. In addition, the U.S. government has previously issued warnings that energy assets, specifically the nation’s pipeline infrastructure, may be targets of terrorist organizations. Terrorists may target PAA’s physical facilities and hackers may attack its electronic and computer systems.</w:t>
      </w:r>
    </w:p>
    <w:p>
      <w:pPr>
        <w:sectPr>
          <w:pgSz w:w="11880" w:h="15480" w:orient="portrait"/>
          <w:cols w:equalWidth="0" w:num="1">
            <w:col w:w="9980"/>
          </w:cols>
          <w:pgMar w:left="940" w:top="66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9980"/>
          </w:cols>
          <w:pgMar w:left="940" w:top="669" w:right="960" w:bottom="0" w:gutter="0" w:footer="0" w:header="0"/>
          <w:type w:val="continuous"/>
        </w:sectPr>
      </w:pPr>
    </w:p>
    <w:bookmarkStart w:id="48" w:name="page49"/>
    <w:bookmarkEnd w:id="48"/>
    <w:p>
      <w:pPr>
        <w:ind w:right="40" w:firstLine="702"/>
        <w:spacing w:after="0" w:line="276" w:lineRule="auto"/>
        <w:rPr>
          <w:sz w:val="20"/>
          <w:szCs w:val="20"/>
          <w:color w:val="auto"/>
        </w:rPr>
      </w:pPr>
      <w:r>
        <w:rPr>
          <w:rFonts w:ascii="Arial" w:cs="Arial" w:eastAsia="Arial" w:hAnsi="Arial"/>
          <w:sz w:val="18"/>
          <w:szCs w:val="18"/>
          <w:color w:val="auto"/>
        </w:rPr>
        <w:t>If one or more of PAA’s pipelines or other facilities, including electronic and computer systems, or any facilities or businesses that deliver products, supplies or services to PAA or that it relies on in order to operate its business, are damaged by severe weather or any other disaster, accident, catastrophe, terrorist attack or event, its operations could be significantly interrupted. In addition, PAA’s merchant activities may include purchasing crude oil and NGL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These incidents or interruptions could involve significant damage or injury to people, property or the environment, and repairs could take anywhere from a few days to several months or more depending on the severity and impact of the event. Any such event that interrupts the revenues generated by its operations, hinders its ability to fulfil its contractual obligations or which causes PAA to make significant expenditures not covered by insurance, could reduce its profitability, cash flows and cash available for paying distributions to its partners and, accordingly, adversely affect its financial condition and the market price of its securities.</w:t>
      </w:r>
    </w:p>
    <w:p>
      <w:pPr>
        <w:spacing w:after="0" w:line="185" w:lineRule="exact"/>
        <w:rPr>
          <w:sz w:val="20"/>
          <w:szCs w:val="20"/>
          <w:color w:val="auto"/>
        </w:rPr>
      </w:pPr>
    </w:p>
    <w:p>
      <w:pPr>
        <w:ind w:right="80" w:firstLine="702"/>
        <w:spacing w:after="0" w:line="266" w:lineRule="auto"/>
        <w:rPr>
          <w:sz w:val="20"/>
          <w:szCs w:val="20"/>
          <w:color w:val="auto"/>
        </w:rPr>
      </w:pPr>
      <w:r>
        <w:rPr>
          <w:rFonts w:ascii="Arial" w:cs="Arial" w:eastAsia="Arial" w:hAnsi="Arial"/>
          <w:sz w:val="19"/>
          <w:szCs w:val="19"/>
          <w:color w:val="auto"/>
        </w:rPr>
        <w:t>PAA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PAA’s operations and/or make it more difficult for PAA to obtain the approvals, permits, licenses or real property interests PAA needs in order to operate its assets or complete planned growth projects or other transactions.</w:t>
      </w:r>
    </w:p>
    <w:p>
      <w:pPr>
        <w:spacing w:after="0" w:line="186" w:lineRule="exact"/>
        <w:rPr>
          <w:sz w:val="20"/>
          <w:szCs w:val="20"/>
          <w:color w:val="auto"/>
        </w:rPr>
      </w:pPr>
    </w:p>
    <w:p>
      <w:pPr>
        <w:spacing w:after="0" w:line="300" w:lineRule="auto"/>
        <w:rPr>
          <w:sz w:val="20"/>
          <w:szCs w:val="20"/>
          <w:color w:val="auto"/>
        </w:rPr>
      </w:pPr>
      <w:r>
        <w:rPr>
          <w:rFonts w:ascii="Arial" w:cs="Arial" w:eastAsia="Arial" w:hAnsi="Arial"/>
          <w:sz w:val="19"/>
          <w:szCs w:val="19"/>
          <w:b w:val="1"/>
          <w:bCs w:val="1"/>
          <w:i w:val="1"/>
          <w:iCs w:val="1"/>
          <w:color w:val="auto"/>
        </w:rPr>
        <w:t>Cybersecurity attacks, data breaches and other disruptions affecting PAA, or its service providers, could materially and adversely affect PAA’s business, operations, reputation and financial results.</w:t>
      </w:r>
    </w:p>
    <w:p>
      <w:pPr>
        <w:spacing w:after="0" w:line="163" w:lineRule="exact"/>
        <w:rPr>
          <w:sz w:val="20"/>
          <w:szCs w:val="20"/>
          <w:color w:val="auto"/>
        </w:rPr>
      </w:pPr>
    </w:p>
    <w:p>
      <w:pPr>
        <w:ind w:right="20" w:firstLine="702"/>
        <w:spacing w:after="0" w:line="275" w:lineRule="auto"/>
        <w:rPr>
          <w:sz w:val="20"/>
          <w:szCs w:val="20"/>
          <w:color w:val="auto"/>
        </w:rPr>
      </w:pPr>
      <w:r>
        <w:rPr>
          <w:rFonts w:ascii="Arial" w:cs="Arial" w:eastAsia="Arial" w:hAnsi="Arial"/>
          <w:sz w:val="18"/>
          <w:szCs w:val="18"/>
          <w:color w:val="auto"/>
        </w:rPr>
        <w:t>PAA is reliant on the continuous and uninterrupted operation of its various technology systems. User access to PAA’s sites and information technology systems are critical elements of its operations, as is cloud security and protection against cyber security incidents. In the ordinary course of its business, PAA collects and stores sensitive data in its data centers and on its networks, including intellectual property, proprietary business information, critical operating information and data, information regarding its customers, suppliers, royalty owners and business partners, and personally identifiable information of its employees. PAA also engages third parties, such as service providers and vendors, who provide a broad array of software, technologies, tools and other products, services and functions that enables it to conduct, monitor and/or protect its business, operations systems and data assets. The secure processing, maintenance and transmission of this information is critical to PAA’s operations and business strategy. Despite PAA’s security measures, the information technology and infrastructure it relies on may be vulnerable to attacks by third parties, such as hackers, or breached due to human error, malfeasance or other disruptions. Any such breach could compromise PAA’s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for divulging shipper information, disruption of PAA’s operations, damage to its reputation, and loss of confidence in its services, which could adversely affect its business.</w:t>
      </w:r>
    </w:p>
    <w:p>
      <w:pPr>
        <w:spacing w:after="0" w:line="186" w:lineRule="exact"/>
        <w:rPr>
          <w:sz w:val="20"/>
          <w:szCs w:val="20"/>
          <w:color w:val="auto"/>
        </w:rPr>
      </w:pPr>
    </w:p>
    <w:p>
      <w:pPr>
        <w:ind w:right="220" w:firstLine="702"/>
        <w:spacing w:after="0" w:line="305" w:lineRule="auto"/>
        <w:rPr>
          <w:sz w:val="20"/>
          <w:szCs w:val="20"/>
          <w:color w:val="auto"/>
        </w:rPr>
      </w:pPr>
      <w:r>
        <w:rPr>
          <w:rFonts w:ascii="Arial" w:cs="Arial" w:eastAsia="Arial" w:hAnsi="Arial"/>
          <w:sz w:val="17"/>
          <w:szCs w:val="17"/>
          <w:color w:val="auto"/>
        </w:rPr>
        <w:t>PAA and certain of its service providers have, from time to time, been subject to cyberattacks. The frequency and magnitude of cyberattacks is expected to increase and attackers are becoming more sophisticated. PAA may be unable to anticipate, detect or prevent future attacks, particularly as the methodologies used by attackers change frequently or are not recognized until launched, and PAA may be unable to investigate or remediate incidents because attackers are increasingly using techniques and tools designed to circumvent controls, to avoid detection, and to remove or obfuscate forensic evidence.</w:t>
      </w:r>
    </w:p>
    <w:p>
      <w:pPr>
        <w:spacing w:after="0" w:line="162" w:lineRule="exact"/>
        <w:rPr>
          <w:sz w:val="20"/>
          <w:szCs w:val="20"/>
          <w:color w:val="auto"/>
        </w:rPr>
      </w:pPr>
    </w:p>
    <w:p>
      <w:pPr>
        <w:ind w:firstLine="702"/>
        <w:spacing w:after="0" w:line="278" w:lineRule="auto"/>
        <w:rPr>
          <w:sz w:val="20"/>
          <w:szCs w:val="20"/>
          <w:color w:val="auto"/>
        </w:rPr>
      </w:pPr>
      <w:r>
        <w:rPr>
          <w:rFonts w:ascii="Arial" w:cs="Arial" w:eastAsia="Arial" w:hAnsi="Arial"/>
          <w:sz w:val="18"/>
          <w:szCs w:val="18"/>
          <w:color w:val="auto"/>
        </w:rPr>
        <w:t>The information technology infrastructure PAA uses is critical to the efficient operation of its business and essential to its ability to perform day-to-day operations. Risks to PAA’s information technology systems include: unauthorized or inadvertent extraction of business sensitive, confidential or personal information; denial of access extortion; corruption of information; or disruption of business processes. Breaches of PAA’s information technology infrastructure or physical facilities, or other disruptions, could result in damage to its assets, safety incidents, damage to the environment, remediation costs, liability, regulatory enforcement, violation of privacy or securities laws and regulations, the loss of contracts or the inability to fulfil its contractual obligations, any of which could have a material adverse effect on its operations, financial position and results of operations. In addition, PAA may be required to invest significant additional resources to enhance its information security and controls or to comply with evolving cybersecurity laws or regulations.</w:t>
      </w:r>
    </w:p>
    <w:p>
      <w:pPr>
        <w:spacing w:after="0" w:line="182" w:lineRule="exact"/>
        <w:rPr>
          <w:sz w:val="20"/>
          <w:szCs w:val="20"/>
          <w:color w:val="auto"/>
        </w:rPr>
      </w:pPr>
    </w:p>
    <w:p>
      <w:pPr>
        <w:ind w:right="60" w:firstLine="702"/>
        <w:spacing w:after="0" w:line="289" w:lineRule="auto"/>
        <w:rPr>
          <w:sz w:val="20"/>
          <w:szCs w:val="20"/>
          <w:color w:val="auto"/>
        </w:rPr>
      </w:pPr>
      <w:r>
        <w:rPr>
          <w:rFonts w:ascii="Arial" w:cs="Arial" w:eastAsia="Arial" w:hAnsi="Arial"/>
          <w:sz w:val="18"/>
          <w:szCs w:val="18"/>
          <w:color w:val="auto"/>
        </w:rPr>
        <w:t>PAA self-insures and thus does not carry insurance specifically for cybersecurity events; however, certain of PAA’s insurance policies may allow for coverage of associated damages resulting from such events. If PAA were to incur a significant liability for which it was not fully insured, or if PAA incurred costs in excess of reserves established for uninsured or self-insured risks, it could have a material adverse effect on PAA’s financial position, results of operations and cash flows.</w:t>
      </w:r>
    </w:p>
    <w:p>
      <w:pPr>
        <w:sectPr>
          <w:pgSz w:w="11880" w:h="15480" w:orient="portrait"/>
          <w:cols w:equalWidth="0" w:num="1">
            <w:col w:w="10000"/>
          </w:cols>
          <w:pgMar w:left="940" w:top="676" w:right="94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10000"/>
          </w:cols>
          <w:pgMar w:left="940" w:top="676" w:right="940" w:bottom="0" w:gutter="0" w:footer="0" w:header="0"/>
          <w:type w:val="continuous"/>
        </w:sectPr>
      </w:pPr>
    </w:p>
    <w:bookmarkStart w:id="49" w:name="page50"/>
    <w:bookmarkEnd w:id="49"/>
    <w:p>
      <w:pPr>
        <w:spacing w:after="0"/>
        <w:rPr>
          <w:sz w:val="20"/>
          <w:szCs w:val="20"/>
          <w:color w:val="auto"/>
        </w:rPr>
      </w:pPr>
      <w:r>
        <w:rPr>
          <w:rFonts w:ascii="Arial" w:cs="Arial" w:eastAsia="Arial" w:hAnsi="Arial"/>
          <w:sz w:val="19"/>
          <w:szCs w:val="19"/>
          <w:b w:val="1"/>
          <w:bCs w:val="1"/>
          <w:i w:val="1"/>
          <w:iCs w:val="1"/>
          <w:color w:val="auto"/>
        </w:rPr>
        <w:t>PAA’s and its customers’ operations are subject to various risks arising out of the threat of climate change.</w:t>
      </w:r>
    </w:p>
    <w:p>
      <w:pPr>
        <w:spacing w:after="0" w:line="257" w:lineRule="exact"/>
        <w:rPr>
          <w:sz w:val="20"/>
          <w:szCs w:val="20"/>
          <w:color w:val="auto"/>
        </w:rPr>
      </w:pPr>
    </w:p>
    <w:p>
      <w:pPr>
        <w:ind w:right="20" w:firstLine="702"/>
        <w:spacing w:after="0" w:line="261" w:lineRule="auto"/>
        <w:rPr>
          <w:sz w:val="20"/>
          <w:szCs w:val="20"/>
          <w:color w:val="auto"/>
        </w:rPr>
      </w:pPr>
      <w:r>
        <w:rPr>
          <w:rFonts w:ascii="Arial" w:cs="Arial" w:eastAsia="Arial" w:hAnsi="Arial"/>
          <w:sz w:val="19"/>
          <w:szCs w:val="19"/>
          <w:color w:val="auto"/>
        </w:rPr>
        <w:t>PAA’s and its customers’ operations are subject to a number of risks arising out of the threat of climate change, including the adoption of energy conservation measures, initiatives that stimulate demand for alternative forms of energy or limit production of petroleum products, or technological advances in fuel economy and energy generation devices. Any of these could result in increased operating costs, limits on the areas in which oil and natural gas production may occur, and reduced demand for PAA’s services or the products it handles. Government initiatives or technological advances may also create new competitive conditions that result in reduced demand for products PAA’s customers produce and, in turn, the services PAA provides. The potential impact of changing demand for crude oil and natural gas services and products may have a material adverse effect on PAA’s business, financial condition, results of operations and cash flows. Additionally, the threat of climate change may negatively impact PAA’s business if it results in PAA restricting, delaying or canceling development activities and new projects.</w:t>
      </w:r>
    </w:p>
    <w:p>
      <w:pPr>
        <w:spacing w:after="0" w:line="198" w:lineRule="exact"/>
        <w:rPr>
          <w:sz w:val="20"/>
          <w:szCs w:val="20"/>
          <w:color w:val="auto"/>
        </w:rPr>
      </w:pPr>
    </w:p>
    <w:p>
      <w:pPr>
        <w:ind w:firstLine="702"/>
        <w:spacing w:after="0" w:line="282" w:lineRule="auto"/>
        <w:rPr>
          <w:sz w:val="20"/>
          <w:szCs w:val="20"/>
          <w:color w:val="auto"/>
        </w:rPr>
      </w:pPr>
      <w:r>
        <w:rPr>
          <w:rFonts w:ascii="Arial" w:cs="Arial" w:eastAsia="Arial" w:hAnsi="Arial"/>
          <w:sz w:val="18"/>
          <w:szCs w:val="18"/>
          <w:color w:val="auto"/>
        </w:rPr>
        <w:t>We are also subject to litigation risks related to climate change as investors, landowners, government agencies and other plaintiffs may target companies in the petroleum industry with lawsuits seeking damages allegedly caused by climate change. Should Plains be targeted by any such litigation, PAA may incur liability, which, to the extent that societal pressures or political or other factors are involved, could be imposed without regard to causation or contribution to the asserted damage, or to other mitigating factors. Involvement in such a case could have adverse reputational impacts and an unfavorable ruling in any such case could adversely impact PAA’s operations and financial condition.</w:t>
      </w:r>
    </w:p>
    <w:p>
      <w:pPr>
        <w:spacing w:after="0" w:line="179" w:lineRule="exact"/>
        <w:rPr>
          <w:sz w:val="20"/>
          <w:szCs w:val="20"/>
          <w:color w:val="auto"/>
        </w:rPr>
      </w:pPr>
    </w:p>
    <w:p>
      <w:pPr>
        <w:ind w:right="160" w:firstLine="702"/>
        <w:spacing w:after="0" w:line="305" w:lineRule="auto"/>
        <w:rPr>
          <w:sz w:val="20"/>
          <w:szCs w:val="20"/>
          <w:color w:val="auto"/>
        </w:rPr>
      </w:pPr>
      <w:r>
        <w:rPr>
          <w:rFonts w:ascii="Arial" w:cs="Arial" w:eastAsia="Arial" w:hAnsi="Arial"/>
          <w:sz w:val="17"/>
          <w:szCs w:val="17"/>
          <w:color w:val="auto"/>
        </w:rPr>
        <w:t>Climate changes that have significant physical effects, such as increased frequency and severity of storms, droughts, floods and other climatic events, as well as shifts in temperature and precipitation patterns have the potential to cause physical damage to PAA’s assets or disrupt its supply chains and thus could have an adverse effect on its operations. PAA’s ability to manage the adverse impacts of these events depends in part on the effectiveness its disaster preparedness and response and business continuity planning, which may not have considered or be prepared for every eventuality.</w:t>
      </w:r>
    </w:p>
    <w:p>
      <w:pPr>
        <w:spacing w:after="0" w:line="162" w:lineRule="exact"/>
        <w:rPr>
          <w:sz w:val="20"/>
          <w:szCs w:val="20"/>
          <w:color w:val="auto"/>
        </w:rPr>
      </w:pPr>
    </w:p>
    <w:p>
      <w:pPr>
        <w:ind w:right="320" w:firstLine="702"/>
        <w:spacing w:after="0" w:line="276" w:lineRule="auto"/>
        <w:rPr>
          <w:sz w:val="20"/>
          <w:szCs w:val="20"/>
          <w:color w:val="auto"/>
        </w:rPr>
      </w:pPr>
      <w:r>
        <w:rPr>
          <w:rFonts w:ascii="Arial" w:cs="Arial" w:eastAsia="Arial" w:hAnsi="Arial"/>
          <w:sz w:val="19"/>
          <w:szCs w:val="19"/>
          <w:color w:val="auto"/>
        </w:rPr>
        <w:t>The full impact of climate change on PAA’s business, as well as the businesses of its customers and suppliers is unknown. Any of factors discussed above, or any other unanticipated developments, could have a material adverse effect on PAA’s business, results of operations and financial condition.</w:t>
      </w:r>
    </w:p>
    <w:p>
      <w:pPr>
        <w:spacing w:after="0" w:line="175" w:lineRule="exact"/>
        <w:rPr>
          <w:sz w:val="20"/>
          <w:szCs w:val="20"/>
          <w:color w:val="auto"/>
        </w:rPr>
      </w:pPr>
    </w:p>
    <w:p>
      <w:pPr>
        <w:ind w:right="480"/>
        <w:spacing w:after="0" w:line="300" w:lineRule="auto"/>
        <w:rPr>
          <w:sz w:val="20"/>
          <w:szCs w:val="20"/>
          <w:color w:val="auto"/>
        </w:rPr>
      </w:pPr>
      <w:r>
        <w:rPr>
          <w:rFonts w:ascii="Arial" w:cs="Arial" w:eastAsia="Arial" w:hAnsi="Arial"/>
          <w:sz w:val="19"/>
          <w:szCs w:val="19"/>
          <w:b w:val="1"/>
          <w:bCs w:val="1"/>
          <w:i w:val="1"/>
          <w:iCs w:val="1"/>
          <w:color w:val="auto"/>
        </w:rPr>
        <w:t>PAA may face opposition from various groups to the development or operation of its pipelines and facilities and PAA’s business may be subject to societal and political pressures.</w:t>
      </w:r>
    </w:p>
    <w:p>
      <w:pPr>
        <w:spacing w:after="0" w:line="163" w:lineRule="exact"/>
        <w:rPr>
          <w:sz w:val="20"/>
          <w:szCs w:val="20"/>
          <w:color w:val="auto"/>
        </w:rPr>
      </w:pPr>
    </w:p>
    <w:p>
      <w:pPr>
        <w:ind w:right="80" w:firstLine="702"/>
        <w:spacing w:after="0" w:line="276" w:lineRule="auto"/>
        <w:rPr>
          <w:sz w:val="20"/>
          <w:szCs w:val="20"/>
          <w:color w:val="auto"/>
        </w:rPr>
      </w:pPr>
      <w:r>
        <w:rPr>
          <w:rFonts w:ascii="Arial" w:cs="Arial" w:eastAsia="Arial" w:hAnsi="Arial"/>
          <w:sz w:val="18"/>
          <w:szCs w:val="18"/>
          <w:color w:val="auto"/>
        </w:rPr>
        <w:t>PAA may face opposition to the development or operation of its pipelines and facilities from environmental groups, landowners, indigenous groups, local groups and other advocates. Such opposition could take many forms, including organized protests, attempts to block or sabotage PAA’s operations, intervention in regulatory or administrative proceedings involving its assets, or lawsuits or other actions designed to prevent, disrupt or delay the development or operation of PAA’s assets and business. For example, repairing PAA’s pipelines often involves securing consent from individual landowners to access their property; one or more landowners may resist PAA’s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PAA’s operations. Any such event that interrupts the revenues generated by PAA’s operations, or which causes PAA to make significant expenditures not covered by insurance, could reduce PAA’s cash available for paying distributions to its partners and, accordingly, adversely affect PAA’s financial condition and the market price of its securities.</w:t>
      </w:r>
    </w:p>
    <w:p>
      <w:pPr>
        <w:spacing w:after="0" w:line="185" w:lineRule="exact"/>
        <w:rPr>
          <w:sz w:val="20"/>
          <w:szCs w:val="20"/>
          <w:color w:val="auto"/>
        </w:rPr>
      </w:pPr>
    </w:p>
    <w:p>
      <w:pPr>
        <w:ind w:right="140" w:firstLine="702"/>
        <w:spacing w:after="0" w:line="263" w:lineRule="auto"/>
        <w:rPr>
          <w:sz w:val="20"/>
          <w:szCs w:val="20"/>
          <w:color w:val="auto"/>
        </w:rPr>
      </w:pPr>
      <w:r>
        <w:rPr>
          <w:rFonts w:ascii="Arial" w:cs="Arial" w:eastAsia="Arial" w:hAnsi="Arial"/>
          <w:sz w:val="19"/>
          <w:szCs w:val="19"/>
          <w:color w:val="auto"/>
        </w:rPr>
        <w:t>PAA’s business plans are based upon the assumption that societal sentiment and applicable laws and regulations will continue to allow and enable the future development, transportation and use of hydrocarbon-based fuels. Policy decisions relating to the production, refining, transportation and marketing of hydrocarbon-based fuels are subject to political pressures, the negative portrayal of the industry in which PAA operates by the media and others, and the influence and protests of environmental and other special interest groups. Such negative sentiment regarding the hydrocarbon energy industry could influence consumer preferences and government or regulatory actions, which could, in turn, have an adverse impact on PAA’s business.</w:t>
      </w:r>
    </w:p>
    <w:p>
      <w:pPr>
        <w:sectPr>
          <w:pgSz w:w="11880" w:h="15480" w:orient="portrait"/>
          <w:cols w:equalWidth="0" w:num="1">
            <w:col w:w="10000"/>
          </w:cols>
          <w:pgMar w:left="940" w:top="90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10000"/>
          </w:cols>
          <w:pgMar w:left="940" w:top="903" w:right="940" w:bottom="0" w:gutter="0" w:footer="0" w:header="0"/>
          <w:type w:val="continuous"/>
        </w:sectPr>
      </w:pPr>
    </w:p>
    <w:bookmarkStart w:id="50" w:name="page51"/>
    <w:bookmarkEnd w:id="50"/>
    <w:p>
      <w:pPr>
        <w:ind w:right="200" w:firstLine="702"/>
        <w:spacing w:after="0" w:line="264" w:lineRule="auto"/>
        <w:rPr>
          <w:sz w:val="20"/>
          <w:szCs w:val="20"/>
          <w:color w:val="auto"/>
        </w:rPr>
      </w:pPr>
      <w:r>
        <w:rPr>
          <w:rFonts w:ascii="Arial" w:cs="Arial" w:eastAsia="Arial" w:hAnsi="Arial"/>
          <w:sz w:val="19"/>
          <w:szCs w:val="19"/>
          <w:color w:val="auto"/>
        </w:rPr>
        <w:t>Activists concerned about the potential effects of climate change have directed their attention towards sources of funding for hydrocarbon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ongoing operations, and consequently could both indirectly affect demand for PAA’s services and directly affect PAA’s ability to fund construction or other capital projects and its ongoing operations.</w:t>
      </w:r>
    </w:p>
    <w:p>
      <w:pPr>
        <w:spacing w:after="0" w:line="189" w:lineRule="exact"/>
        <w:rPr>
          <w:sz w:val="20"/>
          <w:szCs w:val="20"/>
          <w:color w:val="auto"/>
        </w:rPr>
      </w:pPr>
    </w:p>
    <w:p>
      <w:pPr>
        <w:ind w:right="680"/>
        <w:spacing w:after="0" w:line="401" w:lineRule="auto"/>
        <w:rPr>
          <w:sz w:val="20"/>
          <w:szCs w:val="20"/>
          <w:color w:val="auto"/>
        </w:rPr>
      </w:pPr>
      <w:r>
        <w:rPr>
          <w:rFonts w:ascii="Arial" w:cs="Arial" w:eastAsia="Arial" w:hAnsi="Arial"/>
          <w:sz w:val="16"/>
          <w:szCs w:val="16"/>
          <w:b w:val="1"/>
          <w:bCs w:val="1"/>
          <w:i w:val="1"/>
          <w:iCs w:val="1"/>
          <w:color w:val="auto"/>
        </w:rPr>
        <w:t>PAA is subject to scrutiny by financial stakeholders with respect to the perceived social and environmental cost of its industry and its governance structure, which may adversely impact its ability to raise capital from such investors.</w:t>
      </w:r>
    </w:p>
    <w:p>
      <w:pPr>
        <w:spacing w:after="0" w:line="94" w:lineRule="exact"/>
        <w:rPr>
          <w:sz w:val="20"/>
          <w:szCs w:val="20"/>
          <w:color w:val="auto"/>
        </w:rPr>
      </w:pPr>
    </w:p>
    <w:p>
      <w:pPr>
        <w:ind w:right="180" w:firstLine="702"/>
        <w:spacing w:after="0" w:line="271" w:lineRule="auto"/>
        <w:rPr>
          <w:sz w:val="20"/>
          <w:szCs w:val="20"/>
          <w:color w:val="auto"/>
        </w:rPr>
      </w:pPr>
      <w:r>
        <w:rPr>
          <w:rFonts w:ascii="Arial" w:cs="Arial" w:eastAsia="Arial" w:hAnsi="Arial"/>
          <w:sz w:val="18"/>
          <w:szCs w:val="18"/>
          <w:color w:val="auto"/>
        </w:rPr>
        <w:t>Certain financial stakeholders, including certain institutional investors such as public pension funds and banks, have placed importance on the implications and social cost of sustainability matters. Sustainability factors play an important role in the investment decisions made by certain investors and banks, and companies involved in certain industries or with certain governance structures, such as master limited partnerships, are receiving increased scrutiny.</w:t>
      </w:r>
    </w:p>
    <w:p>
      <w:pPr>
        <w:spacing w:after="0" w:line="157" w:lineRule="exact"/>
        <w:rPr>
          <w:sz w:val="20"/>
          <w:szCs w:val="20"/>
          <w:color w:val="auto"/>
        </w:rPr>
      </w:pPr>
    </w:p>
    <w:p>
      <w:pPr>
        <w:ind w:firstLine="702"/>
        <w:spacing w:after="0" w:line="282" w:lineRule="auto"/>
        <w:rPr>
          <w:sz w:val="20"/>
          <w:szCs w:val="20"/>
          <w:color w:val="auto"/>
        </w:rPr>
      </w:pPr>
      <w:r>
        <w:rPr>
          <w:rFonts w:ascii="Arial" w:cs="Arial" w:eastAsia="Arial" w:hAnsi="Arial"/>
          <w:sz w:val="18"/>
          <w:szCs w:val="18"/>
          <w:color w:val="auto"/>
        </w:rPr>
        <w:t>Financial stakeholders’ focus and activism related to sustainability and similar matters could constrain PAA’s ability to raise capital. Any material limitations on its ability to access capital as a result of such scrutiny could limit its ability to obtain future financing on favorable terms, or at all, or could result in increased financing costs in the future. Similarly, such activism could negatively impact PAA’s unit price or the price of its debt, limiting its ability to raise capital through equity issuances or debt financing, or could negatively affect its ability to engage in, expand or pursue its business activities, and could also prevent it from engaging in certain transactions that might otherwise be considered beneficial to PAA.</w:t>
      </w:r>
    </w:p>
    <w:p>
      <w:pPr>
        <w:spacing w:after="0" w:line="163" w:lineRule="exact"/>
        <w:rPr>
          <w:sz w:val="20"/>
          <w:szCs w:val="20"/>
          <w:color w:val="auto"/>
        </w:rPr>
      </w:pPr>
    </w:p>
    <w:p>
      <w:pPr>
        <w:ind w:right="100" w:firstLine="702"/>
        <w:spacing w:after="0" w:line="276" w:lineRule="auto"/>
        <w:rPr>
          <w:sz w:val="20"/>
          <w:szCs w:val="20"/>
          <w:color w:val="auto"/>
        </w:rPr>
      </w:pPr>
      <w:r>
        <w:rPr>
          <w:rFonts w:ascii="Arial" w:cs="Arial" w:eastAsia="Arial" w:hAnsi="Arial"/>
          <w:sz w:val="18"/>
          <w:szCs w:val="18"/>
          <w:color w:val="auto"/>
        </w:rPr>
        <w:t>Businesses across all industries receive attention from stakeholders related to their sustainability practices. Businesses that do not adapt to or comply with investor or stakeholder expectations and standards, which are continuing to evolve, or businesses that are perceived to have not responded appropriately to concerns related to sustainability matters, regardless of whether there is a legal requirement to do so, may suffer reputational damage and the business, financial condition, and/or equity value of such business entity could be materially and adversely affected. A focus on climate change, societal expectations on companies to address climate change, investor expectations regarding voluntary sustainability-related disclosures, increasing mandatory sustainability disclosures, and consumer demand for alternative forms of energy may result in increased costs, reduced demand for PAA’s services or the products it handles, reduced profits, increased legislative and judicial scrutiny, investigations and litigation, reputational damage, and negative impacts on PAA’s access to capital markets. PAA could also be subject to additional governmental investigations, private litigation, or activist campaigns as unitholders may attempt to effect changes to PAA’s business or governance practices.</w:t>
      </w:r>
    </w:p>
    <w:p>
      <w:pPr>
        <w:spacing w:after="0" w:line="189" w:lineRule="exact"/>
        <w:rPr>
          <w:sz w:val="20"/>
          <w:szCs w:val="20"/>
          <w:color w:val="auto"/>
        </w:rPr>
      </w:pPr>
    </w:p>
    <w:p>
      <w:pPr>
        <w:ind w:right="20" w:firstLine="702"/>
        <w:spacing w:after="0" w:line="279" w:lineRule="auto"/>
        <w:rPr>
          <w:sz w:val="20"/>
          <w:szCs w:val="20"/>
          <w:color w:val="auto"/>
        </w:rPr>
      </w:pPr>
      <w:r>
        <w:rPr>
          <w:rFonts w:ascii="Arial" w:cs="Arial" w:eastAsia="Arial" w:hAnsi="Arial"/>
          <w:sz w:val="18"/>
          <w:szCs w:val="18"/>
          <w:color w:val="auto"/>
        </w:rPr>
        <w:t>In March 2022, the SEC issued a proposed rule that would mandate extensive disclosure of climate-related risks, including financial impacts, physical and transition risks, climate-related governance and strategy, and GHG emissions, for all U.S.-listed public companies. The SEC missed its self-imposed October 2022 deadline for issuing a final rule and many commentators now expect a final rule to be issued in the first half of 2024. Although the final form and substance of this rule and its requirements are not yet known and its ultimate impact on PAA’s business is uncertain, compliance with the proposed rule, if finalized, will result in additional legal, accounting and financial compliance costs. In addition, enhanced climate-related disclosure requirements could influence stakeholders and lenders to restrict or seek more stringent conditions with respect to their investments in certain carbon-intensive sectors.</w:t>
      </w:r>
    </w:p>
    <w:p>
      <w:pPr>
        <w:spacing w:after="0" w:line="174" w:lineRule="exact"/>
        <w:rPr>
          <w:sz w:val="20"/>
          <w:szCs w:val="20"/>
          <w:color w:val="auto"/>
        </w:rPr>
      </w:pPr>
    </w:p>
    <w:p>
      <w:pPr>
        <w:ind w:right="460"/>
        <w:spacing w:after="0" w:line="363" w:lineRule="auto"/>
        <w:rPr>
          <w:sz w:val="20"/>
          <w:szCs w:val="20"/>
          <w:color w:val="auto"/>
        </w:rPr>
      </w:pPr>
      <w:r>
        <w:rPr>
          <w:rFonts w:ascii="Arial" w:cs="Arial" w:eastAsia="Arial" w:hAnsi="Arial"/>
          <w:sz w:val="17"/>
          <w:szCs w:val="17"/>
          <w:b w:val="1"/>
          <w:bCs w:val="1"/>
          <w:i w:val="1"/>
          <w:iCs w:val="1"/>
          <w:color w:val="auto"/>
        </w:rPr>
        <w:t>PAA’s crude oil and NGL merchant activities are influenced by the overall forward market for crude oil and NGL, and certain market structures, the absence of pricing volatility and other market factors may adversely impact its results.</w:t>
      </w:r>
    </w:p>
    <w:p>
      <w:pPr>
        <w:spacing w:after="0" w:line="118" w:lineRule="exact"/>
        <w:rPr>
          <w:sz w:val="20"/>
          <w:szCs w:val="20"/>
          <w:color w:val="auto"/>
        </w:rPr>
      </w:pPr>
    </w:p>
    <w:p>
      <w:pPr>
        <w:ind w:right="120" w:firstLine="702"/>
        <w:spacing w:after="0" w:line="277" w:lineRule="auto"/>
        <w:rPr>
          <w:sz w:val="20"/>
          <w:szCs w:val="20"/>
          <w:color w:val="auto"/>
        </w:rPr>
      </w:pPr>
      <w:r>
        <w:rPr>
          <w:rFonts w:ascii="Arial" w:cs="Arial" w:eastAsia="Arial" w:hAnsi="Arial"/>
          <w:sz w:val="18"/>
          <w:szCs w:val="18"/>
          <w:color w:val="auto"/>
        </w:rPr>
        <w:t>The profitability of PAA’s crude oil and NGL merchant activities are dependent on a variety of factors affecting the markets for crude oil and NGL, including regional and international supply and demand imbalances, takeaway availability and constraints, transportation costs and the overall forward market for crude oil and NGL products. Periods when differentials are wide or when there is volatility in the forward market structure are generally more favorable for PAA’s merchant activities. During periods where midstream infrastructure is over-built and/or there is a lack of volatility in the pricing structure, PAA’s results may be negatively impacted. Depending on the overall duration of these transition periods, how PAA has allocated its assets to particular strategies and the tenor of its crude oil purchase and sale contracts and storage agreements, these periods may have either an adverse or beneficial effect on the profitability of PAA’s merchant activities. In the past, the results of such activities have varied significantly based on market conditions and these activities may continue to experience highly variable results as a result of future changes to the markets for crude oil and NGL.</w:t>
      </w:r>
    </w:p>
    <w:p>
      <w:pPr>
        <w:sectPr>
          <w:pgSz w:w="11880" w:h="15480" w:orient="portrait"/>
          <w:cols w:equalWidth="0" w:num="1">
            <w:col w:w="10000"/>
          </w:cols>
          <w:pgMar w:left="940" w:top="67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10000"/>
          </w:cols>
          <w:pgMar w:left="940" w:top="676" w:right="940" w:bottom="0" w:gutter="0" w:footer="0" w:header="0"/>
          <w:type w:val="continuous"/>
        </w:sectPr>
      </w:pPr>
    </w:p>
    <w:bookmarkStart w:id="51" w:name="page52"/>
    <w:bookmarkEnd w:id="51"/>
    <w:p>
      <w:pPr>
        <w:ind w:right="200"/>
        <w:spacing w:after="0" w:line="363" w:lineRule="auto"/>
        <w:rPr>
          <w:sz w:val="20"/>
          <w:szCs w:val="20"/>
          <w:color w:val="auto"/>
        </w:rPr>
      </w:pPr>
      <w:r>
        <w:rPr>
          <w:rFonts w:ascii="Arial" w:cs="Arial" w:eastAsia="Arial" w:hAnsi="Arial"/>
          <w:sz w:val="17"/>
          <w:szCs w:val="17"/>
          <w:b w:val="1"/>
          <w:bCs w:val="1"/>
          <w:i w:val="1"/>
          <w:iCs w:val="1"/>
          <w:color w:val="auto"/>
        </w:rPr>
        <w:t>Joint ventures, joint ownership arrangements and other projects pose unique challenges and PAA may not be able to fully implement or realize synergies, expected returns or other anticipated benefits associated with such projects.</w:t>
      </w:r>
    </w:p>
    <w:p>
      <w:pPr>
        <w:spacing w:after="0" w:line="118" w:lineRule="exact"/>
        <w:rPr>
          <w:sz w:val="20"/>
          <w:szCs w:val="20"/>
          <w:color w:val="auto"/>
        </w:rPr>
      </w:pPr>
    </w:p>
    <w:p>
      <w:pPr>
        <w:ind w:right="40" w:firstLine="702"/>
        <w:spacing w:after="0" w:line="296" w:lineRule="auto"/>
        <w:rPr>
          <w:sz w:val="20"/>
          <w:szCs w:val="20"/>
          <w:color w:val="auto"/>
        </w:rPr>
      </w:pPr>
      <w:r>
        <w:rPr>
          <w:rFonts w:ascii="Arial" w:cs="Arial" w:eastAsia="Arial" w:hAnsi="Arial"/>
          <w:sz w:val="17"/>
          <w:szCs w:val="17"/>
          <w:color w:val="auto"/>
        </w:rPr>
        <w:t>PAA is involved in many strategic joint ventures and other joint ownership arrangements. PAA may not always be in complete alignment with its joint venture or joint owner counterparties; PAA may have differing strategic or commercial objectives and may be outvoted by its joint venture partners or PAA may disagree on governance matters with respect to the joint venture entity or the jointly owned assets. When PAA enters into joint ventures or joint ownership arrangements it may be subject to the risk that its counterparties do not fund their obligations. In some joint ventures and joint ownership arrangements PAA may not be responsible for construction or operation of such projects and will rely on its joint venture or joint owner counterparties for such services. Joint ventures and joint ownership arrangements may also require PAA to expend additional internal resources that could otherwise be directed to other projects. If PAA is unable to successfully execute and manage its existing and proposed joint venture and joint owner projects, it could adversely impact PAA’s financial and operating results.</w:t>
      </w:r>
    </w:p>
    <w:p>
      <w:pPr>
        <w:spacing w:after="0" w:line="170" w:lineRule="exact"/>
        <w:rPr>
          <w:sz w:val="20"/>
          <w:szCs w:val="20"/>
          <w:color w:val="auto"/>
        </w:rPr>
      </w:pPr>
    </w:p>
    <w:p>
      <w:pPr>
        <w:ind w:firstLine="702"/>
        <w:spacing w:after="0" w:line="269" w:lineRule="auto"/>
        <w:rPr>
          <w:sz w:val="20"/>
          <w:szCs w:val="20"/>
          <w:color w:val="auto"/>
        </w:rPr>
      </w:pPr>
      <w:r>
        <w:rPr>
          <w:rFonts w:ascii="Arial" w:cs="Arial" w:eastAsia="Arial" w:hAnsi="Arial"/>
          <w:sz w:val="19"/>
          <w:szCs w:val="19"/>
          <w:color w:val="auto"/>
        </w:rPr>
        <w:t>PAA is undertaking, or is participating with various counterparties in, a number of projects that involve the expansion, modification, divestiture or combination of existing assets or the construction of new midstream energy infrastructure assets. Many of these projects involve numerous regulatory, environmental, commercial, economic, weather-related, political and legal uncertainties that are beyond its control, including the following:</w:t>
      </w:r>
    </w:p>
    <w:p>
      <w:pPr>
        <w:spacing w:after="0" w:line="73" w:lineRule="exact"/>
        <w:rPr>
          <w:sz w:val="20"/>
          <w:szCs w:val="20"/>
          <w:color w:val="auto"/>
        </w:rPr>
      </w:pPr>
    </w:p>
    <w:p>
      <w:pPr>
        <w:ind w:left="1060" w:right="300" w:hanging="359"/>
        <w:spacing w:after="0" w:line="276" w:lineRule="auto"/>
        <w:tabs>
          <w:tab w:leader="none" w:pos="10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PAA may be unable to realize its forecasted commercial, operational or administrative synergies in connection with its joint ventures and joint ownership arrangements, including the Plains Oryx Permian Basin LLC joint venture;</w:t>
      </w:r>
    </w:p>
    <w:p>
      <w:pPr>
        <w:spacing w:after="0" w:line="65" w:lineRule="exact"/>
        <w:rPr>
          <w:rFonts w:ascii="Arial" w:cs="Arial" w:eastAsia="Arial" w:hAnsi="Arial"/>
          <w:sz w:val="19"/>
          <w:szCs w:val="19"/>
          <w:color w:val="auto"/>
        </w:rPr>
      </w:pPr>
    </w:p>
    <w:p>
      <w:pPr>
        <w:ind w:left="1060" w:right="120" w:hanging="359"/>
        <w:spacing w:after="0" w:line="295" w:lineRule="auto"/>
        <w:tabs>
          <w:tab w:leader="none" w:pos="10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Joint ventures and other joint ownership arrangements may demand substantial internal resources and may divert resources and attention from other areas of PAA’s business;</w:t>
      </w:r>
    </w:p>
    <w:p>
      <w:pPr>
        <w:spacing w:after="0" w:line="47" w:lineRule="exact"/>
        <w:rPr>
          <w:rFonts w:ascii="Arial" w:cs="Arial" w:eastAsia="Arial" w:hAnsi="Arial"/>
          <w:sz w:val="19"/>
          <w:szCs w:val="19"/>
          <w:color w:val="auto"/>
        </w:rPr>
      </w:pPr>
    </w:p>
    <w:p>
      <w:pPr>
        <w:ind w:left="1060" w:right="120" w:hanging="359"/>
        <w:spacing w:after="0" w:line="295" w:lineRule="auto"/>
        <w:tabs>
          <w:tab w:leader="none" w:pos="10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PAA may construct pipelines, facilities or other assets in anticipation of market demand that dissipates or market growth that never materializes;</w:t>
      </w:r>
    </w:p>
    <w:p>
      <w:pPr>
        <w:spacing w:after="0" w:line="47" w:lineRule="exact"/>
        <w:rPr>
          <w:rFonts w:ascii="Arial" w:cs="Arial" w:eastAsia="Arial" w:hAnsi="Arial"/>
          <w:sz w:val="19"/>
          <w:szCs w:val="19"/>
          <w:color w:val="auto"/>
        </w:rPr>
      </w:pPr>
    </w:p>
    <w:p>
      <w:pPr>
        <w:ind w:left="1060" w:right="180" w:hanging="359"/>
        <w:spacing w:after="0" w:line="289"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Despite the fact that PAA will expend significant amounts of capital during the construction phase of growth or expansion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55" w:lineRule="exact"/>
        <w:rPr>
          <w:rFonts w:ascii="Arial" w:cs="Arial" w:eastAsia="Arial" w:hAnsi="Arial"/>
          <w:sz w:val="18"/>
          <w:szCs w:val="18"/>
          <w:color w:val="auto"/>
        </w:rPr>
      </w:pPr>
    </w:p>
    <w:p>
      <w:pPr>
        <w:jc w:val="both"/>
        <w:ind w:left="1060" w:right="160" w:hanging="359"/>
        <w:spacing w:after="0" w:line="276" w:lineRule="auto"/>
        <w:tabs>
          <w:tab w:leader="none" w:pos="10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spacing w:after="0" w:line="65" w:lineRule="exact"/>
        <w:rPr>
          <w:rFonts w:ascii="Arial" w:cs="Arial" w:eastAsia="Arial" w:hAnsi="Arial"/>
          <w:sz w:val="19"/>
          <w:szCs w:val="19"/>
          <w:color w:val="auto"/>
        </w:rPr>
      </w:pPr>
    </w:p>
    <w:p>
      <w:pPr>
        <w:ind w:left="1060" w:right="140" w:hanging="359"/>
        <w:spacing w:after="0" w:line="325"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PAA may face opposition to its planned projects from environmental groups, landowners, local groups and other advocates, including lawsuits or other actions designed to disrupt or delay PAA’s planned projects;</w:t>
      </w:r>
    </w:p>
    <w:p>
      <w:pPr>
        <w:spacing w:after="0" w:line="24" w:lineRule="exact"/>
        <w:rPr>
          <w:rFonts w:ascii="Arial" w:cs="Arial" w:eastAsia="Arial" w:hAnsi="Arial"/>
          <w:sz w:val="18"/>
          <w:szCs w:val="18"/>
          <w:color w:val="auto"/>
        </w:rPr>
      </w:pPr>
    </w:p>
    <w:p>
      <w:pPr>
        <w:ind w:left="1060" w:right="20" w:hanging="359"/>
        <w:spacing w:after="0" w:line="276" w:lineRule="auto"/>
        <w:tabs>
          <w:tab w:leader="none" w:pos="10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PAA may not be able to obtain, or PAA may be significantly delayed in obtaining, all of the rights of way or other real property interests it needs to complete such projects, or the costs PAA incurs in order to obtain such rights of way or other interests may be greater than PAA anticipated;</w:t>
      </w:r>
    </w:p>
    <w:p>
      <w:pPr>
        <w:spacing w:after="0" w:line="65" w:lineRule="exact"/>
        <w:rPr>
          <w:rFonts w:ascii="Arial" w:cs="Arial" w:eastAsia="Arial" w:hAnsi="Arial"/>
          <w:sz w:val="19"/>
          <w:szCs w:val="19"/>
          <w:color w:val="auto"/>
        </w:rPr>
      </w:pPr>
    </w:p>
    <w:p>
      <w:pPr>
        <w:ind w:left="1060" w:right="140" w:hanging="359"/>
        <w:spacing w:after="0" w:line="266" w:lineRule="auto"/>
        <w:tabs>
          <w:tab w:leader="none" w:pos="10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PAA budgeted and the time it takes to complete construction of these projects and place them into commercial service could be significantly longer than planned; and</w:t>
      </w:r>
    </w:p>
    <w:p>
      <w:pPr>
        <w:spacing w:after="0" w:line="76" w:lineRule="exact"/>
        <w:rPr>
          <w:rFonts w:ascii="Arial" w:cs="Arial" w:eastAsia="Arial" w:hAnsi="Arial"/>
          <w:sz w:val="19"/>
          <w:szCs w:val="19"/>
          <w:color w:val="auto"/>
        </w:rPr>
      </w:pPr>
    </w:p>
    <w:p>
      <w:pPr>
        <w:ind w:left="1060" w:right="300" w:hanging="359"/>
        <w:spacing w:after="0" w:line="295" w:lineRule="auto"/>
        <w:tabs>
          <w:tab w:leader="none" w:pos="10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completion or success of PAA’s projects may depend on the completion or success of third-party facilities over which PAA has no control.</w:t>
      </w:r>
    </w:p>
    <w:p>
      <w:pPr>
        <w:spacing w:after="0" w:line="165" w:lineRule="exact"/>
        <w:rPr>
          <w:sz w:val="20"/>
          <w:szCs w:val="20"/>
          <w:color w:val="auto"/>
        </w:rPr>
      </w:pPr>
    </w:p>
    <w:p>
      <w:pPr>
        <w:ind w:right="40" w:firstLine="702"/>
        <w:spacing w:after="0" w:line="276" w:lineRule="auto"/>
        <w:rPr>
          <w:sz w:val="20"/>
          <w:szCs w:val="20"/>
          <w:color w:val="auto"/>
        </w:rPr>
      </w:pPr>
      <w:r>
        <w:rPr>
          <w:rFonts w:ascii="Arial" w:cs="Arial" w:eastAsia="Arial" w:hAnsi="Arial"/>
          <w:sz w:val="19"/>
          <w:szCs w:val="19"/>
          <w:color w:val="auto"/>
        </w:rPr>
        <w:t>As a result of these uncertainties, the anticipated benefits associated with PAA’s joint ventures and joint ownership arrangements may not be achieved or could be delayed. In turn, this could negatively impact PAA’s cash flow and its ability to make or increase cash distributions to its partners.</w:t>
      </w:r>
    </w:p>
    <w:p>
      <w:pPr>
        <w:sectPr>
          <w:pgSz w:w="11880" w:h="15480" w:orient="portrait"/>
          <w:cols w:equalWidth="0" w:num="1">
            <w:col w:w="9980"/>
          </w:cols>
          <w:pgMar w:left="940" w:top="66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9980"/>
          </w:cols>
          <w:pgMar w:left="940" w:top="669" w:right="960" w:bottom="0" w:gutter="0" w:footer="0" w:header="0"/>
          <w:type w:val="continuous"/>
        </w:sectPr>
      </w:pPr>
    </w:p>
    <w:bookmarkStart w:id="52" w:name="page53"/>
    <w:bookmarkEnd w:id="52"/>
    <w:p>
      <w:pPr>
        <w:ind w:right="40"/>
        <w:spacing w:after="0" w:line="325" w:lineRule="auto"/>
        <w:rPr>
          <w:sz w:val="20"/>
          <w:szCs w:val="20"/>
          <w:color w:val="auto"/>
        </w:rPr>
      </w:pPr>
      <w:r>
        <w:rPr>
          <w:rFonts w:ascii="Arial" w:cs="Arial" w:eastAsia="Arial" w:hAnsi="Arial"/>
          <w:sz w:val="17"/>
          <w:szCs w:val="17"/>
          <w:b w:val="1"/>
          <w:bCs w:val="1"/>
          <w:i w:val="1"/>
          <w:iCs w:val="1"/>
          <w:color w:val="auto"/>
        </w:rPr>
        <w:t>PAA may enter into new businesses in connection with its strategy to participate in emerging energy opportunities. If PAA is unable to execute on this strategy or operate these new lines of business effectively, PAA’s future growth could be limited. These new lines of business may never develop or may present risks that PAA cannot effectively manage.</w:t>
      </w:r>
    </w:p>
    <w:p>
      <w:pPr>
        <w:spacing w:after="0" w:line="149" w:lineRule="exact"/>
        <w:rPr>
          <w:sz w:val="20"/>
          <w:szCs w:val="20"/>
          <w:color w:val="auto"/>
        </w:rPr>
      </w:pPr>
    </w:p>
    <w:p>
      <w:pPr>
        <w:ind w:right="120" w:firstLine="702"/>
        <w:spacing w:after="0" w:line="295" w:lineRule="auto"/>
        <w:rPr>
          <w:sz w:val="20"/>
          <w:szCs w:val="20"/>
          <w:color w:val="auto"/>
        </w:rPr>
      </w:pPr>
      <w:r>
        <w:rPr>
          <w:rFonts w:ascii="Arial" w:cs="Arial" w:eastAsia="Arial" w:hAnsi="Arial"/>
          <w:sz w:val="17"/>
          <w:szCs w:val="17"/>
          <w:color w:val="auto"/>
        </w:rPr>
        <w:t>As part of PAA’s strategy, it intends to evaluate the potential to repurpose certain under-utilized assets for an alternative use in emerging energy opportunities. This may involve entering into new lines of businesses, which present different challenges and risks. PAA may be unable to execute on its business plans, demand for these new services may not develop on a large or economic scale, or PAA may fail to operate these businesses effectively. In addition, PAA may not be able to compete with companies who also plan to enter into these new lines of business, and who may be larger than PAA and may have greater financial resources to devote to these businesses. These new businesses may also present novel issues in law, taxation, safety or environmental policy, and other areas that PAA may not be able to manage effectively. Management’s assessment of the risks in these new lines of business may be inexact and not identify or resolve all the problems that PAA would face. If PAA is not able to enter into these new lines of business effectively or at all, it could limit PAA’s future growth if such emerging energy businesses grow and become a more important part of the energy industry.</w:t>
      </w:r>
    </w:p>
    <w:p>
      <w:pPr>
        <w:spacing w:after="0" w:line="164" w:lineRule="exact"/>
        <w:rPr>
          <w:sz w:val="20"/>
          <w:szCs w:val="20"/>
          <w:color w:val="auto"/>
        </w:rPr>
      </w:pPr>
    </w:p>
    <w:p>
      <w:pPr>
        <w:ind w:right="40"/>
        <w:spacing w:after="0" w:line="300" w:lineRule="auto"/>
        <w:rPr>
          <w:sz w:val="20"/>
          <w:szCs w:val="20"/>
          <w:color w:val="auto"/>
        </w:rPr>
      </w:pPr>
      <w:r>
        <w:rPr>
          <w:rFonts w:ascii="Arial" w:cs="Arial" w:eastAsia="Arial" w:hAnsi="Arial"/>
          <w:sz w:val="19"/>
          <w:szCs w:val="19"/>
          <w:b w:val="1"/>
          <w:bCs w:val="1"/>
          <w:i w:val="1"/>
          <w:iCs w:val="1"/>
          <w:color w:val="auto"/>
        </w:rPr>
        <w:t>PAA’s business, results of operations, financial condition, cash flows and unit price can be adversely affected by pandemics, epidemics or other public health events.</w:t>
      </w:r>
    </w:p>
    <w:p>
      <w:pPr>
        <w:spacing w:after="0" w:line="163" w:lineRule="exact"/>
        <w:rPr>
          <w:sz w:val="20"/>
          <w:szCs w:val="20"/>
          <w:color w:val="auto"/>
        </w:rPr>
      </w:pPr>
    </w:p>
    <w:p>
      <w:pPr>
        <w:ind w:firstLine="702"/>
        <w:spacing w:after="0" w:line="279" w:lineRule="auto"/>
        <w:rPr>
          <w:sz w:val="20"/>
          <w:szCs w:val="20"/>
          <w:color w:val="auto"/>
        </w:rPr>
      </w:pPr>
      <w:r>
        <w:rPr>
          <w:rFonts w:ascii="Arial" w:cs="Arial" w:eastAsia="Arial" w:hAnsi="Arial"/>
          <w:sz w:val="18"/>
          <w:szCs w:val="18"/>
          <w:color w:val="auto"/>
        </w:rPr>
        <w:t>PAA’s business, results of operations, financial condition, cash flows and unit price can be adversely affected by pandemics, epidemics or other public health events. Such events may cause widespread economic disruption and result in material reductions in demand for crude oil, NGL and other petroleum products, which in turn may result in significant declines in the volume of crude oil and NGL shipped, processed, purchased, stored, fractionated and/or gathered at or through the use of many of PAA’s assets. The effects of a public health event depend on a wide variety of factors that are outside of PAA’s control, including the clinical severity and transmissibility of the virus or pathogen; the development, deployment, adoption and effectiveness of treatments and vaccines; the capacity of healthcare systems and public health infrastructure; and the response of public health authorities, governments and individuals in areas impacted by such event.</w:t>
      </w:r>
    </w:p>
    <w:p>
      <w:pPr>
        <w:spacing w:after="0" w:line="174" w:lineRule="exact"/>
        <w:rPr>
          <w:sz w:val="20"/>
          <w:szCs w:val="20"/>
          <w:color w:val="auto"/>
        </w:rPr>
      </w:pPr>
    </w:p>
    <w:p>
      <w:pPr>
        <w:ind w:right="120"/>
        <w:spacing w:after="0" w:line="363" w:lineRule="auto"/>
        <w:rPr>
          <w:sz w:val="20"/>
          <w:szCs w:val="20"/>
          <w:color w:val="auto"/>
        </w:rPr>
      </w:pPr>
      <w:r>
        <w:rPr>
          <w:rFonts w:ascii="Arial" w:cs="Arial" w:eastAsia="Arial" w:hAnsi="Arial"/>
          <w:sz w:val="17"/>
          <w:szCs w:val="17"/>
          <w:b w:val="1"/>
          <w:bCs w:val="1"/>
          <w:i w:val="1"/>
          <w:iCs w:val="1"/>
          <w:color w:val="auto"/>
        </w:rPr>
        <w:t>Loss of PAA’s investment grade credit rating or the ability to receive open credit could negatively affect its borrowing costs, ability to purchase crude oil, NGL and natural gas supplies or to capitalize on market opportunities.</w:t>
      </w:r>
    </w:p>
    <w:p>
      <w:pPr>
        <w:spacing w:after="0" w:line="118" w:lineRule="exact"/>
        <w:rPr>
          <w:sz w:val="20"/>
          <w:szCs w:val="20"/>
          <w:color w:val="auto"/>
        </w:rPr>
      </w:pPr>
    </w:p>
    <w:p>
      <w:pPr>
        <w:ind w:right="20" w:firstLine="702"/>
        <w:spacing w:after="0" w:line="277" w:lineRule="auto"/>
        <w:rPr>
          <w:sz w:val="20"/>
          <w:szCs w:val="20"/>
          <w:color w:val="auto"/>
        </w:rPr>
      </w:pPr>
      <w:r>
        <w:rPr>
          <w:rFonts w:ascii="Arial" w:cs="Arial" w:eastAsia="Arial" w:hAnsi="Arial"/>
          <w:sz w:val="18"/>
          <w:szCs w:val="18"/>
          <w:color w:val="auto"/>
        </w:rPr>
        <w:t>PAA’s business is dependent on its ability to maintain an attractive credit rating and continue to receive open credit from its suppliers and trade counterparties. PAA’s senior unsecured debt is currently rated as “investment grade” by Standard &amp; Poor’s, Moody’s Investors Service and Fitch Ratings Inc. A downgrade by such agencies to a level below investment grade could increase its borrowing costs, reduce its borrowing capacity and cause its counterparties to reduce the amount of open credit it receives from them. This could negatively impact PAA’s ability to capitalize on market opportunities. For example, PAA’s ability to utilize its crude oil storage capacity for merchant activities to capture contango market opportunities is dependent upon having adequate credit facilities, both in terms of the total amount of credit facilities and the cost of such credit facilities, which enables PAA to finance the storage of the crude oil from the time it completes the purchase of the crude oil until the time it completes the sale of the crude oil. Accordingly, loss of PAA’s investment grade credit ratings could adversely impact its cash flows, its ability to make distributions and the value of its outstanding equity and debt securities.</w:t>
      </w:r>
    </w:p>
    <w:p>
      <w:pPr>
        <w:spacing w:after="0" w:line="178" w:lineRule="exact"/>
        <w:rPr>
          <w:sz w:val="20"/>
          <w:szCs w:val="20"/>
          <w:color w:val="auto"/>
        </w:rPr>
      </w:pPr>
    </w:p>
    <w:p>
      <w:pPr>
        <w:ind w:right="480"/>
        <w:spacing w:after="0" w:line="300" w:lineRule="auto"/>
        <w:rPr>
          <w:sz w:val="20"/>
          <w:szCs w:val="20"/>
          <w:color w:val="auto"/>
        </w:rPr>
      </w:pPr>
      <w:r>
        <w:rPr>
          <w:rFonts w:ascii="Arial" w:cs="Arial" w:eastAsia="Arial" w:hAnsi="Arial"/>
          <w:sz w:val="19"/>
          <w:szCs w:val="19"/>
          <w:b w:val="1"/>
          <w:bCs w:val="1"/>
          <w:i w:val="1"/>
          <w:iCs w:val="1"/>
          <w:color w:val="auto"/>
        </w:rPr>
        <w:t>PAA is exposed to the credit risk of its customers and other counterparties it transacts with in the ordinary course of its business activities.</w:t>
      </w:r>
    </w:p>
    <w:p>
      <w:pPr>
        <w:spacing w:after="0" w:line="163" w:lineRule="exact"/>
        <w:rPr>
          <w:sz w:val="20"/>
          <w:szCs w:val="20"/>
          <w:color w:val="auto"/>
        </w:rPr>
      </w:pPr>
    </w:p>
    <w:p>
      <w:pPr>
        <w:ind w:right="180" w:firstLine="702"/>
        <w:spacing w:after="0" w:line="282" w:lineRule="auto"/>
        <w:rPr>
          <w:sz w:val="20"/>
          <w:szCs w:val="20"/>
          <w:color w:val="auto"/>
        </w:rPr>
      </w:pPr>
      <w:r>
        <w:rPr>
          <w:rFonts w:ascii="Arial" w:cs="Arial" w:eastAsia="Arial" w:hAnsi="Arial"/>
          <w:sz w:val="18"/>
          <w:szCs w:val="18"/>
          <w:color w:val="auto"/>
        </w:rPr>
        <w:t>Risks of nonpayment and nonperformance by customers or other counterparties are a significant consideration in PAA’s business. Although PAA has credit risk management policies and procedures that are designed to mitigate and limit its exposure in this area, there can be no assurance that PAA has adequately assessed and managed the creditworthiness of its existing or future counterparties or that there will not be an unanticipated deterioration in their creditworthiness or unexpected instances of nonpayment or nonperformance, all of which could have an adverse impact on PAA’s cash flow and its ability to pay or increase its cash distributions to its partners.</w:t>
      </w:r>
    </w:p>
    <w:p>
      <w:pPr>
        <w:sectPr>
          <w:pgSz w:w="11880" w:h="15480" w:orient="portrait"/>
          <w:cols w:equalWidth="0" w:num="1">
            <w:col w:w="10000"/>
          </w:cols>
          <w:pgMar w:left="940" w:top="66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10000"/>
          </w:cols>
          <w:pgMar w:left="940" w:top="669" w:right="940" w:bottom="0" w:gutter="0" w:footer="0" w:header="0"/>
          <w:type w:val="continuous"/>
        </w:sectPr>
      </w:pPr>
    </w:p>
    <w:bookmarkStart w:id="53" w:name="page54"/>
    <w:bookmarkEnd w:id="53"/>
    <w:p>
      <w:pPr>
        <w:ind w:right="20" w:firstLine="702"/>
        <w:spacing w:after="0" w:line="261" w:lineRule="auto"/>
        <w:rPr>
          <w:sz w:val="20"/>
          <w:szCs w:val="20"/>
          <w:color w:val="auto"/>
        </w:rPr>
      </w:pPr>
      <w:r>
        <w:rPr>
          <w:rFonts w:ascii="Arial" w:cs="Arial" w:eastAsia="Arial" w:hAnsi="Arial"/>
          <w:sz w:val="19"/>
          <w:szCs w:val="19"/>
          <w:color w:val="auto"/>
        </w:rPr>
        <w:t>PAA has a number of minimum volume commitment contracts that support its pipelines. In addition, certain of the pipelines in which PAA owns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non-performance by shippers under minimum volume contracts could be significant and could adversely affect PAA’s profitability and earnings.</w:t>
      </w:r>
    </w:p>
    <w:p>
      <w:pPr>
        <w:spacing w:after="0" w:line="201" w:lineRule="exact"/>
        <w:rPr>
          <w:sz w:val="20"/>
          <w:szCs w:val="20"/>
          <w:color w:val="auto"/>
        </w:rPr>
      </w:pPr>
    </w:p>
    <w:p>
      <w:pPr>
        <w:ind w:right="20" w:firstLine="702"/>
        <w:spacing w:after="0" w:line="266" w:lineRule="auto"/>
        <w:rPr>
          <w:sz w:val="20"/>
          <w:szCs w:val="20"/>
          <w:color w:val="auto"/>
        </w:rPr>
      </w:pPr>
      <w:r>
        <w:rPr>
          <w:rFonts w:ascii="Arial" w:cs="Arial" w:eastAsia="Arial" w:hAnsi="Arial"/>
          <w:sz w:val="19"/>
          <w:szCs w:val="19"/>
          <w:color w:val="auto"/>
        </w:rPr>
        <w:t>In addition, in those cases in which PAA provides division order services for crude oil purchased at the wellhead, it may be responsible for distribution of proceeds to all parties. In other cases, PAA pays all of or a portion of the production proceeds to an operator who distributes these proceeds to the various interest owners. These arrangements expose PAA to operator credit risk, and there can be no assurance that PAA will not experience losses in dealings with such operators and other parties.</w:t>
      </w:r>
    </w:p>
    <w:p>
      <w:pPr>
        <w:spacing w:after="0" w:line="193" w:lineRule="exact"/>
        <w:rPr>
          <w:sz w:val="20"/>
          <w:szCs w:val="20"/>
          <w:color w:val="auto"/>
        </w:rPr>
      </w:pPr>
    </w:p>
    <w:p>
      <w:pPr>
        <w:ind w:right="100" w:firstLine="702"/>
        <w:spacing w:after="0" w:line="266" w:lineRule="auto"/>
        <w:rPr>
          <w:sz w:val="20"/>
          <w:szCs w:val="20"/>
          <w:color w:val="auto"/>
        </w:rPr>
      </w:pPr>
      <w:r>
        <w:rPr>
          <w:rFonts w:ascii="Arial" w:cs="Arial" w:eastAsia="Arial" w:hAnsi="Arial"/>
          <w:sz w:val="19"/>
          <w:szCs w:val="19"/>
          <w:color w:val="auto"/>
        </w:rPr>
        <w:t>Further, to the extent one or more of PAA’s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PAA’s revenue and cash flows and its ability to make cash distributions to its unitholders.</w:t>
      </w:r>
    </w:p>
    <w:p>
      <w:pPr>
        <w:spacing w:after="0" w:line="193" w:lineRule="exact"/>
        <w:rPr>
          <w:sz w:val="20"/>
          <w:szCs w:val="20"/>
          <w:color w:val="auto"/>
        </w:rPr>
      </w:pPr>
    </w:p>
    <w:p>
      <w:pPr>
        <w:ind w:right="20" w:firstLine="702"/>
        <w:spacing w:after="0" w:line="289" w:lineRule="auto"/>
        <w:rPr>
          <w:sz w:val="20"/>
          <w:szCs w:val="20"/>
          <w:color w:val="auto"/>
        </w:rPr>
      </w:pPr>
      <w:r>
        <w:rPr>
          <w:rFonts w:ascii="Arial" w:cs="Arial" w:eastAsia="Arial" w:hAnsi="Arial"/>
          <w:sz w:val="18"/>
          <w:szCs w:val="18"/>
          <w:color w:val="auto"/>
        </w:rPr>
        <w:t>PAA has also undertaken numerous projects that require cooperation with and performance by joint venture co-owners. In addition, in connection with various acquisition, divestiture, joint venture and other transactions, PAA often receives indemnifications from various parties for certain risks or liabilities. Nonperformance by any of these parties could result in increased costs or other adverse consequences that could decrease PAA’s earnings and returns.</w:t>
      </w:r>
    </w:p>
    <w:p>
      <w:pPr>
        <w:spacing w:after="0" w:line="173" w:lineRule="exact"/>
        <w:rPr>
          <w:sz w:val="20"/>
          <w:szCs w:val="20"/>
          <w:color w:val="auto"/>
        </w:rPr>
      </w:pPr>
    </w:p>
    <w:p>
      <w:pPr>
        <w:ind w:right="560" w:firstLine="702"/>
        <w:spacing w:after="0" w:line="269" w:lineRule="auto"/>
        <w:rPr>
          <w:sz w:val="20"/>
          <w:szCs w:val="20"/>
          <w:color w:val="auto"/>
        </w:rPr>
      </w:pPr>
      <w:r>
        <w:rPr>
          <w:rFonts w:ascii="Arial" w:cs="Arial" w:eastAsia="Arial" w:hAnsi="Arial"/>
          <w:sz w:val="19"/>
          <w:szCs w:val="19"/>
          <w:color w:val="auto"/>
        </w:rPr>
        <w:t>PAA also relies to a significant degree on the banks that lend to it under its revolving credit facility for financial liquidity, and any failure of those banks to perform their obligations to PAA could significantly impair its liquidity. Furthermore, nonpayment by the counterparties to PAA’s interest rate and/or commodity derivatives could expose it to additional interest rate and/or commodity price risk.</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Acquisitions and divestitures involve risks that may adversely affect PAA’s business.</w:t>
      </w:r>
    </w:p>
    <w:p>
      <w:pPr>
        <w:spacing w:after="0" w:line="257" w:lineRule="exact"/>
        <w:rPr>
          <w:sz w:val="20"/>
          <w:szCs w:val="20"/>
          <w:color w:val="auto"/>
        </w:rPr>
      </w:pPr>
    </w:p>
    <w:p>
      <w:pPr>
        <w:ind w:firstLine="702"/>
        <w:spacing w:after="0" w:line="280" w:lineRule="auto"/>
        <w:rPr>
          <w:sz w:val="20"/>
          <w:szCs w:val="20"/>
          <w:color w:val="auto"/>
        </w:rPr>
      </w:pPr>
      <w:r>
        <w:rPr>
          <w:rFonts w:ascii="Arial" w:cs="Arial" w:eastAsia="Arial" w:hAnsi="Arial"/>
          <w:sz w:val="18"/>
          <w:szCs w:val="18"/>
          <w:color w:val="auto"/>
        </w:rPr>
        <w:t>PAA’s ability to execute its financial strategy is in part dependent on its ability to complete strategic transactions, including acquisitions, divestitures or sales of interests to strategic partners. If PAA is unable to successfully complete, integrate or realize the anticipated benefits of future acquisitions or planned divestitures (due to reduced investment in the energy sector, governmental action, litigation, counterparty non-performance or other factors), it may be more difficult for PAA to implement its business strategies, maintain its desired leverage levels, increase returns to equity holders or otherwise accomplish its financial goals. In addition, in connection with its divestitures, PAA may agree to retain responsibility for certain liabilities that relate to PAA’s period of ownership, which could adversely impact its future financial performance.</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Acquisitions also involve potential risks, including:</w:t>
      </w:r>
    </w:p>
    <w:p>
      <w:pPr>
        <w:spacing w:after="0" w:line="132" w:lineRule="exact"/>
        <w:rPr>
          <w:sz w:val="20"/>
          <w:szCs w:val="20"/>
          <w:color w:val="auto"/>
        </w:rPr>
      </w:pPr>
    </w:p>
    <w:p>
      <w:pPr>
        <w:ind w:left="1060" w:right="680" w:hanging="359"/>
        <w:spacing w:after="0" w:line="295" w:lineRule="auto"/>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performance from the acquired businesses or assets that is below the forecasts PAA used in evaluating the acquisition;</w:t>
      </w:r>
    </w:p>
    <w:p>
      <w:pPr>
        <w:spacing w:after="0" w:line="47" w:lineRule="exact"/>
        <w:rPr>
          <w:rFonts w:ascii="Arial" w:cs="Arial" w:eastAsia="Arial" w:hAnsi="Arial"/>
          <w:sz w:val="19"/>
          <w:szCs w:val="19"/>
          <w:color w:val="auto"/>
        </w:rPr>
      </w:pPr>
    </w:p>
    <w:p>
      <w:pPr>
        <w:ind w:left="1060" w:hanging="359"/>
        <w:spacing w:after="0"/>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 significant increase in PAA’s indebtedness and working capital requirements;</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inability to timely and effectively integrate the operations of recently acquired businesses or assets;</w:t>
      </w:r>
    </w:p>
    <w:p>
      <w:pPr>
        <w:spacing w:after="0" w:line="132" w:lineRule="exact"/>
        <w:rPr>
          <w:rFonts w:ascii="Arial" w:cs="Arial" w:eastAsia="Arial" w:hAnsi="Arial"/>
          <w:sz w:val="19"/>
          <w:szCs w:val="19"/>
          <w:color w:val="auto"/>
        </w:rPr>
      </w:pPr>
    </w:p>
    <w:p>
      <w:pPr>
        <w:jc w:val="both"/>
        <w:ind w:left="1060" w:right="160" w:hanging="359"/>
        <w:spacing w:after="0" w:line="276" w:lineRule="auto"/>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incurrence of substantial unforeseen environmental and other liabilities arising out of the acquired businesses or assets for which PAA is either not fully insured or indemnified, including liabilities arising from the operation of the acquired businesses or assets prior to PAA’s acquisition;</w:t>
      </w:r>
    </w:p>
    <w:p>
      <w:pPr>
        <w:spacing w:after="0" w:line="65" w:lineRule="exact"/>
        <w:rPr>
          <w:rFonts w:ascii="Arial" w:cs="Arial" w:eastAsia="Arial" w:hAnsi="Arial"/>
          <w:sz w:val="19"/>
          <w:szCs w:val="19"/>
          <w:color w:val="auto"/>
        </w:rPr>
      </w:pPr>
    </w:p>
    <w:p>
      <w:pPr>
        <w:ind w:left="1060" w:hanging="359"/>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risks associated with operating in lines of business that are distinct and separate from PAA’s historical operations;</w:t>
      </w:r>
    </w:p>
    <w:p>
      <w:pPr>
        <w:spacing w:after="0" w:line="155" w:lineRule="exact"/>
        <w:rPr>
          <w:rFonts w:ascii="Arial" w:cs="Arial" w:eastAsia="Arial" w:hAnsi="Arial"/>
          <w:sz w:val="17"/>
          <w:szCs w:val="17"/>
          <w:color w:val="auto"/>
        </w:rPr>
      </w:pPr>
    </w:p>
    <w:p>
      <w:pPr>
        <w:ind w:left="1060" w:hanging="359"/>
        <w:spacing w:after="0"/>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customer or key employee loss from the acquired businesses; and</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diversion of management’s attention from other business concerns.</w:t>
      </w:r>
    </w:p>
    <w:p>
      <w:pPr>
        <w:sectPr>
          <w:pgSz w:w="11880" w:h="15480" w:orient="portrait"/>
          <w:cols w:equalWidth="0" w:num="1">
            <w:col w:w="10000"/>
          </w:cols>
          <w:pgMar w:left="940" w:top="67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10000"/>
          </w:cols>
          <w:pgMar w:left="940" w:top="676" w:right="940" w:bottom="0" w:gutter="0" w:footer="0" w:header="0"/>
          <w:type w:val="continuous"/>
        </w:sectPr>
      </w:pPr>
    </w:p>
    <w:bookmarkStart w:id="54" w:name="page55"/>
    <w:bookmarkEnd w:id="54"/>
    <w:p>
      <w:pPr>
        <w:ind w:right="140" w:firstLine="702"/>
        <w:spacing w:after="0" w:line="295" w:lineRule="auto"/>
        <w:rPr>
          <w:sz w:val="20"/>
          <w:szCs w:val="20"/>
          <w:color w:val="auto"/>
        </w:rPr>
      </w:pPr>
      <w:r>
        <w:rPr>
          <w:rFonts w:ascii="Arial" w:cs="Arial" w:eastAsia="Arial" w:hAnsi="Arial"/>
          <w:sz w:val="19"/>
          <w:szCs w:val="19"/>
          <w:color w:val="auto"/>
        </w:rPr>
        <w:t>Any of these factors could adversely affect PAA’s ability to achieve anticipated levels of cash flows or other benefits from its acquisitions, pay distributions to its partners or meet its debt service requirements.</w:t>
      </w:r>
    </w:p>
    <w:p>
      <w:pPr>
        <w:spacing w:after="0" w:line="158" w:lineRule="exact"/>
        <w:rPr>
          <w:sz w:val="20"/>
          <w:szCs w:val="20"/>
          <w:color w:val="auto"/>
        </w:rPr>
      </w:pPr>
    </w:p>
    <w:p>
      <w:pPr>
        <w:ind w:right="260"/>
        <w:spacing w:after="0" w:line="300" w:lineRule="auto"/>
        <w:rPr>
          <w:sz w:val="20"/>
          <w:szCs w:val="20"/>
          <w:color w:val="auto"/>
        </w:rPr>
      </w:pPr>
      <w:r>
        <w:rPr>
          <w:rFonts w:ascii="Arial" w:cs="Arial" w:eastAsia="Arial" w:hAnsi="Arial"/>
          <w:sz w:val="19"/>
          <w:szCs w:val="19"/>
          <w:b w:val="1"/>
          <w:bCs w:val="1"/>
          <w:i w:val="1"/>
          <w:iCs w:val="1"/>
          <w:color w:val="auto"/>
        </w:rPr>
        <w:t>Tightened capital markets or other factors that increase PAA’s cost of capital or otherwise limit its access to capital could impair its ability to achieve its strategic objectives.</w:t>
      </w:r>
    </w:p>
    <w:p>
      <w:pPr>
        <w:spacing w:after="0" w:line="163" w:lineRule="exact"/>
        <w:rPr>
          <w:sz w:val="20"/>
          <w:szCs w:val="20"/>
          <w:color w:val="auto"/>
        </w:rPr>
      </w:pPr>
    </w:p>
    <w:p>
      <w:pPr>
        <w:ind w:right="60" w:firstLine="702"/>
        <w:spacing w:after="0" w:line="264" w:lineRule="auto"/>
        <w:rPr>
          <w:sz w:val="20"/>
          <w:szCs w:val="20"/>
          <w:color w:val="auto"/>
        </w:rPr>
      </w:pPr>
      <w:r>
        <w:rPr>
          <w:rFonts w:ascii="Arial" w:cs="Arial" w:eastAsia="Arial" w:hAnsi="Arial"/>
          <w:sz w:val="19"/>
          <w:szCs w:val="19"/>
          <w:color w:val="auto"/>
        </w:rPr>
        <w:t>Any limitations on PAA’s access to capital or increase in the cost of that capital could significantly impair the implementation of its strategy. PAA’s inability to maintain its targeted credit profile, including maintaining its credit ratings, could adversely affect PAA’s cost of capital as well as its ability to execute its strategy. In addition, a variety of factors beyond its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spacing w:after="0" w:line="196" w:lineRule="exact"/>
        <w:rPr>
          <w:sz w:val="20"/>
          <w:szCs w:val="20"/>
          <w:color w:val="auto"/>
        </w:rPr>
      </w:pPr>
    </w:p>
    <w:p>
      <w:pPr>
        <w:ind w:firstLine="702"/>
        <w:spacing w:after="0" w:line="266" w:lineRule="auto"/>
        <w:rPr>
          <w:sz w:val="20"/>
          <w:szCs w:val="20"/>
          <w:color w:val="auto"/>
        </w:rPr>
      </w:pPr>
      <w:r>
        <w:rPr>
          <w:rFonts w:ascii="Arial" w:cs="Arial" w:eastAsia="Arial" w:hAnsi="Arial"/>
          <w:sz w:val="19"/>
          <w:szCs w:val="19"/>
          <w:color w:val="auto"/>
        </w:rPr>
        <w:t>Due to these factors, PAA cannot be certain that funding for its capital needs will be available from bank credit arrangements, capital markets or other sources on acceptable terms. If funding is not available when needed, or is available only on unfavorable terms, PAA may be unable to implement its development plans, enhance its existing business, complete strategic projects and transactions, take advantage of business opportunities or respond to competitive pressures, any of which could have a material adverse effect on its cash flows and results of operations.</w:t>
      </w:r>
    </w:p>
    <w:p>
      <w:pPr>
        <w:spacing w:after="0" w:line="186" w:lineRule="exact"/>
        <w:rPr>
          <w:sz w:val="20"/>
          <w:szCs w:val="20"/>
          <w:color w:val="auto"/>
        </w:rPr>
      </w:pPr>
    </w:p>
    <w:p>
      <w:pPr>
        <w:ind w:right="180"/>
        <w:spacing w:after="0" w:line="300" w:lineRule="auto"/>
        <w:rPr>
          <w:sz w:val="20"/>
          <w:szCs w:val="20"/>
          <w:color w:val="auto"/>
        </w:rPr>
      </w:pPr>
      <w:r>
        <w:rPr>
          <w:rFonts w:ascii="Arial" w:cs="Arial" w:eastAsia="Arial" w:hAnsi="Arial"/>
          <w:sz w:val="19"/>
          <w:szCs w:val="19"/>
          <w:b w:val="1"/>
          <w:bCs w:val="1"/>
          <w:i w:val="1"/>
          <w:iCs w:val="1"/>
          <w:color w:val="auto"/>
        </w:rPr>
        <w:t>PAA’s risk policies cannot eliminate all risks and the insufficiency of, or non-compliance with its risk policies could result in significant financial losses.</w:t>
      </w:r>
    </w:p>
    <w:p>
      <w:pPr>
        <w:spacing w:after="0" w:line="163" w:lineRule="exact"/>
        <w:rPr>
          <w:sz w:val="20"/>
          <w:szCs w:val="20"/>
          <w:color w:val="auto"/>
        </w:rPr>
      </w:pPr>
    </w:p>
    <w:p>
      <w:pPr>
        <w:ind w:firstLine="702"/>
        <w:spacing w:after="0" w:line="275" w:lineRule="auto"/>
        <w:rPr>
          <w:sz w:val="20"/>
          <w:szCs w:val="20"/>
          <w:color w:val="auto"/>
        </w:rPr>
      </w:pPr>
      <w:r>
        <w:rPr>
          <w:rFonts w:ascii="Arial" w:cs="Arial" w:eastAsia="Arial" w:hAnsi="Arial"/>
          <w:sz w:val="18"/>
          <w:szCs w:val="18"/>
          <w:color w:val="auto"/>
        </w:rPr>
        <w:t>Generally, it is PAA’s policy to establish a margin for crude oil or other products it purchases by selling such products for physical delivery to third-party users, or by entering into a future delivery obligation under derivative contracts. Through these transactions, PAA seeks to maintain a position that is substantially balanced between purchases on the one hand, and sales or future delivery obligations on the other hand. PAA’s policy is not to acquire and hold physical inventory or derivative products for the purpose of speculating on commodity price changes. These policies and practices cannot, however, eliminate all risks. For example, any event that disrupts PAA’s anticipated physical supply of crude oil or other products could expose it to risk of loss resulting from price changes. PAA is also exposed to basis risk when crude oil or other products are purchased against one pricing index or benchmark and sold against a different index or benchmark. PAA may also face disruptions to futures markets for crude oil, NGL and other petroleum products, which may impair its ability to execute its commercial or hedging strategies. Margin requirements due to spikes or crashes in commodity prices may require PAA to exit hedge strategies at inopportune times. PAA is also exposed to some risks that are not hedged, including risks on certain of its inventory, such as linefill, which must be maintained in order to transport crude oil on its pipelines. In an effort to maintain a balanced position, specifically authorized personnel can purchase or sell crude oil, refined products and NGL, up to predefined limits and authorizations. Although this activity is monitored independently by PAA’s risk management function, it exposes PAA to commodity price risks within these limits.</w:t>
      </w:r>
    </w:p>
    <w:p>
      <w:pPr>
        <w:spacing w:after="0" w:line="186" w:lineRule="exact"/>
        <w:rPr>
          <w:sz w:val="20"/>
          <w:szCs w:val="20"/>
          <w:color w:val="auto"/>
        </w:rPr>
      </w:pPr>
    </w:p>
    <w:p>
      <w:pPr>
        <w:ind w:right="220" w:firstLine="702"/>
        <w:spacing w:after="0" w:line="269" w:lineRule="auto"/>
        <w:rPr>
          <w:sz w:val="20"/>
          <w:szCs w:val="20"/>
          <w:color w:val="auto"/>
        </w:rPr>
      </w:pPr>
      <w:r>
        <w:rPr>
          <w:rFonts w:ascii="Arial" w:cs="Arial" w:eastAsia="Arial" w:hAnsi="Arial"/>
          <w:sz w:val="19"/>
          <w:szCs w:val="19"/>
          <w:color w:val="auto"/>
        </w:rPr>
        <w:t>PAA has taken steps within its organization to implement processes and procedures designed to detect unauthorized trading and non-compliance with its risk policies; however, PAA can provide no assurance that these steps will detect and prevent all violations of its risk policies and procedures, particularly if deception, collusion or other intentional misconduct is involved.</w:t>
      </w:r>
    </w:p>
    <w:p>
      <w:pPr>
        <w:sectPr>
          <w:pgSz w:w="11880" w:h="15480" w:orient="portrait"/>
          <w:cols w:equalWidth="0" w:num="1">
            <w:col w:w="9980"/>
          </w:cols>
          <w:pgMar w:left="940" w:top="67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9980"/>
          </w:cols>
          <w:pgMar w:left="940" w:top="676" w:right="960" w:bottom="0" w:gutter="0" w:footer="0" w:header="0"/>
          <w:type w:val="continuous"/>
        </w:sectPr>
      </w:pPr>
    </w:p>
    <w:bookmarkStart w:id="55" w:name="page56"/>
    <w:bookmarkEnd w:id="55"/>
    <w:p>
      <w:pPr>
        <w:ind w:left="1" w:right="260"/>
        <w:spacing w:after="0" w:line="300" w:lineRule="auto"/>
        <w:rPr>
          <w:sz w:val="20"/>
          <w:szCs w:val="20"/>
          <w:color w:val="auto"/>
        </w:rPr>
      </w:pPr>
      <w:r>
        <w:rPr>
          <w:rFonts w:ascii="Arial" w:cs="Arial" w:eastAsia="Arial" w:hAnsi="Arial"/>
          <w:sz w:val="19"/>
          <w:szCs w:val="19"/>
          <w:b w:val="1"/>
          <w:bCs w:val="1"/>
          <w:i w:val="1"/>
          <w:iCs w:val="1"/>
          <w:color w:val="auto"/>
        </w:rPr>
        <w:t>PAA’s insurance coverage may not fully cover its losses and it may in the future encounter increased costs related to, and lack of availability of, insurance.</w:t>
      </w:r>
    </w:p>
    <w:p>
      <w:pPr>
        <w:spacing w:after="0" w:line="163" w:lineRule="exact"/>
        <w:rPr>
          <w:sz w:val="20"/>
          <w:szCs w:val="20"/>
          <w:color w:val="auto"/>
        </w:rPr>
      </w:pPr>
    </w:p>
    <w:p>
      <w:pPr>
        <w:ind w:left="1" w:right="60" w:firstLine="702"/>
        <w:spacing w:after="0" w:line="293" w:lineRule="auto"/>
        <w:rPr>
          <w:sz w:val="20"/>
          <w:szCs w:val="20"/>
          <w:color w:val="auto"/>
        </w:rPr>
      </w:pPr>
      <w:r>
        <w:rPr>
          <w:rFonts w:ascii="Arial" w:cs="Arial" w:eastAsia="Arial" w:hAnsi="Arial"/>
          <w:sz w:val="17"/>
          <w:szCs w:val="17"/>
          <w:color w:val="auto"/>
        </w:rPr>
        <w:t>While PAA maintains insurance coverage at levels that it believes to be reasonable and prudent, PAA can provide no assurance that its current levels of insurance will be sufficient to cover any losses that it has incurred or may incur in the future,</w:t>
      </w:r>
    </w:p>
    <w:p>
      <w:pPr>
        <w:spacing w:after="0" w:line="1" w:lineRule="exact"/>
        <w:rPr>
          <w:sz w:val="20"/>
          <w:szCs w:val="20"/>
          <w:color w:val="auto"/>
        </w:rPr>
      </w:pPr>
    </w:p>
    <w:p>
      <w:pPr>
        <w:ind w:left="1"/>
        <w:spacing w:after="0" w:line="279" w:lineRule="auto"/>
        <w:rPr>
          <w:sz w:val="20"/>
          <w:szCs w:val="20"/>
          <w:color w:val="auto"/>
        </w:rPr>
      </w:pPr>
      <w:r>
        <w:rPr>
          <w:rFonts w:ascii="Arial" w:cs="Arial" w:eastAsia="Arial" w:hAnsi="Arial"/>
          <w:sz w:val="17"/>
          <w:szCs w:val="17"/>
          <w:color w:val="auto"/>
        </w:rPr>
        <w:t>whether due to deductibles, coverage challenges or other limitations. In addition, over the last several years, as the scale and scope of PAA’s business activities has expanded, the breadth and depth of available insurance markets has contracted. As a result of these factors and other market conditions, as well as the fact that PAA has experienced several incidents in the past, premiums and deductibles for certain insurance policies have increased substantially. Accordingly, PAA can give no assurance that it will be able to maintain adequate insurance in the future at rates or on other terms PAA considers commercially reasonable. In addition, although PAA believes that it currently maintains adequate insurance coverage, insurance will not cover many types of interruptions or events that might occur and will not cover all risks associated with its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or denial of, the payment of a major insurance claim, could materially and adversely affect PAA’s financial position, results of operations and cash flows. For a discussion of our Line 901 Incident insurance receivable, please read Item</w:t>
      </w:r>
    </w:p>
    <w:p>
      <w:pPr>
        <w:spacing w:after="0" w:line="4" w:lineRule="exact"/>
        <w:rPr>
          <w:sz w:val="20"/>
          <w:szCs w:val="20"/>
          <w:color w:val="auto"/>
        </w:rPr>
      </w:pPr>
    </w:p>
    <w:p>
      <w:pPr>
        <w:ind w:left="1" w:right="320" w:hanging="1"/>
        <w:spacing w:after="0" w:line="288" w:lineRule="auto"/>
        <w:tabs>
          <w:tab w:leader="none" w:pos="1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Operations—Critical Accounting Policies and Estimates— Line 901 Incident Insurance Receivable” and Note 18 to our Consolidated Financial Statements.</w:t>
      </w:r>
    </w:p>
    <w:p>
      <w:pPr>
        <w:spacing w:after="0" w:line="157" w:lineRule="exact"/>
        <w:rPr>
          <w:sz w:val="20"/>
          <w:szCs w:val="20"/>
          <w:color w:val="auto"/>
        </w:rPr>
      </w:pPr>
    </w:p>
    <w:p>
      <w:pPr>
        <w:jc w:val="both"/>
        <w:ind w:left="1" w:right="100"/>
        <w:spacing w:after="0" w:line="278" w:lineRule="auto"/>
        <w:rPr>
          <w:sz w:val="20"/>
          <w:szCs w:val="20"/>
          <w:color w:val="auto"/>
        </w:rPr>
      </w:pPr>
      <w:r>
        <w:rPr>
          <w:rFonts w:ascii="Arial" w:cs="Arial" w:eastAsia="Arial" w:hAnsi="Arial"/>
          <w:sz w:val="19"/>
          <w:szCs w:val="19"/>
          <w:b w:val="1"/>
          <w:bCs w:val="1"/>
          <w:i w:val="1"/>
          <w:iCs w:val="1"/>
          <w:color w:val="auto"/>
        </w:rPr>
        <w:t>The terms of PAA’s indebtedness may limit its ability to borrow additional funds or capitalize on business opportunities. In addition, PAA’s current or future debt levels, or inability to borrow additional funds or capitalize on business opportunities, may limit its future financial and operating flexibility.</w:t>
      </w:r>
    </w:p>
    <w:p>
      <w:pPr>
        <w:spacing w:after="0" w:line="184" w:lineRule="exact"/>
        <w:rPr>
          <w:sz w:val="20"/>
          <w:szCs w:val="20"/>
          <w:color w:val="auto"/>
        </w:rPr>
      </w:pPr>
    </w:p>
    <w:p>
      <w:pPr>
        <w:ind w:left="1" w:right="480" w:firstLine="702"/>
        <w:spacing w:after="0" w:line="299" w:lineRule="auto"/>
        <w:rPr>
          <w:sz w:val="20"/>
          <w:szCs w:val="20"/>
          <w:color w:val="auto"/>
        </w:rPr>
      </w:pPr>
      <w:r>
        <w:rPr>
          <w:rFonts w:ascii="Arial" w:cs="Arial" w:eastAsia="Arial" w:hAnsi="Arial"/>
          <w:sz w:val="17"/>
          <w:szCs w:val="17"/>
          <w:color w:val="auto"/>
        </w:rPr>
        <w:t>As of December 31, 2023, the face value of PAA’s consolidated debt outstanding was approximately $7.8 billion (excluding unamortized discounts and debt issuance costs of approximately $41 million), consisting of approximately</w:t>
      </w:r>
    </w:p>
    <w:p>
      <w:pPr>
        <w:spacing w:after="0" w:line="1" w:lineRule="exact"/>
        <w:rPr>
          <w:sz w:val="20"/>
          <w:szCs w:val="20"/>
          <w:color w:val="auto"/>
        </w:rPr>
      </w:pPr>
    </w:p>
    <w:p>
      <w:pPr>
        <w:ind w:left="1" w:right="80"/>
        <w:spacing w:after="0" w:line="261" w:lineRule="auto"/>
        <w:rPr>
          <w:sz w:val="20"/>
          <w:szCs w:val="20"/>
          <w:color w:val="auto"/>
        </w:rPr>
      </w:pPr>
      <w:r>
        <w:rPr>
          <w:rFonts w:ascii="Arial" w:cs="Arial" w:eastAsia="Arial" w:hAnsi="Arial"/>
          <w:sz w:val="19"/>
          <w:szCs w:val="19"/>
          <w:color w:val="auto"/>
        </w:rPr>
        <w:t>$7.3 billion face value of long-term debt (including senior notes and finance lease obligations) and approximately $446 million of short-term borrowings. As of December 31, 2023, PAA had over $2.6 billion of liquidity available, including cash and cash equivalents and available borrowing capacity under its senior unsecured revolving credit facility and its senior secured hedged inventory facility, subject to continued covenant compliance. Lower Adjusted EBITDA could increase PAA’s leverage ratios and effectively reduce its ability to incur additional indebtedness.</w:t>
      </w:r>
    </w:p>
    <w:p>
      <w:pPr>
        <w:spacing w:after="0" w:line="196" w:lineRule="exact"/>
        <w:rPr>
          <w:sz w:val="20"/>
          <w:szCs w:val="20"/>
          <w:color w:val="auto"/>
        </w:rPr>
      </w:pPr>
    </w:p>
    <w:p>
      <w:pPr>
        <w:ind w:left="1" w:right="60" w:firstLine="702"/>
        <w:spacing w:after="0" w:line="295" w:lineRule="auto"/>
        <w:rPr>
          <w:sz w:val="20"/>
          <w:szCs w:val="20"/>
          <w:color w:val="auto"/>
        </w:rPr>
      </w:pPr>
      <w:r>
        <w:rPr>
          <w:rFonts w:ascii="Arial" w:cs="Arial" w:eastAsia="Arial" w:hAnsi="Arial"/>
          <w:sz w:val="19"/>
          <w:szCs w:val="19"/>
          <w:color w:val="auto"/>
        </w:rPr>
        <w:t>The amount of PAA’s current or future indebtedness could have significant effects on its operations, including, among other things:</w:t>
      </w:r>
    </w:p>
    <w:p>
      <w:pPr>
        <w:spacing w:after="0" w:line="48" w:lineRule="exact"/>
        <w:rPr>
          <w:sz w:val="20"/>
          <w:szCs w:val="20"/>
          <w:color w:val="auto"/>
        </w:rPr>
      </w:pPr>
    </w:p>
    <w:p>
      <w:pPr>
        <w:ind w:left="1061" w:right="180" w:hanging="359"/>
        <w:spacing w:after="0" w:line="276" w:lineRule="auto"/>
        <w:tabs>
          <w:tab w:leader="none" w:pos="1061" w:val="left"/>
        </w:tabs>
        <w:numPr>
          <w:ilvl w:val="0"/>
          <w:numId w:val="33"/>
        </w:numPr>
        <w:rPr>
          <w:rFonts w:ascii="Arial" w:cs="Arial" w:eastAsia="Arial" w:hAnsi="Arial"/>
          <w:sz w:val="19"/>
          <w:szCs w:val="19"/>
          <w:color w:val="auto"/>
        </w:rPr>
      </w:pPr>
      <w:r>
        <w:rPr>
          <w:rFonts w:ascii="Arial" w:cs="Arial" w:eastAsia="Arial" w:hAnsi="Arial"/>
          <w:sz w:val="19"/>
          <w:szCs w:val="19"/>
          <w:color w:val="auto"/>
        </w:rPr>
        <w:t>a significant portion of PAA’s cash flow will be dedicated to the payment of principal and interest on its indebtedness and may not be available for other purposes, including the payment of distributions on its units and capital expenditures;</w:t>
      </w:r>
    </w:p>
    <w:p>
      <w:pPr>
        <w:spacing w:after="0" w:line="65" w:lineRule="exact"/>
        <w:rPr>
          <w:rFonts w:ascii="Arial" w:cs="Arial" w:eastAsia="Arial" w:hAnsi="Arial"/>
          <w:sz w:val="19"/>
          <w:szCs w:val="19"/>
          <w:color w:val="auto"/>
        </w:rPr>
      </w:pPr>
    </w:p>
    <w:p>
      <w:pPr>
        <w:ind w:left="1061" w:hanging="359"/>
        <w:spacing w:after="0"/>
        <w:tabs>
          <w:tab w:leader="none" w:pos="1061" w:val="left"/>
        </w:tabs>
        <w:numPr>
          <w:ilvl w:val="0"/>
          <w:numId w:val="33"/>
        </w:numPr>
        <w:rPr>
          <w:rFonts w:ascii="Arial" w:cs="Arial" w:eastAsia="Arial" w:hAnsi="Arial"/>
          <w:sz w:val="19"/>
          <w:szCs w:val="19"/>
          <w:color w:val="auto"/>
        </w:rPr>
      </w:pPr>
      <w:r>
        <w:rPr>
          <w:rFonts w:ascii="Arial" w:cs="Arial" w:eastAsia="Arial" w:hAnsi="Arial"/>
          <w:sz w:val="19"/>
          <w:szCs w:val="19"/>
          <w:color w:val="auto"/>
        </w:rPr>
        <w:t>credit rating agencies may view PAA’s debt level negatively;</w:t>
      </w:r>
    </w:p>
    <w:p>
      <w:pPr>
        <w:spacing w:after="0" w:line="132" w:lineRule="exact"/>
        <w:rPr>
          <w:rFonts w:ascii="Arial" w:cs="Arial" w:eastAsia="Arial" w:hAnsi="Arial"/>
          <w:sz w:val="19"/>
          <w:szCs w:val="19"/>
          <w:color w:val="auto"/>
        </w:rPr>
      </w:pPr>
    </w:p>
    <w:p>
      <w:pPr>
        <w:ind w:left="1061" w:right="320" w:hanging="359"/>
        <w:spacing w:after="0" w:line="295" w:lineRule="auto"/>
        <w:tabs>
          <w:tab w:leader="none" w:pos="1061" w:val="left"/>
        </w:tabs>
        <w:numPr>
          <w:ilvl w:val="0"/>
          <w:numId w:val="33"/>
        </w:numPr>
        <w:rPr>
          <w:rFonts w:ascii="Arial" w:cs="Arial" w:eastAsia="Arial" w:hAnsi="Arial"/>
          <w:sz w:val="19"/>
          <w:szCs w:val="19"/>
          <w:color w:val="auto"/>
        </w:rPr>
      </w:pPr>
      <w:r>
        <w:rPr>
          <w:rFonts w:ascii="Arial" w:cs="Arial" w:eastAsia="Arial" w:hAnsi="Arial"/>
          <w:sz w:val="19"/>
          <w:szCs w:val="19"/>
          <w:color w:val="auto"/>
        </w:rPr>
        <w:t>covenants contained in PAA’s existing debt arrangements will require it to continue to meet financial tests that may adversely affect its flexibility to plan for and react to changes in its business;</w:t>
      </w:r>
    </w:p>
    <w:p>
      <w:pPr>
        <w:spacing w:after="0" w:line="47" w:lineRule="exact"/>
        <w:rPr>
          <w:rFonts w:ascii="Arial" w:cs="Arial" w:eastAsia="Arial" w:hAnsi="Arial"/>
          <w:sz w:val="19"/>
          <w:szCs w:val="19"/>
          <w:color w:val="auto"/>
        </w:rPr>
      </w:pPr>
    </w:p>
    <w:p>
      <w:pPr>
        <w:ind w:left="1061" w:right="340" w:hanging="359"/>
        <w:spacing w:after="0" w:line="295" w:lineRule="auto"/>
        <w:tabs>
          <w:tab w:leader="none" w:pos="1061" w:val="left"/>
        </w:tabs>
        <w:numPr>
          <w:ilvl w:val="0"/>
          <w:numId w:val="33"/>
        </w:numPr>
        <w:rPr>
          <w:rFonts w:ascii="Arial" w:cs="Arial" w:eastAsia="Arial" w:hAnsi="Arial"/>
          <w:sz w:val="19"/>
          <w:szCs w:val="19"/>
          <w:color w:val="auto"/>
        </w:rPr>
      </w:pPr>
      <w:r>
        <w:rPr>
          <w:rFonts w:ascii="Arial" w:cs="Arial" w:eastAsia="Arial" w:hAnsi="Arial"/>
          <w:sz w:val="19"/>
          <w:szCs w:val="19"/>
          <w:color w:val="auto"/>
        </w:rPr>
        <w:t>PAA’s ability to obtain additional financing for working capital, capital expenditures, acquisitions and general partnership purposes may be limited;</w:t>
      </w:r>
    </w:p>
    <w:p>
      <w:pPr>
        <w:spacing w:after="0" w:line="47" w:lineRule="exact"/>
        <w:rPr>
          <w:rFonts w:ascii="Arial" w:cs="Arial" w:eastAsia="Arial" w:hAnsi="Arial"/>
          <w:sz w:val="19"/>
          <w:szCs w:val="19"/>
          <w:color w:val="auto"/>
        </w:rPr>
      </w:pPr>
    </w:p>
    <w:p>
      <w:pPr>
        <w:ind w:left="1061" w:hanging="359"/>
        <w:spacing w:after="0"/>
        <w:tabs>
          <w:tab w:leader="none" w:pos="1061" w:val="left"/>
        </w:tabs>
        <w:numPr>
          <w:ilvl w:val="0"/>
          <w:numId w:val="33"/>
        </w:numPr>
        <w:rPr>
          <w:rFonts w:ascii="Arial" w:cs="Arial" w:eastAsia="Arial" w:hAnsi="Arial"/>
          <w:sz w:val="19"/>
          <w:szCs w:val="19"/>
          <w:color w:val="auto"/>
        </w:rPr>
      </w:pPr>
      <w:r>
        <w:rPr>
          <w:rFonts w:ascii="Arial" w:cs="Arial" w:eastAsia="Arial" w:hAnsi="Arial"/>
          <w:sz w:val="19"/>
          <w:szCs w:val="19"/>
          <w:color w:val="auto"/>
        </w:rPr>
        <w:t>PAA may be at a competitive disadvantage relative to similar companies that have less debt; and</w:t>
      </w:r>
    </w:p>
    <w:p>
      <w:pPr>
        <w:spacing w:after="0" w:line="132" w:lineRule="exact"/>
        <w:rPr>
          <w:rFonts w:ascii="Arial" w:cs="Arial" w:eastAsia="Arial" w:hAnsi="Arial"/>
          <w:sz w:val="19"/>
          <w:szCs w:val="19"/>
          <w:color w:val="auto"/>
        </w:rPr>
      </w:pPr>
    </w:p>
    <w:p>
      <w:pPr>
        <w:ind w:left="1061" w:hanging="359"/>
        <w:spacing w:after="0"/>
        <w:tabs>
          <w:tab w:leader="none" w:pos="1061" w:val="left"/>
        </w:tabs>
        <w:numPr>
          <w:ilvl w:val="0"/>
          <w:numId w:val="33"/>
        </w:numPr>
        <w:rPr>
          <w:rFonts w:ascii="Arial" w:cs="Arial" w:eastAsia="Arial" w:hAnsi="Arial"/>
          <w:sz w:val="17"/>
          <w:szCs w:val="17"/>
          <w:color w:val="auto"/>
        </w:rPr>
      </w:pPr>
      <w:r>
        <w:rPr>
          <w:rFonts w:ascii="Arial" w:cs="Arial" w:eastAsia="Arial" w:hAnsi="Arial"/>
          <w:sz w:val="17"/>
          <w:szCs w:val="17"/>
          <w:color w:val="auto"/>
        </w:rPr>
        <w:t>PAA may be more vulnerable to adverse economic and industry conditions as a result of its significant debt level.</w:t>
      </w:r>
    </w:p>
    <w:p>
      <w:pPr>
        <w:spacing w:after="0" w:line="272" w:lineRule="exact"/>
        <w:rPr>
          <w:sz w:val="20"/>
          <w:szCs w:val="20"/>
          <w:color w:val="auto"/>
        </w:rPr>
      </w:pPr>
    </w:p>
    <w:p>
      <w:pPr>
        <w:ind w:left="1" w:right="20" w:firstLine="702"/>
        <w:spacing w:after="0" w:line="279" w:lineRule="auto"/>
        <w:rPr>
          <w:sz w:val="20"/>
          <w:szCs w:val="20"/>
          <w:color w:val="auto"/>
        </w:rPr>
      </w:pPr>
      <w:r>
        <w:rPr>
          <w:rFonts w:ascii="Arial" w:cs="Arial" w:eastAsia="Arial" w:hAnsi="Arial"/>
          <w:sz w:val="18"/>
          <w:szCs w:val="18"/>
          <w:color w:val="auto"/>
        </w:rPr>
        <w:t>PAA’s credit agreements prohibit distributions on, or purchases or redemptions of, units if any default or event of default is continuing. In addition, the agreements contain various covenants limiting PAA’s ability to, among other things, incur indebtedness if certain financial ratios are not maintained, grant liens, engage in transactions with affiliates, enter into sale-leaseback transactions, and sell substantially all of its assets or enter into a merger or consolidation. PAA’s credit facilities treat a change of control as an event of default and also requires PAA to maintain a certain debt coverage ratio. PAA’s senior notes do not restrict distributions to unitholders, but a default under its credit agreements will be treated as a default under the senior notes. Please read Item 7. “Management’s Discussion and Analysis of Financial Condition and Results of Operations— Liquidity and Capital Resources—Credit Agreements, Commercial Paper Program and Indentures.”</w:t>
      </w:r>
    </w:p>
    <w:p>
      <w:pPr>
        <w:sectPr>
          <w:pgSz w:w="11880" w:h="15480" w:orient="portrait"/>
          <w:cols w:equalWidth="0" w:num="1">
            <w:col w:w="10001"/>
          </w:cols>
          <w:pgMar w:left="939" w:top="66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10001"/>
          </w:cols>
          <w:pgMar w:left="939" w:top="669" w:right="940" w:bottom="0" w:gutter="0" w:footer="0" w:header="0"/>
          <w:type w:val="continuous"/>
        </w:sectPr>
      </w:pPr>
    </w:p>
    <w:bookmarkStart w:id="56" w:name="page57"/>
    <w:bookmarkEnd w:id="56"/>
    <w:p>
      <w:pPr>
        <w:ind w:right="120" w:firstLine="702"/>
        <w:spacing w:after="0" w:line="293" w:lineRule="auto"/>
        <w:rPr>
          <w:sz w:val="20"/>
          <w:szCs w:val="20"/>
          <w:color w:val="auto"/>
        </w:rPr>
      </w:pPr>
      <w:r>
        <w:rPr>
          <w:rFonts w:ascii="Arial" w:cs="Arial" w:eastAsia="Arial" w:hAnsi="Arial"/>
          <w:sz w:val="17"/>
          <w:szCs w:val="17"/>
          <w:color w:val="auto"/>
        </w:rPr>
        <w:t>PAA’s ability to access capital markets to raise capital on favorable terms will be affected by its debt level, its operating and financial performance, the amount of its current maturities and debt maturing in the next several years, and by prevailing market conditions. In addition, if the rating agencies were to downgrade PAA’s credit ratings, then it could experience an increase in its borrowing costs, face difficulty accessing capital markets or incurring additional indebtedness, be unable to receive open credit from its suppliers and trade counterparties, be unable to benefit from swings in market prices and shifts in market structure during periods of volatility in the crude oil market or suffer a reduction in the market price of its common units. If PAA is unable to access the capital markets on favorable terms at the time a debt obligation becomes due in the future, it might be forced to refinance some of its debt obligations through more expensive and restrictive bank credit, as opposed to long-term public debt securities or equity securities, or the sale of assets. The price and terms upon which PAA might receive such extensions or additional bank credit, if at all, could be more onerous than those contained in existing debt agreements. Any such arrangements could, in turn, increase the risk that PAA’s leverage may adversely affect its future financial and operating flexibility and thereby impact its ability to execute its capital allocation strategies and priorities.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Increases in interest rates could adversely affect PAA’s business and the trading price of its units.</w:t>
      </w:r>
    </w:p>
    <w:p>
      <w:pPr>
        <w:spacing w:after="0" w:line="257" w:lineRule="exact"/>
        <w:rPr>
          <w:sz w:val="20"/>
          <w:szCs w:val="20"/>
          <w:color w:val="auto"/>
        </w:rPr>
      </w:pPr>
    </w:p>
    <w:p>
      <w:pPr>
        <w:ind w:right="160" w:firstLine="702"/>
        <w:spacing w:after="0" w:line="269" w:lineRule="auto"/>
        <w:rPr>
          <w:sz w:val="20"/>
          <w:szCs w:val="20"/>
          <w:color w:val="auto"/>
        </w:rPr>
      </w:pPr>
      <w:r>
        <w:rPr>
          <w:rFonts w:ascii="Arial" w:cs="Arial" w:eastAsia="Arial" w:hAnsi="Arial"/>
          <w:sz w:val="19"/>
          <w:szCs w:val="19"/>
          <w:color w:val="auto"/>
        </w:rPr>
        <w:t>As of December 31, 2023, the face value of PAA’s consolidated debt was approximately $7.8 billion (excluding unamortized discounts and debt issuance costs of approximately $41 million), substantially all of which was at fixed interest rates. Significant increases in interest rates above current levels could adversely affect PAA’s results of operations, cash flows and financial position due to, among other things:</w:t>
      </w:r>
    </w:p>
    <w:p>
      <w:pPr>
        <w:spacing w:after="0" w:line="190" w:lineRule="exact"/>
        <w:rPr>
          <w:sz w:val="20"/>
          <w:szCs w:val="20"/>
          <w:color w:val="auto"/>
        </w:rPr>
      </w:pPr>
    </w:p>
    <w:p>
      <w:pPr>
        <w:ind w:left="1060" w:right="220" w:hanging="359"/>
        <w:spacing w:after="0" w:line="267" w:lineRule="auto"/>
        <w:tabs>
          <w:tab w:leader="none" w:pos="1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PAA’s exposure to market risk due to the short-term nature of its commercial paper borrowings and the floating interest rates on its credit facilities;</w:t>
      </w:r>
    </w:p>
    <w:p>
      <w:pPr>
        <w:spacing w:after="0" w:line="1" w:lineRule="exact"/>
        <w:rPr>
          <w:rFonts w:ascii="Arial" w:cs="Arial" w:eastAsia="Arial" w:hAnsi="Arial"/>
          <w:sz w:val="19"/>
          <w:szCs w:val="19"/>
          <w:color w:val="auto"/>
        </w:rPr>
      </w:pPr>
    </w:p>
    <w:p>
      <w:pPr>
        <w:ind w:left="1060" w:hanging="359"/>
        <w:spacing w:after="0"/>
        <w:tabs>
          <w:tab w:leader="none" w:pos="1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potential refinancing of PAA’s indebtedness at rates higher than historical amounts;</w:t>
      </w:r>
    </w:p>
    <w:p>
      <w:pPr>
        <w:spacing w:after="0" w:line="15" w:lineRule="exact"/>
        <w:rPr>
          <w:rFonts w:ascii="Arial" w:cs="Arial" w:eastAsia="Arial" w:hAnsi="Arial"/>
          <w:sz w:val="19"/>
          <w:szCs w:val="19"/>
          <w:color w:val="auto"/>
        </w:rPr>
      </w:pPr>
    </w:p>
    <w:p>
      <w:pPr>
        <w:ind w:left="1060" w:right="240" w:hanging="359"/>
        <w:spacing w:after="0" w:line="257" w:lineRule="auto"/>
        <w:tabs>
          <w:tab w:leader="none" w:pos="1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Increasing interest costs associated with the storage of hedged crude oil and NGL inventory in PAA’s merchant activities; and</w:t>
      </w:r>
    </w:p>
    <w:p>
      <w:pPr>
        <w:ind w:left="1060" w:right="280" w:hanging="359"/>
        <w:spacing w:after="0" w:line="265" w:lineRule="auto"/>
        <w:tabs>
          <w:tab w:leader="none" w:pos="1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Distributions payable on PAA’s Series B preferred units, which accumulate for each distribution period at a percentage of the liquidation preference equal to the applicable three-month Secured Overnight Financing Rate (SOFR), plus a credit spread adjustment of 0.2621%, plus 4.11% per annum.</w:t>
      </w:r>
    </w:p>
    <w:p>
      <w:pPr>
        <w:spacing w:after="0" w:line="192" w:lineRule="exact"/>
        <w:rPr>
          <w:sz w:val="20"/>
          <w:szCs w:val="20"/>
          <w:color w:val="auto"/>
        </w:rPr>
      </w:pPr>
    </w:p>
    <w:p>
      <w:pPr>
        <w:ind w:right="120" w:firstLine="702"/>
        <w:spacing w:after="0" w:line="295" w:lineRule="auto"/>
        <w:rPr>
          <w:sz w:val="20"/>
          <w:szCs w:val="20"/>
          <w:color w:val="auto"/>
        </w:rPr>
      </w:pPr>
      <w:r>
        <w:rPr>
          <w:rFonts w:ascii="Arial" w:cs="Arial" w:eastAsia="Arial" w:hAnsi="Arial"/>
          <w:sz w:val="19"/>
          <w:szCs w:val="19"/>
          <w:color w:val="auto"/>
        </w:rPr>
        <w:t>Further, the trading price of PAA’s common units may be sensitive to changes in interest rates and any rise in interest rates could adversely impact such trading price.</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currency exchange rates could adversely affect PAA’s operating results.</w:t>
      </w:r>
    </w:p>
    <w:p>
      <w:pPr>
        <w:spacing w:after="0" w:line="257" w:lineRule="exact"/>
        <w:rPr>
          <w:sz w:val="20"/>
          <w:szCs w:val="20"/>
          <w:color w:val="auto"/>
        </w:rPr>
      </w:pPr>
    </w:p>
    <w:p>
      <w:pPr>
        <w:ind w:firstLine="702"/>
        <w:spacing w:after="0" w:line="289" w:lineRule="auto"/>
        <w:rPr>
          <w:sz w:val="20"/>
          <w:szCs w:val="20"/>
          <w:color w:val="auto"/>
        </w:rPr>
      </w:pPr>
      <w:r>
        <w:rPr>
          <w:rFonts w:ascii="Arial" w:cs="Arial" w:eastAsia="Arial" w:hAnsi="Arial"/>
          <w:sz w:val="18"/>
          <w:szCs w:val="18"/>
          <w:color w:val="auto"/>
        </w:rPr>
        <w:t>Because PAA is a U.S. dollar reporting company and also conducts operations in Canada, it is exposed to currency fluctuations and exchange rate risks that may adversely affect the U.S. dollar value of its earnings, cash flow and partners’ capital under applicable accounting rules. For example, if the U.S. dollar appreciates against the Canadian dollar, the U.S. dollar value of PAA’s Canadian dollar denominated earnings is reduced for U.S. reporting purposes.</w:t>
      </w:r>
    </w:p>
    <w:p>
      <w:pPr>
        <w:spacing w:after="0" w:line="166" w:lineRule="exact"/>
        <w:rPr>
          <w:sz w:val="20"/>
          <w:szCs w:val="20"/>
          <w:color w:val="auto"/>
        </w:rPr>
      </w:pPr>
    </w:p>
    <w:p>
      <w:pPr>
        <w:ind w:right="320"/>
        <w:spacing w:after="0" w:line="300" w:lineRule="auto"/>
        <w:rPr>
          <w:sz w:val="20"/>
          <w:szCs w:val="20"/>
          <w:color w:val="auto"/>
        </w:rPr>
      </w:pPr>
      <w:r>
        <w:rPr>
          <w:rFonts w:ascii="Arial" w:cs="Arial" w:eastAsia="Arial" w:hAnsi="Arial"/>
          <w:sz w:val="19"/>
          <w:szCs w:val="19"/>
          <w:b w:val="1"/>
          <w:bCs w:val="1"/>
          <w:i w:val="1"/>
          <w:iCs w:val="1"/>
          <w:color w:val="auto"/>
        </w:rPr>
        <w:t>PAA’s business requires the retention and recruitment of a skilled workforce, and difficulties retaining and recruiting its workforce could result in a failure to implement PAA’s business plans.</w:t>
      </w:r>
    </w:p>
    <w:p>
      <w:pPr>
        <w:spacing w:after="0" w:line="163" w:lineRule="exact"/>
        <w:rPr>
          <w:sz w:val="20"/>
          <w:szCs w:val="20"/>
          <w:color w:val="auto"/>
        </w:rPr>
      </w:pPr>
    </w:p>
    <w:p>
      <w:pPr>
        <w:ind w:right="40" w:firstLine="702"/>
        <w:spacing w:after="0" w:line="263" w:lineRule="auto"/>
        <w:rPr>
          <w:sz w:val="20"/>
          <w:szCs w:val="20"/>
          <w:color w:val="auto"/>
        </w:rPr>
      </w:pPr>
      <w:r>
        <w:rPr>
          <w:rFonts w:ascii="Arial" w:cs="Arial" w:eastAsia="Arial" w:hAnsi="Arial"/>
          <w:sz w:val="19"/>
          <w:szCs w:val="19"/>
          <w:color w:val="auto"/>
        </w:rPr>
        <w:t>PAA’s operations and management require the retention and recruitment of a skilled workforce, including engineers, technical personnel and other professionals. PAA and its affiliates compete with other companies both within and outside the energy industry for this skilled workforce, and other employers may be able to offer potential employees higher salaries, more attractive benefits or work arrangements or opportunities to work in industries with greater perceived status or growth potential. If PAA is unable to (i) retain current employees; and/or (ii) recruit new employees of comparable knowledge and experience, PAA’s business could be negatively impacted. In addition, PAA could experience increased costs to retain current employees and recruit new employees.</w:t>
      </w:r>
    </w:p>
    <w:p>
      <w:pPr>
        <w:sectPr>
          <w:pgSz w:w="11880" w:h="15480" w:orient="portrait"/>
          <w:cols w:equalWidth="0" w:num="1">
            <w:col w:w="10000"/>
          </w:cols>
          <w:pgMar w:left="940" w:top="67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880" w:h="15480" w:orient="portrait"/>
          <w:cols w:equalWidth="0" w:num="1">
            <w:col w:w="10000"/>
          </w:cols>
          <w:pgMar w:left="940" w:top="676" w:right="940" w:bottom="0" w:gutter="0" w:footer="0" w:header="0"/>
          <w:type w:val="continuous"/>
        </w:sectPr>
      </w:pPr>
    </w:p>
    <w:bookmarkStart w:id="57" w:name="page58"/>
    <w:bookmarkEnd w:id="57"/>
    <w:p>
      <w:pPr>
        <w:spacing w:after="0"/>
        <w:rPr>
          <w:sz w:val="20"/>
          <w:szCs w:val="20"/>
          <w:color w:val="auto"/>
        </w:rPr>
      </w:pPr>
      <w:r>
        <w:rPr>
          <w:rFonts w:ascii="Arial" w:cs="Arial" w:eastAsia="Arial" w:hAnsi="Arial"/>
          <w:sz w:val="19"/>
          <w:szCs w:val="19"/>
          <w:b w:val="1"/>
          <w:bCs w:val="1"/>
          <w:i w:val="1"/>
          <w:iCs w:val="1"/>
          <w:color w:val="auto"/>
        </w:rPr>
        <w:t>An impairment of long-term assets could reduce PAA’s earnings.</w:t>
      </w:r>
    </w:p>
    <w:p>
      <w:pPr>
        <w:spacing w:after="0" w:line="257" w:lineRule="exact"/>
        <w:rPr>
          <w:sz w:val="20"/>
          <w:szCs w:val="20"/>
          <w:color w:val="auto"/>
        </w:rPr>
      </w:pPr>
    </w:p>
    <w:p>
      <w:pPr>
        <w:ind w:right="120" w:firstLine="702"/>
        <w:spacing w:after="0" w:line="296" w:lineRule="auto"/>
        <w:rPr>
          <w:sz w:val="20"/>
          <w:szCs w:val="20"/>
          <w:color w:val="auto"/>
        </w:rPr>
      </w:pPr>
      <w:r>
        <w:rPr>
          <w:rFonts w:ascii="Arial" w:cs="Arial" w:eastAsia="Arial" w:hAnsi="Arial"/>
          <w:sz w:val="17"/>
          <w:szCs w:val="17"/>
          <w:color w:val="auto"/>
        </w:rPr>
        <w:t>At December 31, 2023, PAA had approximately $15.8 billion of net property and equipment, $976 million of linefill, $2.8 billion of investments accounted for under the equity method of accounting and approximately $1.9 billion of net intangible assets capitalized on its balance sheet. GAAP requires an assessment for impairment in certain circumstances, including when there is an indication that the carrying value of property and equipment may not be recoverable. If PAA was to determine that any of its property and equipment, linefill, intangibles or equity method investments was impaired, it could be required to take an immediate charge to earnings, which could adversely impact its operating results, with a corresponding reduction of partners’ capital and increase in balance sheet leverage as measured by debt-to-total capitalization. See Item 7. “Management’s Discussion and Analysis of Financial Condition and Results of Operations—Critical Accounting Policies and Estimates” for additional discussion of our accounting policies and use of estimates associated with impairments.</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PAA is dependent on the use or availability of third-party assets for certain of its operations.</w:t>
      </w:r>
    </w:p>
    <w:p>
      <w:pPr>
        <w:spacing w:after="0" w:line="257" w:lineRule="exact"/>
        <w:rPr>
          <w:sz w:val="20"/>
          <w:szCs w:val="20"/>
          <w:color w:val="auto"/>
        </w:rPr>
      </w:pPr>
    </w:p>
    <w:p>
      <w:pPr>
        <w:ind w:right="60" w:firstLine="702"/>
        <w:spacing w:after="0" w:line="276" w:lineRule="auto"/>
        <w:rPr>
          <w:sz w:val="20"/>
          <w:szCs w:val="20"/>
          <w:color w:val="auto"/>
        </w:rPr>
      </w:pPr>
      <w:r>
        <w:rPr>
          <w:rFonts w:ascii="Arial" w:cs="Arial" w:eastAsia="Arial" w:hAnsi="Arial"/>
          <w:sz w:val="19"/>
          <w:szCs w:val="19"/>
          <w:color w:val="auto"/>
        </w:rPr>
        <w:t>Certain of PAA’s business activities require the use or availability of third-party assets over which it may have little or no control. If at any time the availability of these assets is limited or denied, and if access to alternative assets cannot be arranged, it could have an adverse effect on PAA’s business, results of operations and cash flow.</w:t>
      </w:r>
    </w:p>
    <w:p>
      <w:pPr>
        <w:spacing w:after="0" w:line="175" w:lineRule="exact"/>
        <w:rPr>
          <w:sz w:val="20"/>
          <w:szCs w:val="20"/>
          <w:color w:val="auto"/>
        </w:rPr>
      </w:pPr>
    </w:p>
    <w:p>
      <w:pPr>
        <w:ind w:right="320"/>
        <w:spacing w:after="0" w:line="300" w:lineRule="auto"/>
        <w:rPr>
          <w:sz w:val="20"/>
          <w:szCs w:val="20"/>
          <w:color w:val="auto"/>
        </w:rPr>
      </w:pPr>
      <w:r>
        <w:rPr>
          <w:rFonts w:ascii="Arial" w:cs="Arial" w:eastAsia="Arial" w:hAnsi="Arial"/>
          <w:sz w:val="19"/>
          <w:szCs w:val="19"/>
          <w:b w:val="1"/>
          <w:bCs w:val="1"/>
          <w:i w:val="1"/>
          <w:iCs w:val="1"/>
          <w:color w:val="auto"/>
        </w:rPr>
        <w:t>Significant under-utilization of certain assets could significantly reduce PAA’s profitability due to fixed costs incurred to obtain the right to use such assets.</w:t>
      </w:r>
    </w:p>
    <w:p>
      <w:pPr>
        <w:spacing w:after="0" w:line="163" w:lineRule="exact"/>
        <w:rPr>
          <w:sz w:val="20"/>
          <w:szCs w:val="20"/>
          <w:color w:val="auto"/>
        </w:rPr>
      </w:pPr>
    </w:p>
    <w:p>
      <w:pPr>
        <w:ind w:firstLine="702"/>
        <w:spacing w:after="0" w:line="297" w:lineRule="auto"/>
        <w:rPr>
          <w:sz w:val="20"/>
          <w:szCs w:val="20"/>
          <w:color w:val="auto"/>
        </w:rPr>
      </w:pPr>
      <w:r>
        <w:rPr>
          <w:rFonts w:ascii="Arial" w:cs="Arial" w:eastAsia="Arial" w:hAnsi="Arial"/>
          <w:sz w:val="17"/>
          <w:szCs w:val="17"/>
          <w:color w:val="auto"/>
        </w:rPr>
        <w:t>From time to time in connection with its business, PAA may lease or otherwise secure the right to use certain assets (such as railcars, trucks, barges, ships, pipeline capacity, storage capacity and other similar assets) with the expectation that the revenues it generates through the use of such assets will be greater than the fixed costs it incurs pursuant to the applicable leases or other arrangements. However, when such assets are not utilized or are under-utilized, PAA’s profitability could be negatively impacted because the revenues it earns are either non-existent or reduced, but it remains obligated to continue paying any applicable fixed charges, in addition to the potential of incurring other costs attributable to the non-utilization of such assets (such as maintenance, storage or other costs). Significant under-utilization of assets PAA leases or otherwise secures the right to use in connection with its business could have a significant negative impact on PAA’s profitability and cash flows.</w:t>
      </w:r>
    </w:p>
    <w:p>
      <w:pPr>
        <w:spacing w:after="0" w:line="163" w:lineRule="exact"/>
        <w:rPr>
          <w:sz w:val="20"/>
          <w:szCs w:val="20"/>
          <w:color w:val="auto"/>
        </w:rPr>
      </w:pPr>
    </w:p>
    <w:p>
      <w:pPr>
        <w:ind w:right="80"/>
        <w:spacing w:after="0" w:line="330" w:lineRule="auto"/>
        <w:rPr>
          <w:sz w:val="20"/>
          <w:szCs w:val="20"/>
          <w:color w:val="auto"/>
        </w:rPr>
      </w:pPr>
      <w:r>
        <w:rPr>
          <w:rFonts w:ascii="Arial" w:cs="Arial" w:eastAsia="Arial" w:hAnsi="Arial"/>
          <w:sz w:val="18"/>
          <w:szCs w:val="18"/>
          <w:b w:val="1"/>
          <w:bCs w:val="1"/>
          <w:i w:val="1"/>
          <w:iCs w:val="1"/>
          <w:color w:val="auto"/>
        </w:rPr>
        <w:t>Many of PAA’s assets have been in service for many years and require significant expenditures to maintain them or remove them from service. As a result, its maintenance, repair or asset retirement costs may increase in the future.</w:t>
      </w:r>
    </w:p>
    <w:p>
      <w:pPr>
        <w:spacing w:after="0" w:line="140" w:lineRule="exact"/>
        <w:rPr>
          <w:sz w:val="20"/>
          <w:szCs w:val="20"/>
          <w:color w:val="auto"/>
        </w:rPr>
      </w:pPr>
    </w:p>
    <w:p>
      <w:pPr>
        <w:ind w:right="20" w:firstLine="702"/>
        <w:spacing w:after="0" w:line="311" w:lineRule="auto"/>
        <w:rPr>
          <w:sz w:val="20"/>
          <w:szCs w:val="20"/>
          <w:color w:val="auto"/>
        </w:rPr>
      </w:pPr>
      <w:r>
        <w:rPr>
          <w:rFonts w:ascii="Arial" w:cs="Arial" w:eastAsia="Arial" w:hAnsi="Arial"/>
          <w:sz w:val="17"/>
          <w:szCs w:val="17"/>
          <w:color w:val="auto"/>
        </w:rPr>
        <w:t>PAA’s pipelines, terminals, storage and processing and fractionation assets are generally long-lived assets, and many of them have been in service for many years. The age and condition of its assets could result in increased maintenance, repair or asset retirement expenditures in the future. Any significant increase in these expenditures could adversely affect PAA’s results of operations, financial position or cash flows, as well as its ability to make cash distributions to its unitholders.</w:t>
      </w:r>
    </w:p>
    <w:p>
      <w:pPr>
        <w:spacing w:after="0" w:line="150" w:lineRule="exact"/>
        <w:rPr>
          <w:sz w:val="20"/>
          <w:szCs w:val="20"/>
          <w:color w:val="auto"/>
        </w:rPr>
      </w:pPr>
    </w:p>
    <w:p>
      <w:pPr>
        <w:ind w:right="380"/>
        <w:spacing w:after="0" w:line="300" w:lineRule="auto"/>
        <w:rPr>
          <w:sz w:val="20"/>
          <w:szCs w:val="20"/>
          <w:color w:val="auto"/>
        </w:rPr>
      </w:pPr>
      <w:r>
        <w:rPr>
          <w:rFonts w:ascii="Arial" w:cs="Arial" w:eastAsia="Arial" w:hAnsi="Arial"/>
          <w:sz w:val="19"/>
          <w:szCs w:val="19"/>
          <w:b w:val="1"/>
          <w:bCs w:val="1"/>
          <w:i w:val="1"/>
          <w:iCs w:val="1"/>
          <w:color w:val="auto"/>
        </w:rPr>
        <w:t>PAA does not own all of the land on which its pipelines and facilities are located, which could result in disruptions to its operations.</w:t>
      </w:r>
    </w:p>
    <w:p>
      <w:pPr>
        <w:spacing w:after="0" w:line="163" w:lineRule="exact"/>
        <w:rPr>
          <w:sz w:val="20"/>
          <w:szCs w:val="20"/>
          <w:color w:val="auto"/>
        </w:rPr>
      </w:pPr>
    </w:p>
    <w:p>
      <w:pPr>
        <w:ind w:firstLine="702"/>
        <w:spacing w:after="0" w:line="275" w:lineRule="auto"/>
        <w:rPr>
          <w:sz w:val="20"/>
          <w:szCs w:val="20"/>
          <w:color w:val="auto"/>
        </w:rPr>
      </w:pPr>
      <w:r>
        <w:rPr>
          <w:rFonts w:ascii="Arial" w:cs="Arial" w:eastAsia="Arial" w:hAnsi="Arial"/>
          <w:sz w:val="18"/>
          <w:szCs w:val="18"/>
          <w:color w:val="auto"/>
        </w:rPr>
        <w:t>PAA does not own all of the land on which its pipelines and facilities have been constructed, and therefore is potentially subject to more onerous terms and/or increased costs to retain necessary land use if PAA does not have valid rights-of-way or if such rights-of-way lapse or terminate. In some instances, PAA obtains the rights to construct and operate its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Native American landowner, bars condemnation of any interest in the allotment. Consequently, the inability to condemn such allotted lands under circumstances where existing pipeline rights-of-way may soon lapse or terminate serves as an additional potential impediment for pipeline operations. Additionally, parts of PAA’s operations cross land that has historically been apportioned to various Native American/First Nations tribes, who may exercise significant jurisdiction and sovereignty over their lands. For more information, see our regulatory disclosure entitled “Indigenous Protections.” PAA cannot guarantee that it will always be able to renew existing rights-of-way or obtain new rights-of-way on favorable terms without experiencing significant delays and costs. Any loss of rights with respect to real property, through PAA’s inability to renew right-of-way contracts or otherwise, could have a material adverse effect on its business, results of operations, and financial position.</w:t>
      </w:r>
    </w:p>
    <w:p>
      <w:pPr>
        <w:sectPr>
          <w:pgSz w:w="11880" w:h="15480" w:orient="portrait"/>
          <w:cols w:equalWidth="0" w:num="1">
            <w:col w:w="10000"/>
          </w:cols>
          <w:pgMar w:left="940" w:top="66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880" w:h="15480" w:orient="portrait"/>
          <w:cols w:equalWidth="0" w:num="1">
            <w:col w:w="10000"/>
          </w:cols>
          <w:pgMar w:left="940" w:top="669" w:right="940" w:bottom="0" w:gutter="0" w:footer="0" w:header="0"/>
          <w:type w:val="continuous"/>
        </w:sectPr>
      </w:pPr>
    </w:p>
    <w:bookmarkStart w:id="58" w:name="page59"/>
    <w:bookmarkEnd w:id="58"/>
    <w:p>
      <w:pPr>
        <w:ind w:right="260"/>
        <w:spacing w:after="0" w:line="278" w:lineRule="auto"/>
        <w:rPr>
          <w:sz w:val="20"/>
          <w:szCs w:val="20"/>
          <w:color w:val="auto"/>
        </w:rPr>
      </w:pPr>
      <w:r>
        <w:rPr>
          <w:rFonts w:ascii="Arial" w:cs="Arial" w:eastAsia="Arial" w:hAnsi="Arial"/>
          <w:sz w:val="19"/>
          <w:szCs w:val="19"/>
          <w:b w:val="1"/>
          <w:bCs w:val="1"/>
          <w:i w:val="1"/>
          <w:iCs w:val="1"/>
          <w:color w:val="auto"/>
        </w:rPr>
        <w:t>If PAA fails to obtain materials or commodities in the quantity and the quality it needs, and at commercially acceptable prices, whether due to supply disruptions, inflation, tariffs, quotas or other factors, PAA’s results of operations, financial condition and cash flows could be materially and adversely affected.</w:t>
      </w:r>
    </w:p>
    <w:p>
      <w:pPr>
        <w:spacing w:after="0" w:line="184" w:lineRule="exact"/>
        <w:rPr>
          <w:sz w:val="20"/>
          <w:szCs w:val="20"/>
          <w:color w:val="auto"/>
        </w:rPr>
      </w:pPr>
    </w:p>
    <w:p>
      <w:pPr>
        <w:ind w:firstLine="702"/>
        <w:spacing w:after="0" w:line="269" w:lineRule="auto"/>
        <w:rPr>
          <w:sz w:val="20"/>
          <w:szCs w:val="20"/>
          <w:color w:val="auto"/>
        </w:rPr>
      </w:pPr>
      <w:r>
        <w:rPr>
          <w:rFonts w:ascii="Arial" w:cs="Arial" w:eastAsia="Arial" w:hAnsi="Arial"/>
          <w:sz w:val="19"/>
          <w:szCs w:val="19"/>
          <w:color w:val="auto"/>
        </w:rPr>
        <w:t>PAA’s business requires access to steel and other materials to construct and maintain new and existing pipelines and facilities. If PAA experiences a shortage in the supply of these materials or is unable to source sufficient quantities of high quality materials at acceptable prices and in a timely manner, it could materially and adversely affect PAA’s ability to construct new infrastructure and maintain its existing assets.</w:t>
      </w:r>
    </w:p>
    <w:p>
      <w:pPr>
        <w:spacing w:after="0" w:line="190" w:lineRule="exact"/>
        <w:rPr>
          <w:sz w:val="20"/>
          <w:szCs w:val="20"/>
          <w:color w:val="auto"/>
        </w:rPr>
      </w:pPr>
    </w:p>
    <w:p>
      <w:pPr>
        <w:jc w:val="both"/>
        <w:ind w:right="100" w:firstLine="702"/>
        <w:spacing w:after="0" w:line="276" w:lineRule="auto"/>
        <w:rPr>
          <w:sz w:val="20"/>
          <w:szCs w:val="20"/>
          <w:color w:val="auto"/>
        </w:rPr>
      </w:pPr>
      <w:r>
        <w:rPr>
          <w:rFonts w:ascii="Arial" w:cs="Arial" w:eastAsia="Arial" w:hAnsi="Arial"/>
          <w:sz w:val="19"/>
          <w:szCs w:val="19"/>
          <w:color w:val="auto"/>
        </w:rPr>
        <w:t>PAA’s business also depends on having access to significant amounts of electricity and other commodities. If PAA is unable to obtain commodities sufficient to operate and maintain its assets, or only able to do so at commercially unreasonable prices, it could materially and adversely affect its business.</w:t>
      </w:r>
    </w:p>
    <w:p>
      <w:pPr>
        <w:spacing w:after="0" w:line="182" w:lineRule="exact"/>
        <w:rPr>
          <w:sz w:val="20"/>
          <w:szCs w:val="20"/>
          <w:color w:val="auto"/>
        </w:rPr>
      </w:pPr>
    </w:p>
    <w:p>
      <w:pPr>
        <w:ind w:right="140" w:firstLine="702"/>
        <w:spacing w:after="0" w:line="269" w:lineRule="auto"/>
        <w:rPr>
          <w:sz w:val="20"/>
          <w:szCs w:val="20"/>
          <w:color w:val="auto"/>
        </w:rPr>
      </w:pPr>
      <w:r>
        <w:rPr>
          <w:rFonts w:ascii="Arial" w:cs="Arial" w:eastAsia="Arial" w:hAnsi="Arial"/>
          <w:sz w:val="19"/>
          <w:szCs w:val="19"/>
          <w:color w:val="auto"/>
        </w:rPr>
        <w:t>Supply chain disruptions and inflation of prices for commodities, materials, products and shipping may make it more challenging to obtain sufficient quantities of high quality materials at acceptable prices and in a timely manner. If PAA is unable to source such materials, it could materially and adversely affect its ability to construct new infrastructure and operate and maintain its existing assets.</w:t>
      </w:r>
    </w:p>
    <w:p>
      <w:pPr>
        <w:spacing w:after="0" w:line="190" w:lineRule="exact"/>
        <w:rPr>
          <w:sz w:val="20"/>
          <w:szCs w:val="20"/>
          <w:color w:val="auto"/>
        </w:rPr>
      </w:pPr>
    </w:p>
    <w:p>
      <w:pPr>
        <w:ind w:right="20" w:firstLine="702"/>
        <w:spacing w:after="0" w:line="284" w:lineRule="auto"/>
        <w:rPr>
          <w:sz w:val="20"/>
          <w:szCs w:val="20"/>
          <w:color w:val="auto"/>
        </w:rPr>
      </w:pPr>
      <w:r>
        <w:rPr>
          <w:rFonts w:ascii="Arial" w:cs="Arial" w:eastAsia="Arial" w:hAnsi="Arial"/>
          <w:sz w:val="18"/>
          <w:szCs w:val="18"/>
          <w:color w:val="auto"/>
        </w:rPr>
        <w:t>In addition, some of the materials used in PAA’s business are imported. Existing and future import duties and quotas could materially increase PAA’s costs of procuring imported or domestic steel and/or create shortages or difficulties in procuring sufficient quantities of steel meeting PAA’s required technical specifications. A material increase in PAA’s costs of construction and maintenance or any significant delays in its ability to complete its infrastructure projects could have a material adverse effect on PAA’s financial position, results of operations and cash flows.</w:t>
      </w:r>
    </w:p>
    <w:p>
      <w:pPr>
        <w:spacing w:after="0" w:line="172" w:lineRule="exact"/>
        <w:rPr>
          <w:sz w:val="20"/>
          <w:szCs w:val="20"/>
          <w:color w:val="auto"/>
        </w:rPr>
      </w:pPr>
    </w:p>
    <w:p>
      <w:pPr>
        <w:ind w:right="520"/>
        <w:spacing w:after="0" w:line="300" w:lineRule="auto"/>
        <w:rPr>
          <w:sz w:val="20"/>
          <w:szCs w:val="20"/>
          <w:color w:val="auto"/>
        </w:rPr>
      </w:pPr>
      <w:r>
        <w:rPr>
          <w:rFonts w:ascii="Arial" w:cs="Arial" w:eastAsia="Arial" w:hAnsi="Arial"/>
          <w:sz w:val="19"/>
          <w:szCs w:val="19"/>
          <w:b w:val="1"/>
          <w:bCs w:val="1"/>
          <w:i w:val="1"/>
          <w:iCs w:val="1"/>
          <w:color w:val="auto"/>
        </w:rPr>
        <w:t>The pace of development of natural gas infrastructure could have an adverse impact on expected crude oil production growth in the Permian Basin.</w:t>
      </w:r>
    </w:p>
    <w:p>
      <w:pPr>
        <w:spacing w:after="0" w:line="163" w:lineRule="exact"/>
        <w:rPr>
          <w:sz w:val="20"/>
          <w:szCs w:val="20"/>
          <w:color w:val="auto"/>
        </w:rPr>
      </w:pPr>
    </w:p>
    <w:p>
      <w:pPr>
        <w:ind w:right="80" w:firstLine="702"/>
        <w:spacing w:after="0" w:line="263" w:lineRule="auto"/>
        <w:rPr>
          <w:sz w:val="20"/>
          <w:szCs w:val="20"/>
          <w:color w:val="auto"/>
        </w:rPr>
      </w:pPr>
      <w:r>
        <w:rPr>
          <w:rFonts w:ascii="Arial" w:cs="Arial" w:eastAsia="Arial" w:hAnsi="Arial"/>
          <w:sz w:val="19"/>
          <w:szCs w:val="19"/>
          <w:color w:val="auto"/>
        </w:rPr>
        <w:t>In certain areas where PAA operates (e.g., the Permian Basin), development of natural gas infrastructure is or may be required to increase accessible supply in order to meet projected demand. Slowdowns in the development of such natural gas infrastructure, whether due to the regulatory environment, permitting process delays or lower financial investment by producers, could have an adverse impact on expected crude oil production growth. In turn, such limitations could lead to lower volumes of crude oil that PAA purchases in connection with its operations and reduced throughput on its pipelines and at its other facilities, which, depending on the impact to production growth, could have a material adverse effect on PAA’s financial position, results of operations and cash flows.</w:t>
      </w:r>
    </w:p>
    <w:p>
      <w:pPr>
        <w:sectPr>
          <w:pgSz w:w="11880" w:h="15480" w:orient="portrait"/>
          <w:cols w:equalWidth="0" w:num="1">
            <w:col w:w="9960"/>
          </w:cols>
          <w:pgMar w:left="940" w:top="66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ectPr>
          <w:pgSz w:w="11880" w:h="15480" w:orient="portrait"/>
          <w:cols w:equalWidth="0" w:num="1">
            <w:col w:w="9960"/>
          </w:cols>
          <w:pgMar w:left="940" w:top="669" w:right="980" w:bottom="0" w:gutter="0" w:footer="0" w:header="0"/>
          <w:type w:val="continuous"/>
        </w:sectPr>
      </w:pPr>
    </w:p>
    <w:bookmarkStart w:id="59" w:name="page60"/>
    <w:bookmarkEnd w:id="59"/>
    <w:p>
      <w:pPr>
        <w:spacing w:after="0"/>
        <w:rPr>
          <w:sz w:val="20"/>
          <w:szCs w:val="20"/>
          <w:color w:val="auto"/>
        </w:rPr>
      </w:pPr>
      <w:r>
        <w:rPr>
          <w:rFonts w:ascii="Arial" w:cs="Arial" w:eastAsia="Arial" w:hAnsi="Arial"/>
          <w:sz w:val="19"/>
          <w:szCs w:val="19"/>
          <w:b w:val="1"/>
          <w:bCs w:val="1"/>
          <w:color w:val="auto"/>
        </w:rPr>
        <w:t>Risks Related to Laws and Regulations Impacting PAA’s Business</w:t>
      </w:r>
    </w:p>
    <w:p>
      <w:pPr>
        <w:spacing w:after="0" w:line="249"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i w:val="1"/>
          <w:iCs w:val="1"/>
          <w:color w:val="auto"/>
        </w:rPr>
        <w:t>PAA’s operations are subject to laws and regulations relating to protection of the environment (people, property and natural resources), operational safety, climate change and related matters that may expose it to significant costs and liabilities. The current laws and regulations affecting PAA’s business are subject to change and in the future PAA may be subject to additional laws, executive orders and regulations, which could adversely impact PAA’s business.</w:t>
      </w:r>
    </w:p>
    <w:p>
      <w:pPr>
        <w:spacing w:after="0" w:line="161" w:lineRule="exact"/>
        <w:rPr>
          <w:sz w:val="20"/>
          <w:szCs w:val="20"/>
          <w:color w:val="auto"/>
        </w:rPr>
      </w:pPr>
    </w:p>
    <w:p>
      <w:pPr>
        <w:ind w:right="80" w:firstLine="702"/>
        <w:spacing w:after="0" w:line="273" w:lineRule="auto"/>
        <w:rPr>
          <w:sz w:val="20"/>
          <w:szCs w:val="20"/>
          <w:color w:val="auto"/>
        </w:rPr>
      </w:pPr>
      <w:r>
        <w:rPr>
          <w:rFonts w:ascii="Arial" w:cs="Arial" w:eastAsia="Arial" w:hAnsi="Arial"/>
          <w:sz w:val="18"/>
          <w:szCs w:val="18"/>
          <w:color w:val="auto"/>
        </w:rPr>
        <w:t>PAA’s operations involving the storage, treatment, processing, and transportation of liquid hydrocarbons, including crude oil, NGL and refined products, are subject to stringent federal, state, and local laws and regulations governing the discharge of materials into the environment. PAA’s operations are also subject to laws and regulations relating to protection of the environment, natural resources, operational safety, climate change and related matters. Compliance with these laws and regulations may increase its overall cost of doing business, including its capital costs to construct, maintain and upgrade equipment and facilities. Also, new or additional laws and regulations, new interpretations of existing requirements or changes in PAA’s operations could trigger new permitting requirements applicable to its operations, which could result in increased costs or delays of, or denial of rights to conduct, PAA’s development programs. The failure to comply with any such laws and regulations could result in the assessment of administrative, civil, and criminal penalties, the imposition of investigatory or remedial obligations or the incurrence of capital expenditures. Any such failure could also result in the imposition of restrictions, delays or cancellations in the permitting or performance of projects, or the issuance of injunctions that may subject PAA to additional operational requirements and constraints, or claims of damages to property or persons. The laws and regulations applicable to PAA’s operations are subject to change and interpretation by the relevant governmental agency, including the possibility that exemptions it currently qualifies for may be modified or changed in ways that require PAA to incur significant additional compliance costs. PAA’s business and operations may also become subject to new or additional laws or regulations. For example, President Biden has made the combat of climate change arising from GHG emissions a priority under his Administration and has issued, and may continue to issue, executive orders or other regulatory initiatives in pursuit of his regulatory agenda that could curtail oil and natural gas production and transportation. Potential examples include laws, rules, executive orders or regulations that limit fracturing of oil and natural gas wells, restrictions on flaring and venting during natural gas production on federal properties, limitations or bans on oil and gas leases on federal lands and offshore waters, increased requirements for construction and permitting of pipeline infrastructure and LNG export facilities, and further restrictions on GHG emissions from oil and gas facilities. Any new laws, executive orders or regulations, or changes to or interpretations of existing laws or regulations, adverse to PAA could have a material adverse effect on its financial position, results of operations and cash flows.</w:t>
      </w:r>
    </w:p>
    <w:p>
      <w:pPr>
        <w:spacing w:after="0" w:line="199" w:lineRule="exact"/>
        <w:rPr>
          <w:sz w:val="20"/>
          <w:szCs w:val="20"/>
          <w:color w:val="auto"/>
        </w:rPr>
      </w:pPr>
    </w:p>
    <w:p>
      <w:pPr>
        <w:ind w:firstLine="702"/>
        <w:spacing w:after="0" w:line="275" w:lineRule="auto"/>
        <w:rPr>
          <w:sz w:val="20"/>
          <w:szCs w:val="20"/>
          <w:color w:val="auto"/>
        </w:rPr>
      </w:pPr>
      <w:r>
        <w:rPr>
          <w:rFonts w:ascii="Arial" w:cs="Arial" w:eastAsia="Arial" w:hAnsi="Arial"/>
          <w:sz w:val="18"/>
          <w:szCs w:val="18"/>
          <w:color w:val="auto"/>
        </w:rPr>
        <w:t>PAA has a history of making incremental additions to the miles of pipelines it owns, both through acquisitions and investment capital projects. PAA has also increased its terminal and storage capacity and operates several facilities on or near navigable waters and domestic water supplies. Although PAA has implemented programs intended to maintain the integrity of its assets (discussed below), as it increases the capacity of its existing assets or acquires additional assets it is at risk for an increase in the number and/or volume of releases of liquid hydrocarbons into the environment. These releases expose PAA to potentially substantial expense, including clean-up and remediation costs, fines and penalties, and third-party claims for personal injury or property damage related to past or future releases. Some of these expenses could increase by amounts disproportionately higher than the relative increase in pipeline mileage and the increase in revenues associated therewith. PAA’s refined products terminal assets are also subject to significant compliance costs and liabilities. In addition, because of the increased volatility of refined products and their tendency to migrate farther and faster than crude oil when released,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PAA’s results of operations.</w:t>
      </w:r>
    </w:p>
    <w:p>
      <w:pPr>
        <w:spacing w:after="0" w:line="192" w:lineRule="exact"/>
        <w:rPr>
          <w:sz w:val="20"/>
          <w:szCs w:val="20"/>
          <w:color w:val="auto"/>
        </w:rPr>
      </w:pPr>
    </w:p>
    <w:p>
      <w:pPr>
        <w:ind w:right="120" w:firstLine="702"/>
        <w:spacing w:after="0" w:line="280" w:lineRule="auto"/>
        <w:rPr>
          <w:sz w:val="20"/>
          <w:szCs w:val="20"/>
          <w:color w:val="auto"/>
        </w:rPr>
      </w:pPr>
      <w:r>
        <w:rPr>
          <w:rFonts w:ascii="Arial" w:cs="Arial" w:eastAsia="Arial" w:hAnsi="Arial"/>
          <w:sz w:val="18"/>
          <w:szCs w:val="18"/>
          <w:color w:val="auto"/>
        </w:rPr>
        <w:t>PAA currently devotes substantial resources to comply with DOT-mandated pipeline integrity rules. The DOT regulations include requirements for the establishment of pipeline integrity management programs and for protection of HCAs where a pipeline leak or rupture could produce significant adverse consequences. Pipeline safety regulations are revised frequently. For more information, please see our regulatory disclosure entitled “Pipeline Safety/Integrity Management.” The adoption of new regulations requiring more comprehensive or stringent safety standards could require PAA to install new or modified safety controls, pursue new capital projects, or conduct maintenance programs on an accelerated basis, all of which could require PAA to incur increased operational costs that could be significant.</w:t>
      </w:r>
    </w:p>
    <w:p>
      <w:pPr>
        <w:sectPr>
          <w:pgSz w:w="11880" w:h="15480" w:orient="portrait"/>
          <w:cols w:equalWidth="0" w:num="1">
            <w:col w:w="9980"/>
          </w:cols>
          <w:pgMar w:left="940" w:top="90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880" w:h="15480" w:orient="portrait"/>
          <w:cols w:equalWidth="0" w:num="1">
            <w:col w:w="9980"/>
          </w:cols>
          <w:pgMar w:left="940" w:top="903" w:right="960" w:bottom="0" w:gutter="0" w:footer="0" w:header="0"/>
          <w:type w:val="continuous"/>
        </w:sectPr>
      </w:pPr>
    </w:p>
    <w:bookmarkStart w:id="60" w:name="page61"/>
    <w:bookmarkEnd w:id="60"/>
    <w:p>
      <w:pPr>
        <w:ind w:right="120" w:firstLine="702"/>
        <w:spacing w:after="0" w:line="274" w:lineRule="auto"/>
        <w:rPr>
          <w:sz w:val="20"/>
          <w:szCs w:val="20"/>
          <w:color w:val="auto"/>
        </w:rPr>
      </w:pPr>
      <w:r>
        <w:rPr>
          <w:rFonts w:ascii="Arial" w:cs="Arial" w:eastAsia="Arial" w:hAnsi="Arial"/>
          <w:sz w:val="18"/>
          <w:szCs w:val="18"/>
          <w:color w:val="auto"/>
        </w:rPr>
        <w:t>Although PAA continues to focus on pipeline and facility integrity management as a primary operational emphasis, doing so requires substantial time and resources and cannot eliminate all risk of releases. PAA has an internal review process pursuant to which it examines various aspects of its pipeline and gathering systems that are not currently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PAA may elect (as a result of its own internal initiatives) to spend substantial sums to enhance the integrity of and upgrade its pipeline systems to maintain environmental compliance and, in some cases, PAA may take pipelines out of service if it believes the cost of upgrades will exceed the value of the pipelines. PAA cannot provide any assurance as to the ultimate amount or timing of future pipeline integrity expenditures but any such expenditures could be significant. See “Environmental — General” in Note 18 to our Consolidated Financial Statements. In addition, despite PAA’s pipeline and facility integrity management efforts, it can provide no assurance that its pipelines and facilities will not experience leaks or releases or that PAA will be able to fully comply with all of the federal, state and local laws and regulations applicable to the operation of PAA’s pipelines or facilities; any such leaks or releases could be material and could have a significant adverse impact on PAA’s reputation, financial position, cash flows and ability to pay or increase distributions to its unitholders.</w:t>
      </w:r>
    </w:p>
    <w:p>
      <w:pPr>
        <w:spacing w:after="0" w:line="190" w:lineRule="exact"/>
        <w:rPr>
          <w:sz w:val="20"/>
          <w:szCs w:val="20"/>
          <w:color w:val="auto"/>
        </w:rPr>
      </w:pPr>
    </w:p>
    <w:p>
      <w:pPr>
        <w:ind w:right="320"/>
        <w:spacing w:after="0" w:line="330" w:lineRule="auto"/>
        <w:rPr>
          <w:sz w:val="20"/>
          <w:szCs w:val="20"/>
          <w:color w:val="auto"/>
        </w:rPr>
      </w:pPr>
      <w:r>
        <w:rPr>
          <w:rFonts w:ascii="Arial" w:cs="Arial" w:eastAsia="Arial" w:hAnsi="Arial"/>
          <w:sz w:val="18"/>
          <w:szCs w:val="18"/>
          <w:b w:val="1"/>
          <w:bCs w:val="1"/>
          <w:i w:val="1"/>
          <w:iCs w:val="1"/>
          <w:color w:val="auto"/>
        </w:rPr>
        <w:t>PAA’s assets are subject to federal, state and provincial regulation. Rate regulation or a successful challenge to the rates PAA charges on its U.S. and Canadian pipeline systems may reduce the amount of cash it generates.</w:t>
      </w:r>
    </w:p>
    <w:p>
      <w:pPr>
        <w:spacing w:after="0" w:line="140" w:lineRule="exact"/>
        <w:rPr>
          <w:sz w:val="20"/>
          <w:szCs w:val="20"/>
          <w:color w:val="auto"/>
        </w:rPr>
      </w:pPr>
    </w:p>
    <w:p>
      <w:pPr>
        <w:ind w:right="180" w:firstLine="702"/>
        <w:spacing w:after="0" w:line="266" w:lineRule="auto"/>
        <w:rPr>
          <w:sz w:val="20"/>
          <w:szCs w:val="20"/>
          <w:color w:val="auto"/>
        </w:rPr>
      </w:pPr>
      <w:r>
        <w:rPr>
          <w:rFonts w:ascii="Arial" w:cs="Arial" w:eastAsia="Arial" w:hAnsi="Arial"/>
          <w:sz w:val="19"/>
          <w:szCs w:val="19"/>
          <w:color w:val="auto"/>
        </w:rPr>
        <w:t>PAA’s U.S. interstate common carrier liquids pipelines are subject to regulation by various federal regulatory agencies, including the FERC under the ICA. The ICA requires that tariff rates and terms and conditions of service for liquids pipelines be just and reasonable and not unduly discriminatory. PAA is also subject to the Pipeline Safety Regulations of the DOT. PAA’s intrastate pipeline transportation activities are subject to various state laws and regulations as well as orders of state regulatory bodies.</w:t>
      </w:r>
    </w:p>
    <w:p>
      <w:pPr>
        <w:spacing w:after="0" w:line="193" w:lineRule="exact"/>
        <w:rPr>
          <w:sz w:val="20"/>
          <w:szCs w:val="20"/>
          <w:color w:val="auto"/>
        </w:rPr>
      </w:pPr>
    </w:p>
    <w:p>
      <w:pPr>
        <w:ind w:right="200" w:firstLine="702"/>
        <w:spacing w:after="0" w:line="284" w:lineRule="auto"/>
        <w:rPr>
          <w:sz w:val="20"/>
          <w:szCs w:val="20"/>
          <w:color w:val="auto"/>
        </w:rPr>
      </w:pPr>
      <w:r>
        <w:rPr>
          <w:rFonts w:ascii="Arial" w:cs="Arial" w:eastAsia="Arial" w:hAnsi="Arial"/>
          <w:sz w:val="18"/>
          <w:szCs w:val="18"/>
          <w:color w:val="auto"/>
        </w:rPr>
        <w:t>For PAA’s U.S. interstate common carrier liquids pipelines subject to FERC regulation under the ICA, shippers may protest its pipeline tariff filings or file complaints against its existing rates or complaints alleging that it is engaging in discriminatory behavior. The FERC can also investigate on its own initiative. Under certain circumstances, the FERC could limit PAA’s ability to set rates based on its costs, or could order PAA to reduce its rates and could require the payment of reparations to complaining shippers for up to two years prior to the complaint.</w:t>
      </w:r>
    </w:p>
    <w:p>
      <w:pPr>
        <w:spacing w:after="0" w:line="179" w:lineRule="exact"/>
        <w:rPr>
          <w:sz w:val="20"/>
          <w:szCs w:val="20"/>
          <w:color w:val="auto"/>
        </w:rPr>
      </w:pPr>
    </w:p>
    <w:p>
      <w:pPr>
        <w:ind w:right="100" w:firstLine="702"/>
        <w:spacing w:after="0" w:line="279" w:lineRule="auto"/>
        <w:rPr>
          <w:sz w:val="20"/>
          <w:szCs w:val="20"/>
          <w:color w:val="auto"/>
        </w:rPr>
      </w:pPr>
      <w:r>
        <w:rPr>
          <w:rFonts w:ascii="Arial" w:cs="Arial" w:eastAsia="Arial" w:hAnsi="Arial"/>
          <w:sz w:val="18"/>
          <w:szCs w:val="18"/>
          <w:color w:val="auto"/>
        </w:rPr>
        <w:t>In addition, PAA routinely monitors the public filings and proceedings of other parties with the FERC and other regulatory agencies in an effort to identify issues that could potentially impact its business. Under certain circumstances PAA may choose to intervene in such third-party proceedings in order to express its support for, or its opposition to, various issues raised by the parties to such proceedings. For example, if PAA believes that a petition filed with, or order issued by, the FERC is improper, overbroad or otherwise flawed, PAA may attempt to intervene in such proceedings for the purpose of protesting such petition or order and requesting appropriate action such as a clarification, rehearing or other remedy. Despite such efforts, PAA can provide no assurance that the FERC and other agencies that regulate its business will not issue future orders or declarations that increase its costs or otherwise adversely affect its operations.</w:t>
      </w:r>
    </w:p>
    <w:p>
      <w:pPr>
        <w:spacing w:after="0" w:line="181" w:lineRule="exact"/>
        <w:rPr>
          <w:sz w:val="20"/>
          <w:szCs w:val="20"/>
          <w:color w:val="auto"/>
        </w:rPr>
      </w:pPr>
    </w:p>
    <w:p>
      <w:pPr>
        <w:ind w:firstLine="702"/>
        <w:spacing w:after="0" w:line="277" w:lineRule="auto"/>
        <w:rPr>
          <w:sz w:val="20"/>
          <w:szCs w:val="20"/>
          <w:color w:val="auto"/>
        </w:rPr>
      </w:pPr>
      <w:r>
        <w:rPr>
          <w:rFonts w:ascii="Arial" w:cs="Arial" w:eastAsia="Arial" w:hAnsi="Arial"/>
          <w:sz w:val="18"/>
          <w:szCs w:val="18"/>
          <w:color w:val="auto"/>
        </w:rPr>
        <w:t>PAA’s Canadian pipelines are subject to regulation by the CER and by provincial authorities. Under the Canadian Energy Regulator Act, the CER could investigate the tariff rates or the terms and conditions of service relating to a jurisdictional pipeline on its own initiative upon the filing of a toll or tariff application, or upon the filing of a written complaint. If the CER found the rates or terms of service relating to such pipeline to be unjust or unreasonable or unjustly discriminatory, the CER could require PAA to change its rates, provide access to other shippers, or change its terms of service. A provincial authority could, on the application of a shipper or other interested party, investigate the tariff rates or PAA’s terms and conditions of service relating to its provincially-regulated proprietary pipelines. If it found PAA’s rates or terms of service to be contrary to statutory requirements, it could impose conditions it considers appropriate. A provincial authority could declare a pipeline to be a common carrier pipeline, and require PAA to change its rates, provide access to other shippers, or otherwise alter its terms of service. Any reduction in PAA’s tariff rates would result in lower revenue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Some of PAA’s operations cross the U.S./Canada border and are subject to cross-border regulation.</w:t>
      </w:r>
    </w:p>
    <w:p>
      <w:pPr>
        <w:spacing w:after="0" w:line="257" w:lineRule="exact"/>
        <w:rPr>
          <w:sz w:val="20"/>
          <w:szCs w:val="20"/>
          <w:color w:val="auto"/>
        </w:rPr>
      </w:pPr>
    </w:p>
    <w:p>
      <w:pPr>
        <w:ind w:right="140" w:firstLine="702"/>
        <w:spacing w:after="0" w:line="266" w:lineRule="auto"/>
        <w:rPr>
          <w:sz w:val="20"/>
          <w:szCs w:val="20"/>
          <w:color w:val="auto"/>
        </w:rPr>
      </w:pPr>
      <w:r>
        <w:rPr>
          <w:rFonts w:ascii="Arial" w:cs="Arial" w:eastAsia="Arial" w:hAnsi="Arial"/>
          <w:sz w:val="19"/>
          <w:szCs w:val="19"/>
          <w:color w:val="auto"/>
        </w:rPr>
        <w:t>PAA’s cross border activities subject it to regulatory matters, including import and export licenses, tariffs, Canadian and U.S. customs and tax issues and toxic substance certifications. Such regulations include the Short Supply Controls of the EAA, the USMCA and the TSCA. Violations of these licensing, tariff and tax reporting requirements could result in the imposition of significant administrative, civil and criminal penalties. Furthermore, Presidential Permits that allow cross-border movements of crude oil may be revoked or terminated at any time.</w:t>
      </w:r>
    </w:p>
    <w:p>
      <w:pPr>
        <w:sectPr>
          <w:pgSz w:w="11880" w:h="15480" w:orient="portrait"/>
          <w:cols w:equalWidth="0" w:num="1">
            <w:col w:w="10000"/>
          </w:cols>
          <w:pgMar w:left="940" w:top="676" w:right="940" w:bottom="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880" w:h="15480" w:orient="portrait"/>
          <w:cols w:equalWidth="0" w:num="1">
            <w:col w:w="10000"/>
          </w:cols>
          <w:pgMar w:left="940" w:top="676" w:right="940" w:bottom="0" w:gutter="0" w:footer="0" w:header="0"/>
          <w:type w:val="continuous"/>
        </w:sectPr>
      </w:pPr>
    </w:p>
    <w:bookmarkStart w:id="61" w:name="page62"/>
    <w:bookmarkEnd w:id="61"/>
    <w:p>
      <w:pPr>
        <w:spacing w:after="0"/>
        <w:rPr>
          <w:sz w:val="20"/>
          <w:szCs w:val="20"/>
          <w:color w:val="auto"/>
        </w:rPr>
      </w:pPr>
      <w:r>
        <w:rPr>
          <w:rFonts w:ascii="Arial" w:cs="Arial" w:eastAsia="Arial" w:hAnsi="Arial"/>
          <w:sz w:val="17"/>
          <w:szCs w:val="17"/>
          <w:b w:val="1"/>
          <w:bCs w:val="1"/>
          <w:i w:val="1"/>
          <w:iCs w:val="1"/>
          <w:color w:val="auto"/>
        </w:rPr>
        <w:t>PAA’s purchases and sales of crude oil, natural gas and NGL, and hedging activities, expose it to potential regulatory risks.</w:t>
      </w:r>
    </w:p>
    <w:p>
      <w:pPr>
        <w:spacing w:after="0" w:line="280" w:lineRule="exact"/>
        <w:rPr>
          <w:sz w:val="20"/>
          <w:szCs w:val="20"/>
          <w:color w:val="auto"/>
        </w:rPr>
      </w:pPr>
    </w:p>
    <w:p>
      <w:pPr>
        <w:ind w:firstLine="702"/>
        <w:spacing w:after="0" w:line="277" w:lineRule="auto"/>
        <w:rPr>
          <w:sz w:val="20"/>
          <w:szCs w:val="20"/>
          <w:color w:val="auto"/>
        </w:rPr>
      </w:pPr>
      <w:r>
        <w:rPr>
          <w:rFonts w:ascii="Arial" w:cs="Arial" w:eastAsia="Arial" w:hAnsi="Arial"/>
          <w:sz w:val="18"/>
          <w:szCs w:val="18"/>
          <w:color w:val="auto"/>
        </w:rPr>
        <w:t>The FTC, the FERC and the CFTC hold statutory authority to monitor certain segments of the physical and futures energy commodities markets. These agencies have imposed broad regulations prohibiting fraud and manipulation of such markets. With regard to PAA’s physical purchases and sales of crude oil, natural gas or NGL and any related hedging activities that it undertakes, PAA is required to observe the market-related regulations enforced by these agencies, which hold substantial enforcement authority. PAA’s purchases and sales may also be subject to certain reporting and other requirements. Additionally, to the extent that PAA enters into transportation contracts with pipelines that are subject to FERC regulation, it is subject to FERC requirements related to the use of such capacity. Any failure on PAA’s part to comply with the regulations and policies of the FERC, the FTC or the CFTC could result in the imposition of civil and criminal penalties. Failure to comply with such regulations, as interpreted and enforced, could have a material adverse effect on PAA’s business, results of operations, financial condition and its ability to make cash distributions to its unitholders.</w:t>
      </w:r>
    </w:p>
    <w:p>
      <w:pPr>
        <w:spacing w:after="0" w:line="178" w:lineRule="exact"/>
        <w:rPr>
          <w:sz w:val="20"/>
          <w:szCs w:val="20"/>
          <w:color w:val="auto"/>
        </w:rPr>
      </w:pPr>
    </w:p>
    <w:p>
      <w:pPr>
        <w:ind w:right="20"/>
        <w:spacing w:after="0" w:line="280" w:lineRule="auto"/>
        <w:rPr>
          <w:sz w:val="20"/>
          <w:szCs w:val="20"/>
          <w:color w:val="auto"/>
        </w:rPr>
      </w:pPr>
      <w:r>
        <w:rPr>
          <w:rFonts w:ascii="Arial" w:cs="Arial" w:eastAsia="Arial" w:hAnsi="Arial"/>
          <w:sz w:val="19"/>
          <w:szCs w:val="19"/>
          <w:b w:val="1"/>
          <w:bCs w:val="1"/>
          <w:i w:val="1"/>
          <w:iCs w:val="1"/>
          <w:color w:val="auto"/>
        </w:rPr>
        <w:t>The enactment and implementation of derivatives legislation could have an adverse impact on PAA’s ability to use derivative instruments to reduce the effect of commodity price, interest rate and other risks associated with its business and increase the amount of working capital required to conduct these hedging activities.</w:t>
      </w:r>
    </w:p>
    <w:p>
      <w:pPr>
        <w:spacing w:after="0" w:line="178" w:lineRule="exact"/>
        <w:rPr>
          <w:sz w:val="20"/>
          <w:szCs w:val="20"/>
          <w:color w:val="auto"/>
        </w:rPr>
      </w:pPr>
    </w:p>
    <w:p>
      <w:pPr>
        <w:ind w:firstLine="702"/>
        <w:spacing w:after="0" w:line="266" w:lineRule="auto"/>
        <w:rPr>
          <w:sz w:val="20"/>
          <w:szCs w:val="20"/>
          <w:color w:val="auto"/>
        </w:rPr>
      </w:pPr>
      <w:r>
        <w:rPr>
          <w:rFonts w:ascii="Arial" w:cs="Arial" w:eastAsia="Arial" w:hAnsi="Arial"/>
          <w:sz w:val="19"/>
          <w:szCs w:val="19"/>
          <w:color w:val="auto"/>
        </w:rPr>
        <w:t>The Dodd-Frank Wall Street Reform and Consumer Protection Act (the “Dodd-Frank Act”) established federal oversight and regulation of derivative markets and entities, such as PAA, that participate in those markets. The Dodd-Frank Act requires the CFTC and the SEC to promulgate rules and regulations implementing the Dodd-Frank Act. Although the CFTC has finalized certain regulations, others remain to be finalized or implemented and it is not possible at this time to predict when this will be accomplished.</w:t>
      </w:r>
    </w:p>
    <w:p>
      <w:pPr>
        <w:spacing w:after="0" w:line="193" w:lineRule="exact"/>
        <w:rPr>
          <w:sz w:val="20"/>
          <w:szCs w:val="20"/>
          <w:color w:val="auto"/>
        </w:rPr>
      </w:pPr>
    </w:p>
    <w:p>
      <w:pPr>
        <w:ind w:right="120" w:firstLine="702"/>
        <w:spacing w:after="0" w:line="295" w:lineRule="auto"/>
        <w:rPr>
          <w:sz w:val="20"/>
          <w:szCs w:val="20"/>
          <w:color w:val="auto"/>
        </w:rPr>
      </w:pPr>
      <w:r>
        <w:rPr>
          <w:rFonts w:ascii="Arial" w:cs="Arial" w:eastAsia="Arial" w:hAnsi="Arial"/>
          <w:sz w:val="17"/>
          <w:szCs w:val="17"/>
          <w:color w:val="auto"/>
        </w:rPr>
        <w:t>The CFTC has designated certain interest rate swaps and credit default swaps for mandatory clearing, and the associated rules require PAA, in connection with covered derivative activities, to comply with clearing and trade-execution requirements or take steps to qualify for an exemption from such requirements. PAA does not utilize credit default swaps and PAA qualifies for, and expects to continue to qualify for, the end-user exception from the mandatory clearing requirements for swaps entered into to hedge its interest rate risks. Should the CFTC designate commodity derivatives for mandatory clearing, PAA would expect to qualify for an end-user exception from the mandatory clearing requirements for swaps entered into to hedge its commodity price risk. However, the majority of PAA’s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171" w:lineRule="exact"/>
        <w:rPr>
          <w:sz w:val="20"/>
          <w:szCs w:val="20"/>
          <w:color w:val="auto"/>
        </w:rPr>
      </w:pPr>
    </w:p>
    <w:p>
      <w:pPr>
        <w:ind w:right="60" w:firstLine="702"/>
        <w:spacing w:after="0" w:line="263" w:lineRule="auto"/>
        <w:rPr>
          <w:sz w:val="20"/>
          <w:szCs w:val="20"/>
          <w:color w:val="auto"/>
        </w:rPr>
      </w:pPr>
      <w:r>
        <w:rPr>
          <w:rFonts w:ascii="Arial" w:cs="Arial" w:eastAsia="Arial" w:hAnsi="Arial"/>
          <w:sz w:val="19"/>
          <w:szCs w:val="19"/>
          <w:color w:val="auto"/>
        </w:rPr>
        <w:t>Certain banking regulators and the CFTC have adopted final rules establishing minimum margin requirements for uncleared swaps. Although PAA qualifies for the end-user exception from margin requirements for swaps entered into to hedge commercial risks, if any of PAA’s swaps do not qualify for the commercial end-user exception, or if PAA is otherwise required to post additional cash margin or collateral it could reduce PAA’s ability to execute hedges necessary to reduce commodity price exposures and protect cash flows. Posting of additional cash margin or collateral could affect PAA’s liquidity (defined as unrestricted cash on hand plus available capacity under its credit facilities) and reduce PAA’s ability to use cash for capital expenditures or other partnership purposes.</w:t>
      </w:r>
    </w:p>
    <w:p>
      <w:pPr>
        <w:spacing w:after="0" w:line="196" w:lineRule="exact"/>
        <w:rPr>
          <w:sz w:val="20"/>
          <w:szCs w:val="20"/>
          <w:color w:val="auto"/>
        </w:rPr>
      </w:pPr>
    </w:p>
    <w:p>
      <w:pPr>
        <w:ind w:right="40" w:firstLine="702"/>
        <w:spacing w:after="0" w:line="299" w:lineRule="auto"/>
        <w:rPr>
          <w:sz w:val="20"/>
          <w:szCs w:val="20"/>
          <w:color w:val="auto"/>
        </w:rPr>
      </w:pPr>
      <w:r>
        <w:rPr>
          <w:rFonts w:ascii="Arial" w:cs="Arial" w:eastAsia="Arial" w:hAnsi="Arial"/>
          <w:sz w:val="17"/>
          <w:szCs w:val="17"/>
          <w:color w:val="auto"/>
        </w:rPr>
        <w:t>Even if PAA itself is not required to post additional cash margin or collateral for its derivative contracts, the banks and other derivatives dealers who are PAA’s contractual counterparties will be required to comply with other new requirements under the Dodd-Frank Act and related rules. The costs of such compliance may be passed on to customers such as PAA, thus decreasing the benefits to PAA of hedging transactions or reducing its profitability. In addition, implementation of the Dodd-Frank Act and related rules and regulations could reduce the overall liquidity and depth of the markets for financial and other derivatives PAA utilizes in connection with its business, which could expose PAA to additional risks or limit the opportunities PAA is able to capture by limiting the extent to which PAA is able to execute its hedging strategies.</w:t>
      </w:r>
    </w:p>
    <w:p>
      <w:pPr>
        <w:spacing w:after="0" w:line="167" w:lineRule="exact"/>
        <w:rPr>
          <w:sz w:val="20"/>
          <w:szCs w:val="20"/>
          <w:color w:val="auto"/>
        </w:rPr>
      </w:pPr>
    </w:p>
    <w:p>
      <w:pPr>
        <w:jc w:val="both"/>
        <w:ind w:right="60" w:firstLine="702"/>
        <w:spacing w:after="0" w:line="323" w:lineRule="auto"/>
        <w:rPr>
          <w:sz w:val="20"/>
          <w:szCs w:val="20"/>
          <w:color w:val="auto"/>
        </w:rPr>
      </w:pPr>
      <w:r>
        <w:rPr>
          <w:rFonts w:ascii="Arial" w:cs="Arial" w:eastAsia="Arial" w:hAnsi="Arial"/>
          <w:sz w:val="17"/>
          <w:szCs w:val="17"/>
          <w:color w:val="auto"/>
        </w:rPr>
        <w:t>Finally, the Dodd-Frank Act was intended, in part, to reduce the volatility of oil and gas prices, which some legislators attributed to speculative trading in derivatives and commodity instruments related to oil and gas. PAA’s financial results could be adversely affected if a consequence of the Dodd-Frank Act and implementing regulations is lower commodity prices.</w:t>
      </w:r>
    </w:p>
    <w:p>
      <w:pPr>
        <w:sectPr>
          <w:pgSz w:w="11880" w:h="15480" w:orient="portrait"/>
          <w:cols w:equalWidth="0" w:num="1">
            <w:col w:w="10000"/>
          </w:cols>
          <w:pgMar w:left="940" w:top="90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880" w:h="15480" w:orient="portrait"/>
          <w:cols w:equalWidth="0" w:num="1">
            <w:col w:w="10000"/>
          </w:cols>
          <w:pgMar w:left="940" w:top="903" w:right="940" w:bottom="0" w:gutter="0" w:footer="0" w:header="0"/>
          <w:type w:val="continuous"/>
        </w:sectPr>
      </w:pPr>
    </w:p>
    <w:bookmarkStart w:id="62" w:name="page63"/>
    <w:bookmarkEnd w:id="62"/>
    <w:p>
      <w:pPr>
        <w:ind w:firstLine="702"/>
        <w:spacing w:after="0" w:line="262" w:lineRule="auto"/>
        <w:rPr>
          <w:sz w:val="20"/>
          <w:szCs w:val="20"/>
          <w:color w:val="auto"/>
        </w:rPr>
      </w:pPr>
      <w:r>
        <w:rPr>
          <w:rFonts w:ascii="Arial" w:cs="Arial" w:eastAsia="Arial" w:hAnsi="Arial"/>
          <w:sz w:val="19"/>
          <w:szCs w:val="19"/>
          <w:color w:val="auto"/>
        </w:rPr>
        <w:t>The full impact of the Dodd-Frank Act and related regulatory requirements upon PAA’s business will not be known until the regulations are implemented and the market for derivatives contracts has adjusted. The Dodd-Frank Act and any new regulations could significantly increase the cost of derivative contracts, materially alter the terms of derivative contracts, reduce the availability of derivatives to protect against risks PAA encounters, reduce PAA’s ability to monetize or restructure its existing derivative contracts. If PAA reduces its use of derivatives as a result of the Dodd-Frank Act and regulations implementing the Dodd-Frank Act, PAA’s results of operations may become more volatile and its cash flows may be less predictable. Any of these consequences could have a material adverse effect on PAA, its financial condition and its results of operations.</w:t>
      </w:r>
    </w:p>
    <w:p>
      <w:pPr>
        <w:spacing w:after="0" w:line="191" w:lineRule="exact"/>
        <w:rPr>
          <w:sz w:val="20"/>
          <w:szCs w:val="20"/>
          <w:color w:val="auto"/>
        </w:rPr>
      </w:pPr>
    </w:p>
    <w:p>
      <w:pPr>
        <w:ind w:right="280"/>
        <w:spacing w:after="0" w:line="330" w:lineRule="auto"/>
        <w:rPr>
          <w:sz w:val="20"/>
          <w:szCs w:val="20"/>
          <w:color w:val="auto"/>
        </w:rPr>
      </w:pPr>
      <w:r>
        <w:rPr>
          <w:rFonts w:ascii="Arial" w:cs="Arial" w:eastAsia="Arial" w:hAnsi="Arial"/>
          <w:sz w:val="18"/>
          <w:szCs w:val="18"/>
          <w:b w:val="1"/>
          <w:bCs w:val="1"/>
          <w:i w:val="1"/>
          <w:iCs w:val="1"/>
          <w:color w:val="auto"/>
        </w:rPr>
        <w:t>Legislation, executive orders and regulatory initiatives relating to climate change could have a material adverse effect on PAA’s business, demand for its services, financial condition, results of operations and cash flows.</w:t>
      </w:r>
    </w:p>
    <w:p>
      <w:pPr>
        <w:spacing w:after="0" w:line="140" w:lineRule="exact"/>
        <w:rPr>
          <w:sz w:val="20"/>
          <w:szCs w:val="20"/>
          <w:color w:val="auto"/>
        </w:rPr>
      </w:pPr>
    </w:p>
    <w:p>
      <w:pPr>
        <w:ind w:right="20" w:firstLine="702"/>
        <w:spacing w:after="0" w:line="261" w:lineRule="auto"/>
        <w:rPr>
          <w:sz w:val="20"/>
          <w:szCs w:val="20"/>
          <w:color w:val="auto"/>
        </w:rPr>
      </w:pPr>
      <w:r>
        <w:rPr>
          <w:rFonts w:ascii="Arial" w:cs="Arial" w:eastAsia="Arial" w:hAnsi="Arial"/>
          <w:sz w:val="19"/>
          <w:szCs w:val="19"/>
          <w:color w:val="auto"/>
        </w:rPr>
        <w:t>The adoption and implementation of any international, federal, regional or state legislation, executive actions, regulations or other regulatory and policy initiatives that impose more stringent standards for GHG emissions, restrict the areas in which the oil and gas industry may produce crude oil and natural gas or generate GHG emissions, increase scrutiny of environmental permitting or delay such permitting reviews, or require enhanced disclosure of such GHG emission and other climate-related information, could result in reduced demand for crude oil and natural gas, and thus PAA’s services, as well as increase its compliance costs. Although it is not possible at this time to predict how legislation or new regulations that may be adopted to address GHG emissions and climate change could impact PAA’s business, any such future laws and regulations could have a material adverse effect on its business, demand for our services, financial condition, results of operations and cash flows.</w:t>
      </w:r>
    </w:p>
    <w:p>
      <w:pPr>
        <w:spacing w:after="0" w:line="194" w:lineRule="exact"/>
        <w:rPr>
          <w:sz w:val="20"/>
          <w:szCs w:val="20"/>
          <w:color w:val="auto"/>
        </w:rPr>
      </w:pPr>
    </w:p>
    <w:p>
      <w:pPr>
        <w:ind w:right="200"/>
        <w:spacing w:after="0" w:line="300" w:lineRule="auto"/>
        <w:rPr>
          <w:sz w:val="20"/>
          <w:szCs w:val="20"/>
          <w:color w:val="auto"/>
        </w:rPr>
      </w:pPr>
      <w:r>
        <w:rPr>
          <w:rFonts w:ascii="Arial" w:cs="Arial" w:eastAsia="Arial" w:hAnsi="Arial"/>
          <w:sz w:val="19"/>
          <w:szCs w:val="19"/>
          <w:b w:val="1"/>
          <w:bCs w:val="1"/>
          <w:i w:val="1"/>
          <w:iCs w:val="1"/>
          <w:color w:val="auto"/>
        </w:rPr>
        <w:t>Legislation, executive orders and regulatory initiatives relating to hydraulic fracturing or other hydrocarbon development activities could reduce domestic production of crude oil and natural gas.</w:t>
      </w:r>
    </w:p>
    <w:p>
      <w:pPr>
        <w:spacing w:after="0" w:line="163" w:lineRule="exact"/>
        <w:rPr>
          <w:sz w:val="20"/>
          <w:szCs w:val="20"/>
          <w:color w:val="auto"/>
        </w:rPr>
      </w:pPr>
    </w:p>
    <w:p>
      <w:pPr>
        <w:ind w:right="20" w:firstLine="702"/>
        <w:spacing w:after="0" w:line="275" w:lineRule="auto"/>
        <w:rPr>
          <w:sz w:val="20"/>
          <w:szCs w:val="20"/>
          <w:color w:val="auto"/>
        </w:rPr>
      </w:pPr>
      <w:r>
        <w:rPr>
          <w:rFonts w:ascii="Arial" w:cs="Arial" w:eastAsia="Arial" w:hAnsi="Arial"/>
          <w:sz w:val="18"/>
          <w:szCs w:val="18"/>
          <w:color w:val="auto"/>
        </w:rPr>
        <w:t>Hydraulic fracturing is an important and common practice that is used to stimulate production of hydrocarbons from unconventional geological formations. The process involves the injection of water, sand and chemicals under pressure into the formation to fracture the surrounding rock and stimulate production, and it is typically regulated by state and provincial oil and gas commissions. Hydraulic fracturing continues to be a controversial practice, resulting in increased scrutiny and regulation of the hydraulic fracturing process, including by federal and state agencies and local municipalities. PAA does not perform hydraulic fracturing, but much of the production that flows on its assets was produced with the benefit of hydraulic fracturing. There have been a variety of legislative and regulatory proposals to prohibit, restrict, or more closely regulate various forms of hydraulic fracturing; for example, the Governor of California issued an order directing the Department of Conservation’s Geologic Energy Management Division to initiate regulatory action to end the issuance of new permits for hydraulic fracturing by early 2024. Moreover, the Biden Administration has pursued policy initiatives that have resulted in temporary suspensions of new oil and gas leasing, more stringent emissions and operating regulations, and increased royalty rates for oil and gas operations on federal lands and waters. These actions, as well as any other legislation, executive orders or regulatory initiatives that curtail hydraulic fracturing or otherwise limit producers’ ability to drill or complete wells could reduce the production of crude oil and natural gas in the United States or Canada, and could thereby result in reduced demand for PAA’s transportation, terminalling and storage services as well as its merchant activities.</w:t>
      </w:r>
    </w:p>
    <w:p>
      <w:pPr>
        <w:spacing w:after="0" w:line="179" w:lineRule="exact"/>
        <w:rPr>
          <w:sz w:val="20"/>
          <w:szCs w:val="20"/>
          <w:color w:val="auto"/>
        </w:rPr>
      </w:pPr>
    </w:p>
    <w:p>
      <w:pPr>
        <w:ind w:right="120"/>
        <w:spacing w:after="0" w:line="325" w:lineRule="auto"/>
        <w:rPr>
          <w:sz w:val="20"/>
          <w:szCs w:val="20"/>
          <w:color w:val="auto"/>
        </w:rPr>
      </w:pPr>
      <w:r>
        <w:rPr>
          <w:rFonts w:ascii="Arial" w:cs="Arial" w:eastAsia="Arial" w:hAnsi="Arial"/>
          <w:sz w:val="17"/>
          <w:szCs w:val="17"/>
          <w:b w:val="1"/>
          <w:bCs w:val="1"/>
          <w:i w:val="1"/>
          <w:iCs w:val="1"/>
          <w:color w:val="auto"/>
        </w:rPr>
        <w:t>Laws and regulations pertaining to the protection of threatened and endangered species or to critical habitat, wetlands and natural resources could delay, restrict or prohibit PAA’s and its customers’ operations and cause PAA or its customers to incur substantial costs that may have a material adverse effect on its results of operations.</w:t>
      </w:r>
    </w:p>
    <w:p>
      <w:pPr>
        <w:spacing w:after="0" w:line="149" w:lineRule="exact"/>
        <w:rPr>
          <w:sz w:val="20"/>
          <w:szCs w:val="20"/>
          <w:color w:val="auto"/>
        </w:rPr>
      </w:pPr>
    </w:p>
    <w:p>
      <w:pPr>
        <w:ind w:right="40" w:firstLine="702"/>
        <w:spacing w:after="0" w:line="275" w:lineRule="auto"/>
        <w:rPr>
          <w:sz w:val="20"/>
          <w:szCs w:val="20"/>
          <w:color w:val="auto"/>
        </w:rPr>
      </w:pPr>
      <w:r>
        <w:rPr>
          <w:rFonts w:ascii="Arial" w:cs="Arial" w:eastAsia="Arial" w:hAnsi="Arial"/>
          <w:sz w:val="18"/>
          <w:szCs w:val="18"/>
          <w:color w:val="auto"/>
        </w:rPr>
        <w:t>In the United States, the Endangered Species Act (“ESA”) and comparable state laws were established to protect endangered and threatened species. Under the ESA, if a species is listed as threatened or endangered, restrictions may be imposed on activities that have the potential to adversely affect that species’ habitat. Similar protections are given to migratory birds under the Migratory Bird Treaty Act, Canada’s Species at Risk Act, and analogous provincial laws and regulations. Some of PAA’s operations are conducted in areas where protected species or their habitats are known to exist, and from time to time PAA’s development plans have been impacted in these areas. PAA may be obligated to develop and implement plans to avoid potential adverse effects to protected species and their habitats, and PAA may be delayed, restricted or prohibited from conducting operations in certain locations or during certain seasons, such as breeding and nesting seasons, when its operations could have an adverse effect on the species. Additionally, the designation of previously unprotected species or the re-designation of under-protected species as threatened or endangered in areas where PAA or its customers conduct operations could cause PAA to incur increased costs arising from species protection measures or could result in delays, restrictions or prohibitions on PAA’s customers’ development and production activities that could have a material adverse effect on its results of operations.</w:t>
      </w:r>
    </w:p>
    <w:p>
      <w:pPr>
        <w:sectPr>
          <w:pgSz w:w="11880" w:h="15480" w:orient="portrait"/>
          <w:cols w:equalWidth="0" w:num="1">
            <w:col w:w="9960"/>
          </w:cols>
          <w:pgMar w:left="940" w:top="676" w:right="980"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ectPr>
          <w:pgSz w:w="11880" w:h="15480" w:orient="portrait"/>
          <w:cols w:equalWidth="0" w:num="1">
            <w:col w:w="9960"/>
          </w:cols>
          <w:pgMar w:left="940" w:top="676" w:right="980" w:bottom="0" w:gutter="0" w:footer="0" w:header="0"/>
          <w:type w:val="continuous"/>
        </w:sectPr>
      </w:pPr>
    </w:p>
    <w:bookmarkStart w:id="63" w:name="page64"/>
    <w:bookmarkEnd w:id="63"/>
    <w:p>
      <w:pPr>
        <w:spacing w:after="0"/>
        <w:rPr>
          <w:sz w:val="20"/>
          <w:szCs w:val="20"/>
          <w:color w:val="auto"/>
        </w:rPr>
      </w:pPr>
      <w:r>
        <w:rPr>
          <w:rFonts w:ascii="Arial" w:cs="Arial" w:eastAsia="Arial" w:hAnsi="Arial"/>
          <w:sz w:val="19"/>
          <w:szCs w:val="19"/>
          <w:b w:val="1"/>
          <w:bCs w:val="1"/>
          <w:color w:val="auto"/>
        </w:rPr>
        <w:t>Risks Inherent in an Investment in PAA</w:t>
      </w:r>
    </w:p>
    <w:p>
      <w:pPr>
        <w:spacing w:after="0" w:line="249" w:lineRule="exact"/>
        <w:rPr>
          <w:sz w:val="20"/>
          <w:szCs w:val="20"/>
          <w:color w:val="auto"/>
        </w:rPr>
      </w:pPr>
    </w:p>
    <w:p>
      <w:pPr>
        <w:ind w:right="40"/>
        <w:spacing w:after="0" w:line="300" w:lineRule="auto"/>
        <w:rPr>
          <w:sz w:val="20"/>
          <w:szCs w:val="20"/>
          <w:color w:val="auto"/>
        </w:rPr>
      </w:pPr>
      <w:r>
        <w:rPr>
          <w:rFonts w:ascii="Arial" w:cs="Arial" w:eastAsia="Arial" w:hAnsi="Arial"/>
          <w:sz w:val="19"/>
          <w:szCs w:val="19"/>
          <w:b w:val="1"/>
          <w:bCs w:val="1"/>
          <w:i w:val="1"/>
          <w:iCs w:val="1"/>
          <w:color w:val="auto"/>
        </w:rPr>
        <w:t>Cost reimbursements due to PAA’s general partner may be substantial and will reduce PAA’s cash available for distribution to its unitholders.</w:t>
      </w:r>
    </w:p>
    <w:p>
      <w:pPr>
        <w:spacing w:after="0" w:line="163" w:lineRule="exact"/>
        <w:rPr>
          <w:sz w:val="20"/>
          <w:szCs w:val="20"/>
          <w:color w:val="auto"/>
        </w:rPr>
      </w:pPr>
    </w:p>
    <w:p>
      <w:pPr>
        <w:ind w:firstLine="702"/>
        <w:spacing w:after="0" w:line="301" w:lineRule="auto"/>
        <w:rPr>
          <w:sz w:val="20"/>
          <w:szCs w:val="20"/>
          <w:color w:val="auto"/>
        </w:rPr>
      </w:pPr>
      <w:r>
        <w:rPr>
          <w:rFonts w:ascii="Arial" w:cs="Arial" w:eastAsia="Arial" w:hAnsi="Arial"/>
          <w:sz w:val="17"/>
          <w:szCs w:val="17"/>
          <w:color w:val="auto"/>
        </w:rPr>
        <w:t>Prior to making any distribution on its common units, PAA will reimburse its general partner and its affiliates, including officers and directors of its general partner, for all expenses incurred on PAA’s behalf. In addition, PAA is required to pay all direct and indirect expenses of the Plains Entities, other than income taxes of any of the PAGP Entities. The reimbursement of expenses and the payment of fees and expenses could adversely affect PAA’s ability to make distributions. PAA’s general partner has sole discretion to determine the amount of these expenses. In addition, PAA’s general partner and its affiliates may provide PAA with services for which PAA will be charged reasonable fees as determined by its general partner.</w:t>
      </w:r>
    </w:p>
    <w:p>
      <w:pPr>
        <w:spacing w:after="0" w:line="160" w:lineRule="exact"/>
        <w:rPr>
          <w:sz w:val="20"/>
          <w:szCs w:val="20"/>
          <w:color w:val="auto"/>
        </w:rPr>
      </w:pPr>
    </w:p>
    <w:p>
      <w:pPr>
        <w:ind w:right="640"/>
        <w:spacing w:after="0" w:line="300" w:lineRule="auto"/>
        <w:rPr>
          <w:sz w:val="20"/>
          <w:szCs w:val="20"/>
          <w:color w:val="auto"/>
        </w:rPr>
      </w:pPr>
      <w:r>
        <w:rPr>
          <w:rFonts w:ascii="Arial" w:cs="Arial" w:eastAsia="Arial" w:hAnsi="Arial"/>
          <w:sz w:val="19"/>
          <w:szCs w:val="19"/>
          <w:b w:val="1"/>
          <w:bCs w:val="1"/>
          <w:i w:val="1"/>
          <w:iCs w:val="1"/>
          <w:color w:val="auto"/>
        </w:rPr>
        <w:t>Cash distributions are not guaranteed and may fluctuate with PAA’s performance and the establishment of financial reserves.</w:t>
      </w:r>
    </w:p>
    <w:p>
      <w:pPr>
        <w:spacing w:after="0" w:line="163" w:lineRule="exact"/>
        <w:rPr>
          <w:sz w:val="20"/>
          <w:szCs w:val="20"/>
          <w:color w:val="auto"/>
        </w:rPr>
      </w:pPr>
    </w:p>
    <w:p>
      <w:pPr>
        <w:ind w:right="20" w:firstLine="702"/>
        <w:spacing w:after="0" w:line="278" w:lineRule="auto"/>
        <w:rPr>
          <w:sz w:val="20"/>
          <w:szCs w:val="20"/>
          <w:color w:val="auto"/>
        </w:rPr>
      </w:pPr>
      <w:r>
        <w:rPr>
          <w:rFonts w:ascii="Arial" w:cs="Arial" w:eastAsia="Arial" w:hAnsi="Arial"/>
          <w:sz w:val="18"/>
          <w:szCs w:val="18"/>
          <w:color w:val="auto"/>
        </w:rPr>
        <w:t>Because distributions on PAA’s common units are dependent on the amount of cash it generates, distributions may fluctuate based on PAA’s performance, which will result in fluctuations in the amount of distributions ultimately received by AAP. The actual amount of cash that is available to be distributed each quarter will depend on numerous factors, some of which are beyond PAA’s control and the control of PAA’s general partner. Cash distributions are dependent primarily on cash flow, levels of financial reserves and working capital borrowings, and not solely on profitability, which is affected by non-cash items. PAA’s levels of financial reserves are established by its general partner and include reserves for the proper conduct of PAA’s business (including future capital expenditures and anticipated credit needs), compliance with legal or contractual obligations and funding of future distributions to its Series A and Series B preferred unitholders. Therefore, cash distributions might be made during periods when PAA records losses and might not be made during periods when it records profits.</w:t>
      </w:r>
    </w:p>
    <w:p>
      <w:pPr>
        <w:spacing w:after="0" w:line="175" w:lineRule="exact"/>
        <w:rPr>
          <w:sz w:val="20"/>
          <w:szCs w:val="20"/>
          <w:color w:val="auto"/>
        </w:rPr>
      </w:pPr>
    </w:p>
    <w:p>
      <w:pPr>
        <w:ind w:right="160"/>
        <w:spacing w:after="0" w:line="300" w:lineRule="auto"/>
        <w:rPr>
          <w:sz w:val="20"/>
          <w:szCs w:val="20"/>
          <w:color w:val="auto"/>
        </w:rPr>
      </w:pPr>
      <w:r>
        <w:rPr>
          <w:rFonts w:ascii="Arial" w:cs="Arial" w:eastAsia="Arial" w:hAnsi="Arial"/>
          <w:sz w:val="19"/>
          <w:szCs w:val="19"/>
          <w:b w:val="1"/>
          <w:bCs w:val="1"/>
          <w:i w:val="1"/>
          <w:iCs w:val="1"/>
          <w:color w:val="auto"/>
        </w:rPr>
        <w:t>PAA’s preferred units have rights, preferences and privileges that are not the same as, and are preferential to, the rights of holders of PAA’s common units.</w:t>
      </w:r>
    </w:p>
    <w:p>
      <w:pPr>
        <w:spacing w:after="0" w:line="163" w:lineRule="exact"/>
        <w:rPr>
          <w:sz w:val="20"/>
          <w:szCs w:val="20"/>
          <w:color w:val="auto"/>
        </w:rPr>
      </w:pPr>
    </w:p>
    <w:p>
      <w:pPr>
        <w:ind w:right="40" w:firstLine="702"/>
        <w:spacing w:after="0" w:line="269" w:lineRule="auto"/>
        <w:rPr>
          <w:sz w:val="20"/>
          <w:szCs w:val="20"/>
          <w:color w:val="auto"/>
        </w:rPr>
      </w:pPr>
      <w:r>
        <w:rPr>
          <w:rFonts w:ascii="Arial" w:cs="Arial" w:eastAsia="Arial" w:hAnsi="Arial"/>
          <w:sz w:val="19"/>
          <w:szCs w:val="19"/>
          <w:color w:val="auto"/>
        </w:rPr>
        <w:t>PAA’s Series A preferred units and PAA’s Series B preferred units (together, “PAA’s preferred units”) rank senior to all of PAA’s other classes or series of equity securities with respect to distribution rights and rights upon liquidation. These preferences could adversely affect the market price for PAA’s common units, or could make it more difficult for PAA to sell its common units in the future.</w:t>
      </w:r>
    </w:p>
    <w:p>
      <w:pPr>
        <w:spacing w:after="0" w:line="190" w:lineRule="exact"/>
        <w:rPr>
          <w:sz w:val="20"/>
          <w:szCs w:val="20"/>
          <w:color w:val="auto"/>
        </w:rPr>
      </w:pPr>
    </w:p>
    <w:p>
      <w:pPr>
        <w:ind w:firstLine="702"/>
        <w:spacing w:after="0" w:line="261" w:lineRule="auto"/>
        <w:rPr>
          <w:sz w:val="20"/>
          <w:szCs w:val="20"/>
          <w:color w:val="auto"/>
        </w:rPr>
      </w:pPr>
      <w:r>
        <w:rPr>
          <w:rFonts w:ascii="Arial" w:cs="Arial" w:eastAsia="Arial" w:hAnsi="Arial"/>
          <w:sz w:val="19"/>
          <w:szCs w:val="19"/>
          <w:color w:val="auto"/>
        </w:rPr>
        <w:t>In addition, distributions on PAA’s preferred units accrue and are cumulative, at a fixed rate with respect to PAA’s Series A preferred units and at a floating rate with respect to PAA’s Series B preferred units. PAA’s Series A preferred units are convertible into PAA common units by the holders of such units or by PAA in certain circumstances. PAA’s Series B preferred units are not convertible into PAA common units, but are redeemable by PAA in certain circumstances. PAA’s obligation to pay distributions on PAA’s preferred units, or on the PAA common units issued following the conversion of PAA’s Series A preferred units, could impact its liquidity and reduce the amount of cash flow available for working capital, capital expenditures, growth opportunities, acquisitions, and other general partnership purposes. PAA’s obligations to the holders of PAA’s preferred units could also limit its ability to obtain additional financing or increase its borrowing costs, which could have an adverse effect on PAA’s financial condition.</w:t>
      </w:r>
    </w:p>
    <w:p>
      <w:pPr>
        <w:sectPr>
          <w:pgSz w:w="11880" w:h="15480" w:orient="portrait"/>
          <w:cols w:equalWidth="0" w:num="1">
            <w:col w:w="10000"/>
          </w:cols>
          <w:pgMar w:left="940" w:top="66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880" w:h="15480" w:orient="portrait"/>
          <w:cols w:equalWidth="0" w:num="1">
            <w:col w:w="10000"/>
          </w:cols>
          <w:pgMar w:left="940" w:top="669" w:right="940" w:bottom="0" w:gutter="0" w:footer="0" w:header="0"/>
          <w:type w:val="continuous"/>
        </w:sectPr>
      </w:pPr>
    </w:p>
    <w:bookmarkStart w:id="64" w:name="page65"/>
    <w:bookmarkEnd w:id="64"/>
    <w:p>
      <w:pPr>
        <w:spacing w:after="0"/>
        <w:rPr>
          <w:sz w:val="20"/>
          <w:szCs w:val="20"/>
          <w:color w:val="auto"/>
        </w:rPr>
      </w:pPr>
      <w:r>
        <w:rPr>
          <w:rFonts w:ascii="Arial" w:cs="Arial" w:eastAsia="Arial" w:hAnsi="Arial"/>
          <w:sz w:val="19"/>
          <w:szCs w:val="19"/>
          <w:b w:val="1"/>
          <w:bCs w:val="1"/>
          <w:color w:val="auto"/>
        </w:rPr>
        <w:t>Tax Risks</w:t>
      </w:r>
    </w:p>
    <w:p>
      <w:pPr>
        <w:spacing w:after="0" w:line="257" w:lineRule="exact"/>
        <w:rPr>
          <w:sz w:val="20"/>
          <w:szCs w:val="20"/>
          <w:color w:val="auto"/>
        </w:rPr>
      </w:pPr>
    </w:p>
    <w:p>
      <w:pPr>
        <w:ind w:right="680" w:firstLine="702"/>
        <w:spacing w:after="0" w:line="325" w:lineRule="auto"/>
        <w:rPr>
          <w:sz w:val="20"/>
          <w:szCs w:val="20"/>
          <w:color w:val="auto"/>
        </w:rPr>
      </w:pPr>
      <w:r>
        <w:rPr>
          <w:rFonts w:ascii="Arial" w:cs="Arial" w:eastAsia="Arial" w:hAnsi="Arial"/>
          <w:sz w:val="18"/>
          <w:szCs w:val="18"/>
          <w:color w:val="auto"/>
        </w:rPr>
        <w:t>As our only cash-generating assets consist of our partnership interest in AAP and its related direct and indirect interests in PAA, our tax risks are primarily derivative of the tax risks associated with an investment in PAA.</w:t>
      </w:r>
    </w:p>
    <w:p>
      <w:pPr>
        <w:spacing w:after="0" w:line="134"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b w:val="1"/>
          <w:bCs w:val="1"/>
          <w:i w:val="1"/>
          <w:iCs w:val="1"/>
          <w:color w:val="auto"/>
        </w:rPr>
        <w:t>The tax treatment of PAA depends on its status as a partnership for U.S. federal income tax purposes, as well as it not being subject to a material amount of additional entity-level taxation by individual states. If the IRS were to treat PAA as a corporation for U.S. federal income tax purposes or if PAA becomes subject to additional amounts of entity-level taxation for state or foreign tax purposes, it would reduce the amount of cash available for distribution to us and increase the portion of our distributions treated as taxable dividends.</w:t>
      </w:r>
    </w:p>
    <w:p>
      <w:pPr>
        <w:spacing w:after="0" w:line="196" w:lineRule="exact"/>
        <w:rPr>
          <w:sz w:val="20"/>
          <w:szCs w:val="20"/>
          <w:color w:val="auto"/>
        </w:rPr>
      </w:pPr>
    </w:p>
    <w:p>
      <w:pPr>
        <w:ind w:right="20" w:firstLine="702"/>
        <w:spacing w:after="0" w:line="261" w:lineRule="auto"/>
        <w:rPr>
          <w:sz w:val="20"/>
          <w:szCs w:val="20"/>
          <w:color w:val="auto"/>
        </w:rPr>
      </w:pPr>
      <w:r>
        <w:rPr>
          <w:rFonts w:ascii="Arial" w:cs="Arial" w:eastAsia="Arial" w:hAnsi="Arial"/>
          <w:sz w:val="19"/>
          <w:szCs w:val="19"/>
          <w:color w:val="auto"/>
        </w:rPr>
        <w:t>At December 31, 2023, we owned an approximate 84% limited partner interest in AAP, which directly owned a limited partner interest in PAA through its ownership of approximately 232.7 million PAA common units (approximately 30% of PAA’s Series A preferred units and common units combined). Accordingly, the value of our indirect investment in PAA, as well as the anticipated after-tax economic benefit of an investment in our Class A shares, depends largely on PAA being treated as a partnership for U.S. federal income tax purposes, which requires that 90% or more of PAA’s gross income for every taxable year consist of qualifying income, as defined in Section 7704 of the Internal Revenue Code of 1986, as amended (the “Code”). Based on PAA’s current operations, and current Treasury regulations, PAA believes that it is treated as a partnership rather than a corporation for such purposes; however, a change in PAA’s business could cause it to be treated as a corporation for U.S. federal income tax purposes.</w:t>
      </w:r>
    </w:p>
    <w:p>
      <w:pPr>
        <w:spacing w:after="0" w:line="201" w:lineRule="exact"/>
        <w:rPr>
          <w:sz w:val="20"/>
          <w:szCs w:val="20"/>
          <w:color w:val="auto"/>
        </w:rPr>
      </w:pPr>
    </w:p>
    <w:p>
      <w:pPr>
        <w:ind w:firstLine="702"/>
        <w:spacing w:after="0" w:line="264" w:lineRule="auto"/>
        <w:rPr>
          <w:sz w:val="20"/>
          <w:szCs w:val="20"/>
          <w:color w:val="auto"/>
        </w:rPr>
      </w:pPr>
      <w:r>
        <w:rPr>
          <w:rFonts w:ascii="Arial" w:cs="Arial" w:eastAsia="Arial" w:hAnsi="Arial"/>
          <w:sz w:val="19"/>
          <w:szCs w:val="19"/>
          <w:color w:val="auto"/>
        </w:rPr>
        <w:t>Current law may change, causing PAA to be treated as a corporation for U.S. federal income tax purposes or otherwise subjecting PAA to additional entity-level taxation. In addition, several states have been evaluating ways to subject partnerships to entity-level taxation through the imposition of state income, franchise and other forms of taxation. Imposition of any new or increased federal or state taxes on PAA may result in a decrease in the amount of distributions AAP receives from PAA and our resulting cash flows could be reduced substantially, which would adversely affect our ability to pay distributions to our shareholders.</w:t>
      </w:r>
    </w:p>
    <w:p>
      <w:pPr>
        <w:spacing w:after="0" w:line="196" w:lineRule="exact"/>
        <w:rPr>
          <w:sz w:val="20"/>
          <w:szCs w:val="20"/>
          <w:color w:val="auto"/>
        </w:rPr>
      </w:pPr>
    </w:p>
    <w:p>
      <w:pPr>
        <w:ind w:right="60" w:firstLine="702"/>
        <w:spacing w:after="0" w:line="301" w:lineRule="auto"/>
        <w:rPr>
          <w:sz w:val="20"/>
          <w:szCs w:val="20"/>
          <w:color w:val="auto"/>
        </w:rPr>
      </w:pPr>
      <w:r>
        <w:rPr>
          <w:rFonts w:ascii="Arial" w:cs="Arial" w:eastAsia="Arial" w:hAnsi="Arial"/>
          <w:sz w:val="17"/>
          <w:szCs w:val="17"/>
          <w:color w:val="auto"/>
        </w:rPr>
        <w:t>If PAA were treated as a corporation for U.S. federal income tax purposes, it would pay U.S. federal income tax on its taxable income at the corporate tax rate and would likely pay state income taxes at varying rates. Distributions to PAA’s partners, including AAP, would generally be taxed again as corporate distributions, and no income, gains, losses or deductions would flow through to PAA’s partners. Because a tax would be imposed upon PAA as a corporation, its cash available for distribution would be substantially reduced. Therefore, treatment of PAA as a corporation would result in a material reduction in the anticipated cash flow and after-tax return to us, likely causing a substantial reduction in the value of our Class A shares.</w:t>
      </w:r>
    </w:p>
    <w:p>
      <w:pPr>
        <w:spacing w:after="0" w:line="167" w:lineRule="exact"/>
        <w:rPr>
          <w:sz w:val="20"/>
          <w:szCs w:val="20"/>
          <w:color w:val="auto"/>
        </w:rPr>
      </w:pPr>
    </w:p>
    <w:p>
      <w:pPr>
        <w:ind w:right="140" w:firstLine="702"/>
        <w:spacing w:after="0" w:line="311" w:lineRule="auto"/>
        <w:rPr>
          <w:sz w:val="20"/>
          <w:szCs w:val="20"/>
          <w:color w:val="auto"/>
        </w:rPr>
      </w:pPr>
      <w:r>
        <w:rPr>
          <w:rFonts w:ascii="Arial" w:cs="Arial" w:eastAsia="Arial" w:hAnsi="Arial"/>
          <w:sz w:val="17"/>
          <w:szCs w:val="17"/>
          <w:color w:val="auto"/>
        </w:rPr>
        <w:t>Moreover, if PAA were treated as a corporation we would not be entitled to the deductions associated with our initial acquisition of interests in AAP or subsequent exchanges of retained AAP interests and Class B shares for our Class A shares. As a result, if PAA were treated as a corporation, (i) our liability for taxes would likely be higher, further reducing our cash available for distribution, and (ii) a greater portion of the cash we are able to distribute will be treated as a taxable dividend.</w:t>
      </w:r>
    </w:p>
    <w:p>
      <w:pPr>
        <w:spacing w:after="0" w:line="150" w:lineRule="exact"/>
        <w:rPr>
          <w:sz w:val="20"/>
          <w:szCs w:val="20"/>
          <w:color w:val="auto"/>
        </w:rPr>
      </w:pPr>
    </w:p>
    <w:p>
      <w:pPr>
        <w:ind w:right="540"/>
        <w:spacing w:after="0" w:line="401" w:lineRule="auto"/>
        <w:rPr>
          <w:sz w:val="20"/>
          <w:szCs w:val="20"/>
          <w:color w:val="auto"/>
        </w:rPr>
      </w:pPr>
      <w:r>
        <w:rPr>
          <w:rFonts w:ascii="Arial" w:cs="Arial" w:eastAsia="Arial" w:hAnsi="Arial"/>
          <w:sz w:val="16"/>
          <w:szCs w:val="16"/>
          <w:b w:val="1"/>
          <w:bCs w:val="1"/>
          <w:i w:val="1"/>
          <w:iCs w:val="1"/>
          <w:color w:val="auto"/>
        </w:rPr>
        <w:t>The tax treatment of publicly traded partnerships or an investment in PAA common units could be subject to potential legislative, judicial or administrative changes or differing interpretations, possibly applied on a retroactive basis.</w:t>
      </w:r>
    </w:p>
    <w:p>
      <w:pPr>
        <w:spacing w:after="0" w:line="94" w:lineRule="exact"/>
        <w:rPr>
          <w:sz w:val="20"/>
          <w:szCs w:val="20"/>
          <w:color w:val="auto"/>
        </w:rPr>
      </w:pPr>
    </w:p>
    <w:p>
      <w:pPr>
        <w:ind w:right="80" w:firstLine="702"/>
        <w:spacing w:after="0" w:line="255" w:lineRule="auto"/>
        <w:rPr>
          <w:sz w:val="20"/>
          <w:szCs w:val="20"/>
          <w:color w:val="auto"/>
        </w:rPr>
      </w:pPr>
      <w:r>
        <w:rPr>
          <w:rFonts w:ascii="Arial" w:cs="Arial" w:eastAsia="Arial" w:hAnsi="Arial"/>
          <w:sz w:val="19"/>
          <w:szCs w:val="19"/>
          <w:color w:val="auto"/>
        </w:rPr>
        <w:t>The present U.S. federal income tax treatment of publicly traded partnerships, including PAA, or an investment in PAA common units may be modified by administrative, legislative or judicial changes or differing interpretations at any time. Members of Congress have proposed and considered substantive changes to the existing U.S. federal income tax laws that would affect publicly traded partnerships, including proposals that would eliminate PAA’s ability to qualify for partnership tax treatment.</w:t>
      </w:r>
    </w:p>
    <w:p>
      <w:pPr>
        <w:spacing w:after="0" w:line="185" w:lineRule="exact"/>
        <w:rPr>
          <w:sz w:val="20"/>
          <w:szCs w:val="20"/>
          <w:color w:val="auto"/>
        </w:rPr>
      </w:pPr>
    </w:p>
    <w:p>
      <w:pPr>
        <w:ind w:right="80" w:firstLine="702"/>
        <w:spacing w:after="0" w:line="259" w:lineRule="auto"/>
        <w:rPr>
          <w:sz w:val="20"/>
          <w:szCs w:val="20"/>
          <w:color w:val="auto"/>
        </w:rPr>
      </w:pPr>
      <w:r>
        <w:rPr>
          <w:rFonts w:ascii="Arial" w:cs="Arial" w:eastAsia="Arial" w:hAnsi="Arial"/>
          <w:sz w:val="19"/>
          <w:szCs w:val="19"/>
          <w:color w:val="auto"/>
        </w:rPr>
        <w:t>In addition, the Treasury Department has issued, and in the future may issue, regulations interpreting those laws that affect publicly traded partnerships. There can be no assurance that there will not be further changes to U.S. federal income tax laws or the Treasury Department’s interpretation of the qualifying income rules in a manner that could impact PAA’s ability to qualify as a partnership in the future.</w:t>
      </w:r>
    </w:p>
    <w:p>
      <w:pPr>
        <w:spacing w:after="0" w:line="188" w:lineRule="exact"/>
        <w:rPr>
          <w:sz w:val="20"/>
          <w:szCs w:val="20"/>
          <w:color w:val="auto"/>
        </w:rPr>
      </w:pPr>
    </w:p>
    <w:p>
      <w:pPr>
        <w:ind w:right="20" w:firstLine="702"/>
        <w:spacing w:after="0" w:line="266" w:lineRule="auto"/>
        <w:rPr>
          <w:sz w:val="20"/>
          <w:szCs w:val="20"/>
          <w:color w:val="auto"/>
        </w:rPr>
      </w:pPr>
      <w:r>
        <w:rPr>
          <w:rFonts w:ascii="Arial" w:cs="Arial" w:eastAsia="Arial" w:hAnsi="Arial"/>
          <w:sz w:val="19"/>
          <w:szCs w:val="19"/>
          <w:color w:val="auto"/>
        </w:rPr>
        <w:t>Any modification to the U.S. federal income tax laws and interpretations thereof may or may not be retroactively applied and could make it more difficult or impossible for PAA to meet the exception for certain publicly traded partnerships to be treated as partnerships for U.S. federal income tax purposes. We are unable to predict whether any changes or other proposals will ultimately be enacted. Any future legislative changes could negatively impact the value of our indirect investment in PAA.</w:t>
      </w:r>
    </w:p>
    <w:p>
      <w:pPr>
        <w:sectPr>
          <w:pgSz w:w="11880" w:h="15480" w:orient="portrait"/>
          <w:cols w:equalWidth="0" w:num="1">
            <w:col w:w="9980"/>
          </w:cols>
          <w:pgMar w:left="940" w:top="669" w:right="960" w:bottom="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880" w:h="15480" w:orient="portrait"/>
          <w:cols w:equalWidth="0" w:num="1">
            <w:col w:w="9980"/>
          </w:cols>
          <w:pgMar w:left="940" w:top="669" w:right="960" w:bottom="0" w:gutter="0" w:footer="0" w:header="0"/>
          <w:type w:val="continuous"/>
        </w:sectPr>
      </w:pPr>
    </w:p>
    <w:bookmarkStart w:id="65" w:name="page66"/>
    <w:bookmarkEnd w:id="65"/>
    <w:p>
      <w:pPr>
        <w:ind w:right="80"/>
        <w:spacing w:after="0" w:line="272" w:lineRule="auto"/>
        <w:rPr>
          <w:sz w:val="20"/>
          <w:szCs w:val="20"/>
          <w:color w:val="auto"/>
        </w:rPr>
      </w:pPr>
      <w:r>
        <w:rPr>
          <w:rFonts w:ascii="Arial" w:cs="Arial" w:eastAsia="Arial" w:hAnsi="Arial"/>
          <w:sz w:val="19"/>
          <w:szCs w:val="19"/>
          <w:b w:val="1"/>
          <w:bCs w:val="1"/>
          <w:i w:val="1"/>
          <w:iCs w:val="1"/>
          <w:color w:val="auto"/>
        </w:rPr>
        <w:t>If the IRS makes audit adjustments to PAA’s income tax returns for tax years beginning after December 31, 2017, it (and some states) may assess and collect any taxes (including any applicable penalties and interest) resulting from such audit adjustments directly from PAA, in which case PAA’s cash distribution to AAP and our cash available for distribution to our shareholders might be substantially reduced.</w:t>
      </w:r>
    </w:p>
    <w:p>
      <w:pPr>
        <w:spacing w:after="0" w:line="187" w:lineRule="exact"/>
        <w:rPr>
          <w:sz w:val="20"/>
          <w:szCs w:val="20"/>
          <w:color w:val="auto"/>
        </w:rPr>
      </w:pPr>
    </w:p>
    <w:p>
      <w:pPr>
        <w:ind w:right="20" w:firstLine="702"/>
        <w:spacing w:after="0" w:line="293" w:lineRule="auto"/>
        <w:rPr>
          <w:sz w:val="20"/>
          <w:szCs w:val="20"/>
          <w:color w:val="auto"/>
        </w:rPr>
      </w:pPr>
      <w:r>
        <w:rPr>
          <w:rFonts w:ascii="Arial" w:cs="Arial" w:eastAsia="Arial" w:hAnsi="Arial"/>
          <w:sz w:val="17"/>
          <w:szCs w:val="17"/>
          <w:color w:val="auto"/>
        </w:rPr>
        <w:t>Pursuant to the Bipartisan Budget Act of 2015, for tax years beginning after December 31, 2017, if the IRS makes audit adjustments to PAA’s income tax returns, it (and some states) may assess and collect any taxes (including any applicable penalties and interest) resulting from such audit adjustments directly from PAA. To the extent possible under these rules, PAA’s general partner may elect to either pay the taxes (including any applicable penalties and interest) directly to the IRS or, if PAA is eligible, issue a revised information statement to each unitholder and former unitholder with respect to an audited and adjusted return. Although PAA’s general partner may elect to have PAA’s unitholders and former unitholders take such audit adjustment into account and pay any resulting taxes (including applicable penalties or interest) in accordance with their interests in PAA during the tax year under audit, there can be no assurance that such election will be practical, permissible or effective in all circumstances. As a result, PAA’s current unitholders, including us through AAP, may bear some or all of the tax liability resulting from such audit adjustment, even if such unitholders did not own units in PAA during the tax year under audit. If, as a result of any such audit adjustment, PAA or AAP is required to make payments of taxes, penalties and interest, then the amount of distributions we receive from AAP could be substantially reduced, which would adversely affect our ability to pay distributions to our shareholders. These rules are not applicable for tax years beginning on or prior to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Taxable gain or loss on the sale of our Class A shares could be more or less than expected.</w:t>
      </w:r>
    </w:p>
    <w:p>
      <w:pPr>
        <w:spacing w:after="0" w:line="257" w:lineRule="exact"/>
        <w:rPr>
          <w:sz w:val="20"/>
          <w:szCs w:val="20"/>
          <w:color w:val="auto"/>
        </w:rPr>
      </w:pPr>
    </w:p>
    <w:p>
      <w:pPr>
        <w:ind w:right="80" w:firstLine="702"/>
        <w:spacing w:after="0" w:line="299" w:lineRule="auto"/>
        <w:rPr>
          <w:sz w:val="20"/>
          <w:szCs w:val="20"/>
          <w:color w:val="auto"/>
        </w:rPr>
      </w:pPr>
      <w:r>
        <w:rPr>
          <w:rFonts w:ascii="Arial" w:cs="Arial" w:eastAsia="Arial" w:hAnsi="Arial"/>
          <w:sz w:val="17"/>
          <w:szCs w:val="17"/>
          <w:color w:val="auto"/>
        </w:rPr>
        <w:t>If a holder sells our Class A shares, the holder will recognize gain or loss equal to the difference between the amount realized and the holder’s tax basis in those Class A shares. To the extent that the amount of our distributions exceeds our current and accumulated earnings and profits, the distributions will be treated as a tax free return of capital and will reduce a holder’s tax basis in the Class A shares. We did not have any earnings and profits in 2022 and we do not expect to have any earnings and profits for an extended period of time. Because our distributions in excess of our earnings and profits decrease a holder’s tax basis in Class A shares, such excess distributions will result in a corresponding increase in the amount of gain, or a corresponding decrease in the amount of loss, recognized by the holder upon the sale of the Class A shares.</w:t>
      </w:r>
    </w:p>
    <w:p>
      <w:pPr>
        <w:spacing w:after="0" w:line="160" w:lineRule="exact"/>
        <w:rPr>
          <w:sz w:val="20"/>
          <w:szCs w:val="20"/>
          <w:color w:val="auto"/>
        </w:rPr>
      </w:pPr>
    </w:p>
    <w:p>
      <w:pPr>
        <w:ind w:right="160"/>
        <w:spacing w:after="0" w:line="300" w:lineRule="auto"/>
        <w:rPr>
          <w:sz w:val="20"/>
          <w:szCs w:val="20"/>
          <w:color w:val="auto"/>
        </w:rPr>
      </w:pPr>
      <w:r>
        <w:rPr>
          <w:rFonts w:ascii="Arial" w:cs="Arial" w:eastAsia="Arial" w:hAnsi="Arial"/>
          <w:sz w:val="19"/>
          <w:szCs w:val="19"/>
          <w:b w:val="1"/>
          <w:bCs w:val="1"/>
          <w:i w:val="1"/>
          <w:iCs w:val="1"/>
          <w:color w:val="auto"/>
        </w:rPr>
        <w:t>Our current tax treatment may change, which could affect the value of our Class A shares or reduce our cash available for distribution.</w:t>
      </w:r>
    </w:p>
    <w:p>
      <w:pPr>
        <w:spacing w:after="0" w:line="163" w:lineRule="exact"/>
        <w:rPr>
          <w:sz w:val="20"/>
          <w:szCs w:val="20"/>
          <w:color w:val="auto"/>
        </w:rPr>
      </w:pPr>
    </w:p>
    <w:p>
      <w:pPr>
        <w:ind w:firstLine="702"/>
        <w:spacing w:after="0" w:line="296" w:lineRule="auto"/>
        <w:rPr>
          <w:sz w:val="20"/>
          <w:szCs w:val="20"/>
          <w:color w:val="auto"/>
        </w:rPr>
      </w:pPr>
      <w:r>
        <w:rPr>
          <w:rFonts w:ascii="Arial" w:cs="Arial" w:eastAsia="Arial" w:hAnsi="Arial"/>
          <w:sz w:val="17"/>
          <w:szCs w:val="17"/>
          <w:color w:val="auto"/>
        </w:rPr>
        <w:t>Our expectation that tax deductions associated with our initial and subsequent acquisitions of interests in AAP (as a result of the exercise by Legacy Owners of their exchange rights) will offset all of our current taxable income for an extended period of time, and thus result in our distributions not constituting taxable dividends for an extended period of time, is based on current law with respect to the amortization of basis adjustments associated with our acquisition of interests in AAP. Changes in U.S. federal income tax law relating to such tax treatment could result in (i) our being subject to additional taxation at the entity level with the result that we would have less cash available for distribution, and (ii) a greater portion of our distributions being treated as taxable dividends. Moreover, we are subject to tax in numerous jurisdictions. Changes in current law in these jurisdictions, particularly relating to the treatment of deductions attributable to acquisitions of interests in AAP, could result in our being subject to additional taxation at the entity level with the result that we would have less cash available for distribution.</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Any decrease in our Class A share price could adversely affect our amount of cash available for distribution.</w:t>
      </w:r>
    </w:p>
    <w:p>
      <w:pPr>
        <w:spacing w:after="0" w:line="257" w:lineRule="exact"/>
        <w:rPr>
          <w:sz w:val="20"/>
          <w:szCs w:val="20"/>
          <w:color w:val="auto"/>
        </w:rPr>
      </w:pPr>
    </w:p>
    <w:p>
      <w:pPr>
        <w:ind w:right="20" w:firstLine="702"/>
        <w:spacing w:after="0" w:line="264" w:lineRule="auto"/>
        <w:rPr>
          <w:sz w:val="20"/>
          <w:szCs w:val="20"/>
          <w:color w:val="auto"/>
        </w:rPr>
      </w:pPr>
      <w:r>
        <w:rPr>
          <w:rFonts w:ascii="Arial" w:cs="Arial" w:eastAsia="Arial" w:hAnsi="Arial"/>
          <w:sz w:val="19"/>
          <w:szCs w:val="19"/>
          <w:color w:val="auto"/>
        </w:rPr>
        <w:t>Changes in certain market conditions may cause our Class A share price to decrease. If our Legacy Owners exchange their retained interests in AAP and Class B shares in us for our Class A shares at a point in time when our Class A share price is below the price at which Class A shares were sold in our initial public offering or in any subsequent exchange, the ratio of our income tax deductions to gross income would decline. This decline could result in our being subject to tax sooner than expected, our tax liability being greater than expected, or a greater portion of our distributions being treated as taxable dividends.</w:t>
      </w:r>
    </w:p>
    <w:p>
      <w:pPr>
        <w:sectPr>
          <w:pgSz w:w="11880" w:h="15480" w:orient="portrait"/>
          <w:cols w:equalWidth="0" w:num="1">
            <w:col w:w="10000"/>
          </w:cols>
          <w:pgMar w:left="940" w:top="90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880" w:h="15480" w:orient="portrait"/>
          <w:cols w:equalWidth="0" w:num="1">
            <w:col w:w="10000"/>
          </w:cols>
          <w:pgMar w:left="940" w:top="903" w:right="940" w:bottom="0" w:gutter="0" w:footer="0" w:header="0"/>
          <w:type w:val="continuous"/>
        </w:sectPr>
      </w:pPr>
    </w:p>
    <w:bookmarkStart w:id="66" w:name="page67"/>
    <w:bookmarkEnd w:id="66"/>
    <w:p>
      <w:pPr>
        <w:ind w:right="20"/>
        <w:spacing w:after="0" w:line="302" w:lineRule="auto"/>
        <w:rPr>
          <w:sz w:val="20"/>
          <w:szCs w:val="20"/>
          <w:color w:val="auto"/>
        </w:rPr>
      </w:pPr>
      <w:r>
        <w:rPr>
          <w:rFonts w:ascii="Arial" w:cs="Arial" w:eastAsia="Arial" w:hAnsi="Arial"/>
          <w:sz w:val="17"/>
          <w:szCs w:val="17"/>
          <w:b w:val="1"/>
          <w:bCs w:val="1"/>
          <w:i w:val="1"/>
          <w:iCs w:val="1"/>
          <w:color w:val="auto"/>
        </w:rPr>
        <w:t>The IRS Forms 1099-DIV that our shareholders receive from their brokers may over-report dividend income with respect to our shares for U.S. federal income tax purposes, which may result in a shareholder’s overpayment of tax. In addition, failure to report dividend income in a manner consistent with the IRS Forms 1099-DIV may cause the IRS to assert audit adjustments to a shareholder’s U.S. federal income tax return. For non-U.S. holders of our shares, brokers or other withholding agents may overwithhold taxes from dividends paid, in which case a shareholder generally would have to timely file a U.S. tax return or an appropriate claim for refund in order to claim a refund of the overwithheld taxes.</w:t>
      </w:r>
    </w:p>
    <w:p>
      <w:pPr>
        <w:spacing w:after="0" w:line="169" w:lineRule="exact"/>
        <w:rPr>
          <w:sz w:val="20"/>
          <w:szCs w:val="20"/>
          <w:color w:val="auto"/>
        </w:rPr>
      </w:pPr>
    </w:p>
    <w:p>
      <w:pPr>
        <w:ind w:firstLine="702"/>
        <w:spacing w:after="0" w:line="279" w:lineRule="auto"/>
        <w:rPr>
          <w:sz w:val="20"/>
          <w:szCs w:val="20"/>
          <w:color w:val="auto"/>
        </w:rPr>
      </w:pPr>
      <w:r>
        <w:rPr>
          <w:rFonts w:ascii="Arial" w:cs="Arial" w:eastAsia="Arial" w:hAnsi="Arial"/>
          <w:sz w:val="18"/>
          <w:szCs w:val="18"/>
          <w:color w:val="auto"/>
        </w:rPr>
        <w:t>Distributions we pay with respect to our shares will constitute “dividends” for U.S. federal income tax purposes only to the extent of our current and accumulated earnings and profits. Distributions we pay in excess of our earnings and profits will not be treated as “dividends” for U.S. federal income tax purposes; instead, they will be treated first as a tax-free return of capital to the extent of a shareholder’s tax basis in their shares and then as capital gain realized on the sale or exchange of such shares. We may be unable to timely determine the portion of our distributions that is a “dividend” for U.S. federal income tax purposes, which may result in a shareholder’s overpayment of tax with respect to distribution amounts that should have been classified as a tax-free return of capital. In such a case, a shareholder generally would have to timely file an amended U.S. tax return or an appropriate claim for refund in order to obtain a refund of the overpaid tax.</w:t>
      </w:r>
    </w:p>
    <w:p>
      <w:pPr>
        <w:spacing w:after="0" w:line="181" w:lineRule="exact"/>
        <w:rPr>
          <w:sz w:val="20"/>
          <w:szCs w:val="20"/>
          <w:color w:val="auto"/>
        </w:rPr>
      </w:pPr>
    </w:p>
    <w:p>
      <w:pPr>
        <w:ind w:right="80" w:firstLine="702"/>
        <w:spacing w:after="0" w:line="263" w:lineRule="auto"/>
        <w:rPr>
          <w:sz w:val="20"/>
          <w:szCs w:val="20"/>
          <w:color w:val="auto"/>
        </w:rPr>
      </w:pPr>
      <w:r>
        <w:rPr>
          <w:rFonts w:ascii="Arial" w:cs="Arial" w:eastAsia="Arial" w:hAnsi="Arial"/>
          <w:sz w:val="19"/>
          <w:szCs w:val="19"/>
          <w:color w:val="auto"/>
        </w:rPr>
        <w:t>For a U.S. holder of our shares, the IRS Forms 1099-DIV may not be consistent with our determination of the amount that constitutes a “dividend” for U.S. federal income tax purposes or a shareholder may receive a corrected IRS Form 1099-DIV (and may therefore need to file an amended federal, state or local income tax return). We will attempt to timely notify our shareholders of available information to assist with income tax reporting (such as posting the correct information on our website). However, the information that we provide to our shareholders may be inconsistent with the amounts reported by a broker on IRS Form 1099-DIV, and the IRS may disagree with any such information and may make audit adjustments to a shareholder’s tax return.</w:t>
      </w:r>
    </w:p>
    <w:p>
      <w:pPr>
        <w:spacing w:after="0" w:line="196" w:lineRule="exact"/>
        <w:rPr>
          <w:sz w:val="20"/>
          <w:szCs w:val="20"/>
          <w:color w:val="auto"/>
        </w:rPr>
      </w:pPr>
    </w:p>
    <w:p>
      <w:pPr>
        <w:ind w:firstLine="702"/>
        <w:spacing w:after="0" w:line="262" w:lineRule="auto"/>
        <w:rPr>
          <w:sz w:val="20"/>
          <w:szCs w:val="20"/>
          <w:color w:val="auto"/>
        </w:rPr>
      </w:pPr>
      <w:r>
        <w:rPr>
          <w:rFonts w:ascii="Arial" w:cs="Arial" w:eastAsia="Arial" w:hAnsi="Arial"/>
          <w:sz w:val="19"/>
          <w:szCs w:val="19"/>
          <w:color w:val="auto"/>
        </w:rPr>
        <w:t>For a non-U.S. holder of our shares, “dividends” for U.S. federal income tax purposes will be subject to withholding of U.S. federal income tax at a 30% rate (or such lower rate as specified by an applicable income tax treaty) unless the dividends are effectively connected with conduct of a U.S. trade or business. In the event that we are unable to timely determine the portion of our distributions that is a “dividend” for U.S. federal income tax purposes, or a shareholder’s broker or withholding agent chooses to withhold taxes from distributions in a manner inconsistent with our determination of the amount that constitutes a “dividend” for such purposes, a shareholder’s broker or other withholding agent may overwithhold taxes from distributions paid. In such a case, a shareholder generally would have to timely file a U.S. tax return or an appropriate claim for refund in order to obtain a refund of the overwithheld tax.</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1B. </w:t>
      </w:r>
      <w:r>
        <w:rPr>
          <w:rFonts w:ascii="Arial" w:cs="Arial" w:eastAsia="Arial" w:hAnsi="Arial"/>
          <w:sz w:val="19"/>
          <w:szCs w:val="19"/>
          <w:b w:val="1"/>
          <w:bCs w:val="1"/>
          <w:i w:val="1"/>
          <w:iCs w:val="1"/>
          <w:color w:val="auto"/>
        </w:rPr>
        <w:t>Unresolved Staff Comments</w:t>
      </w:r>
    </w:p>
    <w:p>
      <w:pPr>
        <w:spacing w:after="0" w:line="257" w:lineRule="exact"/>
        <w:rPr>
          <w:sz w:val="20"/>
          <w:szCs w:val="20"/>
          <w:color w:val="auto"/>
        </w:rPr>
      </w:pPr>
    </w:p>
    <w:p>
      <w:pPr>
        <w:jc w:val="center"/>
        <w:ind w:right="8100"/>
        <w:spacing w:after="0"/>
        <w:rPr>
          <w:sz w:val="20"/>
          <w:szCs w:val="20"/>
          <w:color w:val="auto"/>
        </w:rPr>
      </w:pPr>
      <w:r>
        <w:rPr>
          <w:rFonts w:ascii="Arial" w:cs="Arial" w:eastAsia="Arial" w:hAnsi="Arial"/>
          <w:sz w:val="19"/>
          <w:szCs w:val="19"/>
          <w:color w:val="auto"/>
        </w:rPr>
        <w:t>None.</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1C. </w:t>
      </w:r>
      <w:r>
        <w:rPr>
          <w:rFonts w:ascii="Arial" w:cs="Arial" w:eastAsia="Arial" w:hAnsi="Arial"/>
          <w:sz w:val="19"/>
          <w:szCs w:val="19"/>
          <w:b w:val="1"/>
          <w:bCs w:val="1"/>
          <w:i w:val="1"/>
          <w:iCs w:val="1"/>
          <w:color w:val="auto"/>
        </w:rPr>
        <w:t>Cybersecurity</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Description of Cybersecurity Risk Management and Strategy</w:t>
      </w:r>
    </w:p>
    <w:p>
      <w:pPr>
        <w:spacing w:after="0" w:line="257" w:lineRule="exact"/>
        <w:rPr>
          <w:sz w:val="20"/>
          <w:szCs w:val="20"/>
          <w:color w:val="auto"/>
        </w:rPr>
      </w:pPr>
    </w:p>
    <w:p>
      <w:pPr>
        <w:ind w:right="40" w:firstLine="702"/>
        <w:spacing w:after="0" w:line="297" w:lineRule="auto"/>
        <w:rPr>
          <w:sz w:val="20"/>
          <w:szCs w:val="20"/>
          <w:color w:val="auto"/>
        </w:rPr>
      </w:pPr>
      <w:r>
        <w:rPr>
          <w:rFonts w:ascii="Arial" w:cs="Arial" w:eastAsia="Arial" w:hAnsi="Arial"/>
          <w:sz w:val="17"/>
          <w:szCs w:val="17"/>
          <w:color w:val="auto"/>
        </w:rPr>
        <w:t>To assess, identify and manage material cybersecurity risks, we have endeavored to implement policies, standards and technical controls with the aim of protecting our information and operations systems (collectively, “IT systems”). These standards are guided, in part, by the relevant National Institute of Standards and Technology and American Petroleum Institute frameworks. We use various internal and third-party tools, security measures and technologies to aid in seeking to protect our network perimeter and internal systems from unauthorized access, intrusion or disruption. Regular assessments are conducted across our systems, networks and data infrastructure to identify potential cybersecurity threats and vulnerabilities. In addition, a monitoring and detection system has been implemented to help identify cybersecurity threats and incidents. Our cybersecurity program also focuses on providing training and awareness to our employees and contractors on cybersecurity best practices.</w:t>
      </w:r>
    </w:p>
    <w:p>
      <w:pPr>
        <w:spacing w:after="0" w:line="171" w:lineRule="exact"/>
        <w:rPr>
          <w:sz w:val="20"/>
          <w:szCs w:val="20"/>
          <w:color w:val="auto"/>
        </w:rPr>
      </w:pPr>
    </w:p>
    <w:p>
      <w:pPr>
        <w:ind w:right="80" w:firstLine="702"/>
        <w:spacing w:after="0" w:line="264" w:lineRule="auto"/>
        <w:rPr>
          <w:sz w:val="20"/>
          <w:szCs w:val="20"/>
          <w:color w:val="auto"/>
        </w:rPr>
      </w:pPr>
      <w:r>
        <w:rPr>
          <w:rFonts w:ascii="Arial" w:cs="Arial" w:eastAsia="Arial" w:hAnsi="Arial"/>
          <w:sz w:val="19"/>
          <w:szCs w:val="19"/>
          <w:color w:val="auto"/>
        </w:rPr>
        <w:t>We engage assessors, consultants, auditors and other third parties in connection with the above processes. We recognize that third-party service providers may introduce cybersecurity risks. In an effort to mitigate these risks, we have established a process to assess and oversee the cybersecurity practices of our vendors. Before engaging with third-party service providers, we conduct due diligence to evaluate their cybersecurity capabilities and potential vulnerabilities. Additionally, we endeavor to include cybersecurity requirements in our contracts with these providers, including adherence to specific security practices and protocols.</w:t>
      </w:r>
    </w:p>
    <w:p>
      <w:pPr>
        <w:sectPr>
          <w:pgSz w:w="11880" w:h="15480" w:orient="portrait"/>
          <w:cols w:equalWidth="0" w:num="1">
            <w:col w:w="9980"/>
          </w:cols>
          <w:pgMar w:left="940" w:top="66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880" w:h="15480" w:orient="portrait"/>
          <w:cols w:equalWidth="0" w:num="1">
            <w:col w:w="9980"/>
          </w:cols>
          <w:pgMar w:left="940" w:top="669" w:right="960" w:bottom="0" w:gutter="0" w:footer="0" w:header="0"/>
          <w:type w:val="continuous"/>
        </w:sectPr>
      </w:pPr>
    </w:p>
    <w:bookmarkStart w:id="67" w:name="page68"/>
    <w:bookmarkEnd w:id="67"/>
    <w:p>
      <w:pPr>
        <w:ind w:firstLine="702"/>
        <w:spacing w:after="0" w:line="266" w:lineRule="auto"/>
        <w:rPr>
          <w:sz w:val="20"/>
          <w:szCs w:val="20"/>
          <w:color w:val="auto"/>
        </w:rPr>
      </w:pPr>
      <w:r>
        <w:rPr>
          <w:rFonts w:ascii="Arial" w:cs="Arial" w:eastAsia="Arial" w:hAnsi="Arial"/>
          <w:sz w:val="19"/>
          <w:szCs w:val="19"/>
          <w:color w:val="auto"/>
        </w:rPr>
        <w:t>The above cybersecurity risk management processes are integrated into our overall risk management program. Cybersecurity threats are understood to be dynamic and to intersect with various other enterprise risks. As such, cybersecurity is considered an integral component of our enterprise-wide risk management approach. As of the date of this Report, we are not aware of any previous cybersecurity threats that have materially affected or are reasonably likely to materially affect the Partnership.</w:t>
      </w:r>
    </w:p>
    <w:p>
      <w:pPr>
        <w:spacing w:after="0" w:line="193" w:lineRule="exact"/>
        <w:rPr>
          <w:sz w:val="20"/>
          <w:szCs w:val="20"/>
          <w:color w:val="auto"/>
        </w:rPr>
      </w:pPr>
    </w:p>
    <w:p>
      <w:pPr>
        <w:ind w:right="180" w:firstLine="702"/>
        <w:spacing w:after="0" w:line="266" w:lineRule="auto"/>
        <w:rPr>
          <w:sz w:val="20"/>
          <w:szCs w:val="20"/>
          <w:color w:val="auto"/>
        </w:rPr>
      </w:pPr>
      <w:r>
        <w:rPr>
          <w:rFonts w:ascii="Arial" w:cs="Arial" w:eastAsia="Arial" w:hAnsi="Arial"/>
          <w:sz w:val="19"/>
          <w:szCs w:val="19"/>
          <w:color w:val="auto"/>
        </w:rPr>
        <w:t>Despite the implementation of our cybersecurity programs, our security measures cannot guarantee that a significant cyberattack will not occur. A successful attack on our IT systems or those of our vendors could have significant consequences to the business. While we devote resources to our security measures to protect our systems and information, these measures cannot provide absolute security. See “Item 1A. Risk Factors” for additional information about the risks to our business associated with a breach or compromise to our IT systems.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Cybersecurity Program Governance</w:t>
      </w:r>
    </w:p>
    <w:p>
      <w:pPr>
        <w:spacing w:after="0" w:line="257" w:lineRule="exact"/>
        <w:rPr>
          <w:sz w:val="20"/>
          <w:szCs w:val="20"/>
          <w:color w:val="auto"/>
        </w:rPr>
      </w:pPr>
    </w:p>
    <w:p>
      <w:pPr>
        <w:ind w:right="160" w:firstLine="702"/>
        <w:spacing w:after="0" w:line="264" w:lineRule="auto"/>
        <w:rPr>
          <w:sz w:val="20"/>
          <w:szCs w:val="20"/>
          <w:color w:val="auto"/>
        </w:rPr>
      </w:pPr>
      <w:r>
        <w:rPr>
          <w:rFonts w:ascii="Arial" w:cs="Arial" w:eastAsia="Arial" w:hAnsi="Arial"/>
          <w:sz w:val="19"/>
          <w:szCs w:val="19"/>
          <w:color w:val="auto"/>
        </w:rPr>
        <w:t>Our cybersecurity program is led by our Vice President of Information Security, North America, who reports directly to our CFO and oversees the dedicated team responsible for executing our cybersecurity strategy, including the primary assessment and management of cybersecurity risks. Our cybersecurity leadership team also includes our Senior Director, Technology, Infrastructure &amp; Cyber Defense and our Senior Director, Security &amp; Strategy. The Board receives quarterly updates on material security incidents, detection, monitoring, security culture scores, and other key initiatives and notable events from our cybersecurity leadership team.</w:t>
      </w:r>
    </w:p>
    <w:p>
      <w:pPr>
        <w:spacing w:after="0" w:line="196" w:lineRule="exact"/>
        <w:rPr>
          <w:sz w:val="20"/>
          <w:szCs w:val="20"/>
          <w:color w:val="auto"/>
        </w:rPr>
      </w:pPr>
    </w:p>
    <w:p>
      <w:pPr>
        <w:ind w:right="60" w:firstLine="702"/>
        <w:spacing w:after="0" w:line="264" w:lineRule="auto"/>
        <w:rPr>
          <w:sz w:val="20"/>
          <w:szCs w:val="20"/>
          <w:color w:val="auto"/>
        </w:rPr>
      </w:pPr>
      <w:r>
        <w:rPr>
          <w:rFonts w:ascii="Arial" w:cs="Arial" w:eastAsia="Arial" w:hAnsi="Arial"/>
          <w:sz w:val="19"/>
          <w:szCs w:val="19"/>
          <w:color w:val="auto"/>
        </w:rPr>
        <w:t>To facilitate effective management, our cybersecurity leadership team holds regular discussions with our dedicated cybersecurity team on cybersecurity risks, threat intelligence, incident trends, security audits, and the effectiveness of our training and testing. Our cybersecurity leadership team convenes regularly to review and monitor programs designed to prevent and detect cybersecurity threats and mitigate and remediate cybersecurity incidents. Our cybersecurity leadership team also receives comprehensive reports on security incidents, threat intelligence, and vulnerability assessments from our cybersecurity team.</w:t>
      </w:r>
    </w:p>
    <w:p>
      <w:pPr>
        <w:spacing w:after="0" w:line="196" w:lineRule="exact"/>
        <w:rPr>
          <w:sz w:val="20"/>
          <w:szCs w:val="20"/>
          <w:color w:val="auto"/>
        </w:rPr>
      </w:pPr>
    </w:p>
    <w:p>
      <w:pPr>
        <w:ind w:right="40" w:firstLine="702"/>
        <w:spacing w:after="0" w:line="263" w:lineRule="auto"/>
        <w:rPr>
          <w:sz w:val="20"/>
          <w:szCs w:val="20"/>
          <w:color w:val="auto"/>
        </w:rPr>
      </w:pPr>
      <w:r>
        <w:rPr>
          <w:rFonts w:ascii="Arial" w:cs="Arial" w:eastAsia="Arial" w:hAnsi="Arial"/>
          <w:sz w:val="19"/>
          <w:szCs w:val="19"/>
          <w:color w:val="auto"/>
        </w:rPr>
        <w:t>Our cybersecurity leadership team is made up of highly experienced professionals with an extensive background in information security, risk management, and incident response. This background includes more than 50 years of collective experience in infrastructure, cybersecurity and telecommunications. In addition to having the requisite training, knowledge, skills and abilities required for their respective positions, the cybersecurity leadership team collectively holds various relevant U.S. and Canadian information security certifications. The cybersecurity leadership team is supported by a dedicated team of skilled cybersecurity professionals, each bringing diverse expertise in areas such as network security, data protection, and threat intelligence.</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3. </w:t>
      </w:r>
      <w:r>
        <w:rPr>
          <w:rFonts w:ascii="Arial" w:cs="Arial" w:eastAsia="Arial" w:hAnsi="Arial"/>
          <w:sz w:val="19"/>
          <w:szCs w:val="19"/>
          <w:b w:val="1"/>
          <w:bCs w:val="1"/>
          <w:i w:val="1"/>
          <w:iCs w:val="1"/>
          <w:color w:val="auto"/>
        </w:rPr>
        <w:t>Legal Proceedings</w:t>
      </w:r>
    </w:p>
    <w:p>
      <w:pPr>
        <w:spacing w:after="0" w:line="257" w:lineRule="exact"/>
        <w:rPr>
          <w:sz w:val="20"/>
          <w:szCs w:val="20"/>
          <w:color w:val="auto"/>
        </w:rPr>
      </w:pPr>
    </w:p>
    <w:p>
      <w:pPr>
        <w:ind w:right="780" w:firstLine="702"/>
        <w:spacing w:after="0" w:line="295" w:lineRule="auto"/>
        <w:rPr>
          <w:sz w:val="20"/>
          <w:szCs w:val="20"/>
          <w:color w:val="auto"/>
        </w:rPr>
      </w:pPr>
      <w:r>
        <w:rPr>
          <w:rFonts w:ascii="Arial" w:cs="Arial" w:eastAsia="Arial" w:hAnsi="Arial"/>
          <w:sz w:val="19"/>
          <w:szCs w:val="19"/>
          <w:color w:val="auto"/>
        </w:rPr>
        <w:t>The information required by this item is included in Note 18 to our Consolidated Financial Statements, and is incorporated herein by reference thereto.</w:t>
      </w:r>
    </w:p>
    <w:p>
      <w:pPr>
        <w:spacing w:after="0" w:line="158" w:lineRule="exact"/>
        <w:rPr>
          <w:sz w:val="20"/>
          <w:szCs w:val="20"/>
          <w:color w:val="auto"/>
        </w:rPr>
      </w:pPr>
    </w:p>
    <w:p>
      <w:pPr>
        <w:jc w:val="center"/>
        <w:ind w:right="7420"/>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280"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Not applicable.</w:t>
      </w:r>
    </w:p>
    <w:p>
      <w:pPr>
        <w:sectPr>
          <w:pgSz w:w="11880" w:h="15480" w:orient="portrait"/>
          <w:cols w:equalWidth="0" w:num="1">
            <w:col w:w="10000"/>
          </w:cols>
          <w:pgMar w:left="940" w:top="67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880" w:h="15480" w:orient="portrait"/>
          <w:cols w:equalWidth="0" w:num="1">
            <w:col w:w="10000"/>
          </w:cols>
          <w:pgMar w:left="940" w:top="676" w:right="940" w:bottom="0" w:gutter="0" w:footer="0" w:header="0"/>
          <w:type w:val="continuous"/>
        </w:sectPr>
      </w:pPr>
    </w:p>
    <w:bookmarkStart w:id="68" w:name="page69"/>
    <w:bookmarkEnd w:id="68"/>
    <w:p>
      <w:pPr>
        <w:jc w:val="center"/>
        <w:ind w:right="-40"/>
        <w:spacing w:after="0"/>
        <w:rPr>
          <w:sz w:val="20"/>
          <w:szCs w:val="20"/>
          <w:color w:val="auto"/>
        </w:rPr>
      </w:pPr>
      <w:r>
        <w:rPr>
          <w:rFonts w:ascii="Arial" w:cs="Arial" w:eastAsia="Arial" w:hAnsi="Arial"/>
          <w:sz w:val="19"/>
          <w:szCs w:val="19"/>
          <w:b w:val="1"/>
          <w:bCs w:val="1"/>
          <w:color w:val="auto"/>
        </w:rPr>
        <w:t>PART II</w:t>
      </w:r>
    </w:p>
    <w:p>
      <w:pPr>
        <w:spacing w:after="0" w:line="249"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 xml:space="preserve">Item 5. </w:t>
      </w:r>
      <w:r>
        <w:rPr>
          <w:rFonts w:ascii="Arial" w:cs="Arial" w:eastAsia="Arial" w:hAnsi="Arial"/>
          <w:sz w:val="19"/>
          <w:szCs w:val="19"/>
          <w:b w:val="1"/>
          <w:bCs w:val="1"/>
          <w:i w:val="1"/>
          <w:iCs w:val="1"/>
          <w:color w:val="auto"/>
        </w:rPr>
        <w:t>Market for Registrant’s Shares, Related Shareholder Matters and Issuer Purchases of Equity Securities</w:t>
      </w:r>
    </w:p>
    <w:p>
      <w:pPr>
        <w:spacing w:after="0" w:line="249"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Market Information, Holders and Distributions</w:t>
      </w:r>
    </w:p>
    <w:p>
      <w:pPr>
        <w:spacing w:after="0" w:line="257" w:lineRule="exact"/>
        <w:rPr>
          <w:sz w:val="20"/>
          <w:szCs w:val="20"/>
          <w:color w:val="auto"/>
        </w:rPr>
      </w:pPr>
    </w:p>
    <w:p>
      <w:pPr>
        <w:ind w:left="1" w:right="40" w:firstLine="702"/>
        <w:spacing w:after="0" w:line="276" w:lineRule="auto"/>
        <w:rPr>
          <w:sz w:val="20"/>
          <w:szCs w:val="20"/>
          <w:color w:val="auto"/>
        </w:rPr>
      </w:pPr>
      <w:r>
        <w:rPr>
          <w:rFonts w:ascii="Arial" w:cs="Arial" w:eastAsia="Arial" w:hAnsi="Arial"/>
          <w:sz w:val="19"/>
          <w:szCs w:val="19"/>
          <w:color w:val="auto"/>
        </w:rPr>
        <w:t>Our Class A shares are listed and traded on The Nasdaq Global Select Market under the symbol “PAGP.” As of February 16, 2024, there were 197,121,318 Class A shares outstanding and approximately 67,000 record holders and beneficial owners (held in street name).</w:t>
      </w:r>
    </w:p>
    <w:p>
      <w:pPr>
        <w:spacing w:after="0" w:line="182" w:lineRule="exact"/>
        <w:rPr>
          <w:sz w:val="20"/>
          <w:szCs w:val="20"/>
          <w:color w:val="auto"/>
        </w:rPr>
      </w:pPr>
    </w:p>
    <w:p>
      <w:pPr>
        <w:ind w:left="1" w:right="280" w:firstLine="702"/>
        <w:spacing w:after="0" w:line="276" w:lineRule="auto"/>
        <w:rPr>
          <w:sz w:val="20"/>
          <w:szCs w:val="20"/>
          <w:color w:val="auto"/>
        </w:rPr>
      </w:pPr>
      <w:r>
        <w:rPr>
          <w:rFonts w:ascii="Arial" w:cs="Arial" w:eastAsia="Arial" w:hAnsi="Arial"/>
          <w:sz w:val="19"/>
          <w:szCs w:val="19"/>
          <w:color w:val="auto"/>
        </w:rPr>
        <w:t>The following table presents cash distributions per Class A share pertaining to the quarter presented, which were declared and paid in the following calendar quarter (see the “Cash Distribution Policy” section below for a discussion of our policy regarding distribution payments):</w:t>
      </w:r>
    </w:p>
    <w:p>
      <w:pPr>
        <w:spacing w:after="0" w:line="269" w:lineRule="exact"/>
        <w:rPr>
          <w:sz w:val="20"/>
          <w:szCs w:val="20"/>
          <w:color w:val="auto"/>
        </w:rPr>
      </w:pPr>
    </w:p>
    <w:tbl>
      <w:tblPr>
        <w:tblLayout w:type="fixed"/>
        <w:tblInd w:w="101" w:type="dxa"/>
        <w:tblCellMar>
          <w:top w:w="0" w:type="dxa"/>
          <w:left w:w="0" w:type="dxa"/>
          <w:bottom w:w="0" w:type="dxa"/>
          <w:right w:w="0" w:type="dxa"/>
        </w:tblCellMar>
      </w:tblPr>
      <w:tr>
        <w:trPr>
          <w:trHeight w:val="212"/>
        </w:trPr>
        <w:tc>
          <w:tcPr>
            <w:tcW w:w="3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89"/>
              <w:spacing w:after="0"/>
              <w:rPr>
                <w:sz w:val="20"/>
                <w:szCs w:val="20"/>
                <w:color w:val="auto"/>
              </w:rPr>
            </w:pPr>
            <w:r>
              <w:rPr>
                <w:rFonts w:ascii="Arial" w:cs="Arial" w:eastAsia="Arial" w:hAnsi="Arial"/>
                <w:sz w:val="16"/>
                <w:szCs w:val="16"/>
                <w:b w:val="1"/>
                <w:bCs w:val="1"/>
                <w:color w:val="auto"/>
                <w:w w:val="96"/>
              </w:rPr>
              <w:t>First Quarter</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9"/>
              <w:spacing w:after="0"/>
              <w:rPr>
                <w:sz w:val="20"/>
                <w:szCs w:val="20"/>
                <w:color w:val="auto"/>
              </w:rPr>
            </w:pPr>
            <w:r>
              <w:rPr>
                <w:rFonts w:ascii="Arial" w:cs="Arial" w:eastAsia="Arial" w:hAnsi="Arial"/>
                <w:sz w:val="16"/>
                <w:szCs w:val="16"/>
                <w:b w:val="1"/>
                <w:bCs w:val="1"/>
                <w:color w:val="auto"/>
                <w:w w:val="88"/>
              </w:rPr>
              <w:t>Second Quarter</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49"/>
              <w:spacing w:after="0"/>
              <w:rPr>
                <w:sz w:val="20"/>
                <w:szCs w:val="20"/>
                <w:color w:val="auto"/>
              </w:rPr>
            </w:pPr>
            <w:r>
              <w:rPr>
                <w:rFonts w:ascii="Arial" w:cs="Arial" w:eastAsia="Arial" w:hAnsi="Arial"/>
                <w:sz w:val="16"/>
                <w:szCs w:val="16"/>
                <w:b w:val="1"/>
                <w:bCs w:val="1"/>
                <w:color w:val="auto"/>
                <w:w w:val="97"/>
              </w:rPr>
              <w:t>Third Quarter</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9"/>
              <w:spacing w:after="0"/>
              <w:rPr>
                <w:sz w:val="20"/>
                <w:szCs w:val="20"/>
                <w:color w:val="auto"/>
              </w:rPr>
            </w:pPr>
            <w:r>
              <w:rPr>
                <w:rFonts w:ascii="Arial" w:cs="Arial" w:eastAsia="Arial" w:hAnsi="Arial"/>
                <w:sz w:val="16"/>
                <w:szCs w:val="16"/>
                <w:b w:val="1"/>
                <w:bCs w:val="1"/>
                <w:color w:val="auto"/>
                <w:w w:val="93"/>
              </w:rPr>
              <w:t>Fourth Quarter</w:t>
            </w:r>
          </w:p>
        </w:tc>
      </w:tr>
      <w:tr>
        <w:trPr>
          <w:trHeight w:val="269"/>
        </w:trPr>
        <w:tc>
          <w:tcPr>
            <w:tcW w:w="3740" w:type="dxa"/>
            <w:vAlign w:val="bottom"/>
          </w:tcPr>
          <w:p>
            <w:pPr>
              <w:jc w:val="right"/>
              <w:ind w:right="3263"/>
              <w:spacing w:after="0"/>
              <w:rPr>
                <w:sz w:val="20"/>
                <w:szCs w:val="20"/>
                <w:color w:val="auto"/>
              </w:rPr>
            </w:pPr>
            <w:r>
              <w:rPr>
                <w:rFonts w:ascii="Arial" w:cs="Arial" w:eastAsia="Arial" w:hAnsi="Arial"/>
                <w:sz w:val="19"/>
                <w:szCs w:val="19"/>
                <w:b w:val="1"/>
                <w:bCs w:val="1"/>
                <w:color w:val="auto"/>
                <w:w w:val="85"/>
              </w:rPr>
              <w:t>2023</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0.2675</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0.2675</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0.2675</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0.3175</w:t>
            </w:r>
          </w:p>
        </w:tc>
      </w:tr>
      <w:tr>
        <w:trPr>
          <w:trHeight w:val="292"/>
        </w:trPr>
        <w:tc>
          <w:tcPr>
            <w:tcW w:w="3740" w:type="dxa"/>
            <w:vAlign w:val="bottom"/>
          </w:tcPr>
          <w:p>
            <w:pPr>
              <w:jc w:val="right"/>
              <w:ind w:right="3263"/>
              <w:spacing w:after="0"/>
              <w:rPr>
                <w:sz w:val="20"/>
                <w:szCs w:val="20"/>
                <w:color w:val="auto"/>
              </w:rPr>
            </w:pPr>
            <w:r>
              <w:rPr>
                <w:rFonts w:ascii="Arial" w:cs="Arial" w:eastAsia="Arial" w:hAnsi="Arial"/>
                <w:sz w:val="19"/>
                <w:szCs w:val="19"/>
                <w:b w:val="1"/>
                <w:bCs w:val="1"/>
                <w:color w:val="auto"/>
                <w:w w:val="85"/>
              </w:rPr>
              <w:t>2022</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0.2175</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0.2175</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0.2175</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0.2675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-375285</wp:posOffset>
            </wp:positionV>
            <wp:extent cx="6320790" cy="396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extLst>
                    </a:blip>
                    <a:srcRect/>
                    <a:stretch>
                      <a:fillRect/>
                    </a:stretch>
                  </pic:blipFill>
                  <pic:spPr bwMode="auto">
                    <a:xfrm>
                      <a:off x="0" y="0"/>
                      <a:ext cx="6320790" cy="396875"/>
                    </a:xfrm>
                    <a:prstGeom prst="rect">
                      <a:avLst/>
                    </a:prstGeom>
                    <a:noFill/>
                  </pic:spPr>
                </pic:pic>
              </a:graphicData>
            </a:graphic>
          </wp:anchor>
        </w:drawing>
      </w:r>
    </w:p>
    <w:p>
      <w:pPr>
        <w:spacing w:after="0" w:line="264" w:lineRule="exact"/>
        <w:rPr>
          <w:sz w:val="20"/>
          <w:szCs w:val="20"/>
          <w:color w:val="auto"/>
        </w:rPr>
      </w:pPr>
    </w:p>
    <w:p>
      <w:pPr>
        <w:ind w:left="1" w:right="720" w:firstLine="702"/>
        <w:spacing w:after="0" w:line="325" w:lineRule="auto"/>
        <w:rPr>
          <w:sz w:val="20"/>
          <w:szCs w:val="20"/>
          <w:color w:val="auto"/>
        </w:rPr>
      </w:pPr>
      <w:r>
        <w:rPr>
          <w:rFonts w:ascii="Arial" w:cs="Arial" w:eastAsia="Arial" w:hAnsi="Arial"/>
          <w:sz w:val="18"/>
          <w:szCs w:val="18"/>
          <w:color w:val="auto"/>
        </w:rPr>
        <w:t>Our Class A shares are also used as a form of compensation to our directors. See Note 17 to our Consolidated Financial Statements for additional information regarding our equity-indexed compensation plans.</w:t>
      </w:r>
    </w:p>
    <w:p>
      <w:pPr>
        <w:spacing w:after="0" w:line="141" w:lineRule="exact"/>
        <w:rPr>
          <w:sz w:val="20"/>
          <w:szCs w:val="20"/>
          <w:color w:val="auto"/>
        </w:rPr>
      </w:pPr>
    </w:p>
    <w:p>
      <w:pPr>
        <w:ind w:left="701"/>
        <w:spacing w:after="0"/>
        <w:rPr>
          <w:sz w:val="20"/>
          <w:szCs w:val="20"/>
          <w:color w:val="auto"/>
        </w:rPr>
      </w:pPr>
      <w:r>
        <w:rPr>
          <w:rFonts w:ascii="Arial" w:cs="Arial" w:eastAsia="Arial" w:hAnsi="Arial"/>
          <w:sz w:val="19"/>
          <w:szCs w:val="19"/>
          <w:color w:val="auto"/>
        </w:rPr>
        <w:t>Our Class B shares and Class C shares are not listed or traded on any stock exchange.</w:t>
      </w:r>
    </w:p>
    <w:p>
      <w:pPr>
        <w:spacing w:after="0" w:line="242"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Performance Graph</w:t>
      </w:r>
    </w:p>
    <w:p>
      <w:pPr>
        <w:spacing w:after="0" w:line="257" w:lineRule="exact"/>
        <w:rPr>
          <w:sz w:val="20"/>
          <w:szCs w:val="20"/>
          <w:color w:val="auto"/>
        </w:rPr>
      </w:pPr>
    </w:p>
    <w:p>
      <w:pPr>
        <w:ind w:left="701"/>
        <w:spacing w:after="0"/>
        <w:rPr>
          <w:sz w:val="20"/>
          <w:szCs w:val="20"/>
          <w:color w:val="auto"/>
        </w:rPr>
      </w:pPr>
      <w:r>
        <w:rPr>
          <w:rFonts w:ascii="Arial" w:cs="Arial" w:eastAsia="Arial" w:hAnsi="Arial"/>
          <w:sz w:val="17"/>
          <w:szCs w:val="17"/>
          <w:color w:val="auto"/>
        </w:rPr>
        <w:t>The following graph compares the total unitholder return performance of our Class A shares with the performance of:</w:t>
      </w:r>
    </w:p>
    <w:p>
      <w:pPr>
        <w:spacing w:after="0" w:line="58" w:lineRule="exact"/>
        <w:rPr>
          <w:sz w:val="20"/>
          <w:szCs w:val="20"/>
          <w:color w:val="auto"/>
        </w:rPr>
      </w:pPr>
    </w:p>
    <w:p>
      <w:pPr>
        <w:ind w:left="1" w:right="80" w:hanging="1"/>
        <w:spacing w:after="0" w:line="281" w:lineRule="auto"/>
        <w:tabs>
          <w:tab w:leader="none" w:pos="2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Standard &amp; Poor’s 500 Stock Index (“S&amp;P 500”) and (ii) the Alerian Midstream Energy Index (“AMNA”). The AMNA is a broad-based composite of North American energy infrastructure companies that provides investors with a comprehensive benchmark for this asset class. The graph assumes that $100 was invested in our Class A shares and each comparison index beginning on December 31, 2018 and that all distributions were reinvested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153035</wp:posOffset>
            </wp:positionV>
            <wp:extent cx="6338570" cy="3157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extLst>
                    </a:blip>
                    <a:srcRect/>
                    <a:stretch>
                      <a:fillRect/>
                    </a:stretch>
                  </pic:blipFill>
                  <pic:spPr bwMode="auto">
                    <a:xfrm>
                      <a:off x="0" y="0"/>
                      <a:ext cx="6338570" cy="3157220"/>
                    </a:xfrm>
                    <a:prstGeom prst="rect">
                      <a:avLst/>
                    </a:prstGeom>
                    <a:noFill/>
                  </pic:spPr>
                </pic:pic>
              </a:graphicData>
            </a:graphic>
          </wp:anchor>
        </w:drawing>
      </w:r>
    </w:p>
    <w:p>
      <w:pPr>
        <w:spacing w:after="0" w:line="234" w:lineRule="exact"/>
        <w:rPr>
          <w:sz w:val="20"/>
          <w:szCs w:val="20"/>
          <w:color w:val="auto"/>
        </w:rPr>
      </w:pPr>
    </w:p>
    <w:p>
      <w:pPr>
        <w:ind w:left="141"/>
        <w:spacing w:after="0"/>
        <w:rPr>
          <w:sz w:val="20"/>
          <w:szCs w:val="20"/>
          <w:color w:val="auto"/>
        </w:rPr>
      </w:pPr>
      <w:r>
        <w:rPr>
          <w:rFonts w:ascii="Arial" w:cs="Arial" w:eastAsia="Arial" w:hAnsi="Arial"/>
          <w:sz w:val="19"/>
          <w:szCs w:val="19"/>
          <w:color w:val="auto"/>
        </w:rPr>
        <w:t>$250</w:t>
      </w:r>
    </w:p>
    <w:p>
      <w:pPr>
        <w:spacing w:after="0" w:line="200" w:lineRule="exact"/>
        <w:rPr>
          <w:sz w:val="20"/>
          <w:szCs w:val="20"/>
          <w:color w:val="auto"/>
        </w:rPr>
      </w:pPr>
    </w:p>
    <w:p>
      <w:pPr>
        <w:spacing w:after="0" w:line="327" w:lineRule="exact"/>
        <w:rPr>
          <w:sz w:val="20"/>
          <w:szCs w:val="20"/>
          <w:color w:val="auto"/>
        </w:rPr>
      </w:pPr>
    </w:p>
    <w:p>
      <w:pPr>
        <w:ind w:left="141"/>
        <w:spacing w:after="0"/>
        <w:rPr>
          <w:sz w:val="20"/>
          <w:szCs w:val="20"/>
          <w:color w:val="auto"/>
        </w:rPr>
      </w:pPr>
      <w:r>
        <w:rPr>
          <w:rFonts w:ascii="Arial" w:cs="Arial" w:eastAsia="Arial" w:hAnsi="Arial"/>
          <w:sz w:val="19"/>
          <w:szCs w:val="19"/>
          <w:color w:val="auto"/>
        </w:rPr>
        <w:t>$200</w:t>
      </w:r>
    </w:p>
    <w:p>
      <w:pPr>
        <w:spacing w:after="0" w:line="200" w:lineRule="exact"/>
        <w:rPr>
          <w:sz w:val="20"/>
          <w:szCs w:val="20"/>
          <w:color w:val="auto"/>
        </w:rPr>
      </w:pPr>
    </w:p>
    <w:p>
      <w:pPr>
        <w:spacing w:after="0" w:line="342" w:lineRule="exact"/>
        <w:rPr>
          <w:sz w:val="20"/>
          <w:szCs w:val="20"/>
          <w:color w:val="auto"/>
        </w:rPr>
      </w:pPr>
    </w:p>
    <w:p>
      <w:pPr>
        <w:ind w:left="141"/>
        <w:spacing w:after="0"/>
        <w:rPr>
          <w:sz w:val="20"/>
          <w:szCs w:val="20"/>
          <w:color w:val="auto"/>
        </w:rPr>
      </w:pPr>
      <w:r>
        <w:rPr>
          <w:rFonts w:ascii="Arial" w:cs="Arial" w:eastAsia="Arial" w:hAnsi="Arial"/>
          <w:sz w:val="19"/>
          <w:szCs w:val="19"/>
          <w:color w:val="auto"/>
        </w:rPr>
        <w:t>$150</w:t>
      </w:r>
    </w:p>
    <w:p>
      <w:pPr>
        <w:spacing w:after="0" w:line="200" w:lineRule="exact"/>
        <w:rPr>
          <w:sz w:val="20"/>
          <w:szCs w:val="20"/>
          <w:color w:val="auto"/>
        </w:rPr>
      </w:pPr>
    </w:p>
    <w:p>
      <w:pPr>
        <w:spacing w:after="0" w:line="327" w:lineRule="exact"/>
        <w:rPr>
          <w:sz w:val="20"/>
          <w:szCs w:val="20"/>
          <w:color w:val="auto"/>
        </w:rPr>
      </w:pPr>
    </w:p>
    <w:p>
      <w:pPr>
        <w:ind w:left="141"/>
        <w:spacing w:after="0"/>
        <w:rPr>
          <w:sz w:val="20"/>
          <w:szCs w:val="20"/>
          <w:color w:val="auto"/>
        </w:rPr>
      </w:pPr>
      <w:r>
        <w:rPr>
          <w:rFonts w:ascii="Arial" w:cs="Arial" w:eastAsia="Arial" w:hAnsi="Arial"/>
          <w:sz w:val="19"/>
          <w:szCs w:val="19"/>
          <w:color w:val="auto"/>
        </w:rPr>
        <w:t>$100</w:t>
      </w:r>
    </w:p>
    <w:p>
      <w:pPr>
        <w:spacing w:after="0" w:line="200" w:lineRule="exact"/>
        <w:rPr>
          <w:sz w:val="20"/>
          <w:szCs w:val="20"/>
          <w:color w:val="auto"/>
        </w:rPr>
      </w:pPr>
    </w:p>
    <w:p>
      <w:pPr>
        <w:spacing w:after="0" w:line="342" w:lineRule="exact"/>
        <w:rPr>
          <w:sz w:val="20"/>
          <w:szCs w:val="20"/>
          <w:color w:val="auto"/>
        </w:rPr>
      </w:pPr>
    </w:p>
    <w:p>
      <w:pPr>
        <w:ind w:left="221"/>
        <w:spacing w:after="0"/>
        <w:rPr>
          <w:sz w:val="20"/>
          <w:szCs w:val="20"/>
          <w:color w:val="auto"/>
        </w:rPr>
      </w:pPr>
      <w:r>
        <w:rPr>
          <w:rFonts w:ascii="Arial" w:cs="Arial" w:eastAsia="Arial" w:hAnsi="Arial"/>
          <w:sz w:val="19"/>
          <w:szCs w:val="19"/>
          <w:color w:val="auto"/>
        </w:rPr>
        <w:t>$50</w:t>
      </w:r>
    </w:p>
    <w:p>
      <w:pPr>
        <w:spacing w:after="0" w:line="200" w:lineRule="exact"/>
        <w:rPr>
          <w:sz w:val="20"/>
          <w:szCs w:val="20"/>
          <w:color w:val="auto"/>
        </w:rPr>
      </w:pPr>
    </w:p>
    <w:p>
      <w:pPr>
        <w:spacing w:after="0" w:line="327" w:lineRule="exact"/>
        <w:rPr>
          <w:sz w:val="20"/>
          <w:szCs w:val="20"/>
          <w:color w:val="auto"/>
        </w:rPr>
      </w:pPr>
    </w:p>
    <w:p>
      <w:pPr>
        <w:ind w:left="321"/>
        <w:spacing w:after="0"/>
        <w:rPr>
          <w:sz w:val="20"/>
          <w:szCs w:val="20"/>
          <w:color w:val="auto"/>
        </w:rPr>
      </w:pPr>
      <w:r>
        <w:rPr>
          <w:rFonts w:ascii="Arial" w:cs="Arial" w:eastAsia="Arial" w:hAnsi="Arial"/>
          <w:sz w:val="19"/>
          <w:szCs w:val="19"/>
          <w:color w:val="auto"/>
        </w:rPr>
        <w:t>$0</w:t>
      </w:r>
    </w:p>
    <w:p>
      <w:pPr>
        <w:spacing w:after="0" w:line="35" w:lineRule="exact"/>
        <w:rPr>
          <w:sz w:val="20"/>
          <w:szCs w:val="20"/>
          <w:color w:val="auto"/>
        </w:rPr>
      </w:pPr>
    </w:p>
    <w:tbl>
      <w:tblPr>
        <w:tblLayout w:type="fixed"/>
        <w:tblInd w:w="1141" w:type="dxa"/>
        <w:tblCellMar>
          <w:top w:w="0" w:type="dxa"/>
          <w:left w:w="0" w:type="dxa"/>
          <w:bottom w:w="0" w:type="dxa"/>
          <w:right w:w="0" w:type="dxa"/>
        </w:tblCellMar>
      </w:tblPr>
      <w:tr>
        <w:trPr>
          <w:trHeight w:val="254"/>
        </w:trPr>
        <w:tc>
          <w:tcPr>
            <w:tcW w:w="1100" w:type="dxa"/>
            <w:vAlign w:val="bottom"/>
          </w:tcPr>
          <w:p>
            <w:pPr>
              <w:jc w:val="right"/>
              <w:ind w:right="303"/>
              <w:spacing w:after="0"/>
              <w:rPr>
                <w:sz w:val="20"/>
                <w:szCs w:val="20"/>
                <w:color w:val="auto"/>
              </w:rPr>
            </w:pPr>
            <w:r>
              <w:rPr>
                <w:rFonts w:ascii="Arial" w:cs="Arial" w:eastAsia="Arial" w:hAnsi="Arial"/>
                <w:sz w:val="19"/>
                <w:szCs w:val="19"/>
                <w:color w:val="auto"/>
                <w:w w:val="91"/>
              </w:rPr>
              <w:t>12/31/18</w:t>
            </w:r>
          </w:p>
        </w:tc>
        <w:tc>
          <w:tcPr>
            <w:tcW w:w="1180" w:type="dxa"/>
            <w:vAlign w:val="bottom"/>
            <w:gridSpan w:val="3"/>
          </w:tcPr>
          <w:p>
            <w:pPr>
              <w:jc w:val="right"/>
              <w:ind w:right="60"/>
              <w:spacing w:after="0"/>
              <w:rPr>
                <w:sz w:val="20"/>
                <w:szCs w:val="20"/>
                <w:color w:val="auto"/>
              </w:rPr>
            </w:pPr>
            <w:r>
              <w:rPr>
                <w:rFonts w:ascii="Arial" w:cs="Arial" w:eastAsia="Arial" w:hAnsi="Arial"/>
                <w:sz w:val="19"/>
                <w:szCs w:val="19"/>
                <w:color w:val="auto"/>
              </w:rPr>
              <w:t>12/31/19</w:t>
            </w:r>
          </w:p>
        </w:tc>
        <w:tc>
          <w:tcPr>
            <w:tcW w:w="1480" w:type="dxa"/>
            <w:vAlign w:val="bottom"/>
          </w:tcPr>
          <w:p>
            <w:pPr>
              <w:jc w:val="right"/>
              <w:spacing w:after="0"/>
              <w:rPr>
                <w:sz w:val="20"/>
                <w:szCs w:val="20"/>
                <w:color w:val="auto"/>
              </w:rPr>
            </w:pPr>
            <w:r>
              <w:rPr>
                <w:rFonts w:ascii="Arial" w:cs="Arial" w:eastAsia="Arial" w:hAnsi="Arial"/>
                <w:sz w:val="19"/>
                <w:szCs w:val="19"/>
                <w:color w:val="auto"/>
              </w:rPr>
              <w:t>12/31/20</w:t>
            </w:r>
          </w:p>
        </w:tc>
        <w:tc>
          <w:tcPr>
            <w:tcW w:w="1580" w:type="dxa"/>
            <w:vAlign w:val="bottom"/>
          </w:tcPr>
          <w:p>
            <w:pPr>
              <w:jc w:val="right"/>
              <w:ind w:right="3"/>
              <w:spacing w:after="0"/>
              <w:rPr>
                <w:sz w:val="20"/>
                <w:szCs w:val="20"/>
                <w:color w:val="auto"/>
              </w:rPr>
            </w:pPr>
            <w:r>
              <w:rPr>
                <w:rFonts w:ascii="Arial" w:cs="Arial" w:eastAsia="Arial" w:hAnsi="Arial"/>
                <w:sz w:val="19"/>
                <w:szCs w:val="19"/>
                <w:color w:val="auto"/>
              </w:rPr>
              <w:t>12/31/21</w:t>
            </w:r>
          </w:p>
        </w:tc>
        <w:tc>
          <w:tcPr>
            <w:tcW w:w="1820" w:type="dxa"/>
            <w:vAlign w:val="bottom"/>
            <w:gridSpan w:val="2"/>
          </w:tcPr>
          <w:p>
            <w:pPr>
              <w:jc w:val="right"/>
              <w:ind w:right="400"/>
              <w:spacing w:after="0"/>
              <w:rPr>
                <w:sz w:val="20"/>
                <w:szCs w:val="20"/>
                <w:color w:val="auto"/>
              </w:rPr>
            </w:pPr>
            <w:r>
              <w:rPr>
                <w:rFonts w:ascii="Arial" w:cs="Arial" w:eastAsia="Arial" w:hAnsi="Arial"/>
                <w:sz w:val="19"/>
                <w:szCs w:val="19"/>
                <w:color w:val="auto"/>
              </w:rPr>
              <w:t>12/31/22</w:t>
            </w:r>
          </w:p>
        </w:tc>
        <w:tc>
          <w:tcPr>
            <w:tcW w:w="1120" w:type="dxa"/>
            <w:vAlign w:val="bottom"/>
          </w:tcPr>
          <w:p>
            <w:pPr>
              <w:jc w:val="right"/>
              <w:spacing w:after="0"/>
              <w:rPr>
                <w:sz w:val="20"/>
                <w:szCs w:val="20"/>
                <w:color w:val="auto"/>
              </w:rPr>
            </w:pPr>
            <w:r>
              <w:rPr>
                <w:rFonts w:ascii="Arial" w:cs="Arial" w:eastAsia="Arial" w:hAnsi="Arial"/>
                <w:sz w:val="19"/>
                <w:szCs w:val="19"/>
                <w:color w:val="auto"/>
              </w:rPr>
              <w:t>12/31/23</w:t>
            </w:r>
          </w:p>
        </w:tc>
        <w:tc>
          <w:tcPr>
            <w:tcW w:w="0" w:type="dxa"/>
            <w:vAlign w:val="bottom"/>
          </w:tcPr>
          <w:p>
            <w:pPr>
              <w:spacing w:after="0"/>
              <w:rPr>
                <w:sz w:val="1"/>
                <w:szCs w:val="1"/>
                <w:color w:val="auto"/>
              </w:rPr>
            </w:pPr>
          </w:p>
        </w:tc>
      </w:tr>
      <w:tr>
        <w:trPr>
          <w:trHeight w:val="147"/>
        </w:trPr>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10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vMerge w:val="restart"/>
          </w:tcPr>
          <w:p>
            <w:pPr>
              <w:jc w:val="right"/>
              <w:ind w:right="823"/>
              <w:spacing w:after="0"/>
              <w:rPr>
                <w:sz w:val="20"/>
                <w:szCs w:val="20"/>
                <w:color w:val="auto"/>
              </w:rPr>
            </w:pPr>
            <w:r>
              <w:rPr>
                <w:rFonts w:ascii="Arial" w:cs="Arial" w:eastAsia="Arial" w:hAnsi="Arial"/>
                <w:sz w:val="19"/>
                <w:szCs w:val="19"/>
                <w:color w:val="auto"/>
              </w:rPr>
              <w:t>PAGP</w:t>
            </w:r>
          </w:p>
        </w:tc>
        <w:tc>
          <w:tcPr>
            <w:tcW w:w="1580" w:type="dxa"/>
            <w:vAlign w:val="bottom"/>
            <w:tcBorders>
              <w:top w:val="single" w:sz="8" w:color="auto"/>
              <w:bottom w:val="single" w:sz="8" w:color="auto"/>
            </w:tcBorders>
            <w:vMerge w:val="restart"/>
          </w:tcPr>
          <w:p>
            <w:pPr>
              <w:jc w:val="right"/>
              <w:ind w:right="743"/>
              <w:spacing w:after="0"/>
              <w:rPr>
                <w:sz w:val="20"/>
                <w:szCs w:val="20"/>
                <w:color w:val="auto"/>
              </w:rPr>
            </w:pPr>
            <w:r>
              <w:rPr>
                <w:rFonts w:ascii="Arial" w:cs="Arial" w:eastAsia="Arial" w:hAnsi="Arial"/>
                <w:sz w:val="19"/>
                <w:szCs w:val="19"/>
                <w:color w:val="auto"/>
                <w:w w:val="95"/>
              </w:rPr>
              <w:t>S&amp;P 500</w:t>
            </w:r>
          </w:p>
        </w:tc>
        <w:tc>
          <w:tcPr>
            <w:tcW w:w="840" w:type="dxa"/>
            <w:vAlign w:val="bottom"/>
            <w:tcBorders>
              <w:top w:val="single" w:sz="8" w:color="auto"/>
              <w:bottom w:val="single" w:sz="8" w:color="auto"/>
              <w:right w:val="single" w:sz="8" w:color="auto"/>
            </w:tcBorders>
            <w:vMerge w:val="restart"/>
          </w:tcPr>
          <w:p>
            <w:pPr>
              <w:ind w:left="100"/>
              <w:spacing w:after="0"/>
              <w:rPr>
                <w:sz w:val="20"/>
                <w:szCs w:val="20"/>
                <w:color w:val="auto"/>
              </w:rPr>
            </w:pPr>
            <w:r>
              <w:rPr>
                <w:rFonts w:ascii="Arial" w:cs="Arial" w:eastAsia="Arial" w:hAnsi="Arial"/>
                <w:sz w:val="19"/>
                <w:szCs w:val="19"/>
                <w:color w:val="auto"/>
              </w:rPr>
              <w:t>AMNA</w:t>
            </w: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110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10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961"/>
          </w:cols>
          <w:pgMar w:left="939" w:top="66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69</w:t>
      </w:r>
    </w:p>
    <w:p>
      <w:pPr>
        <w:sectPr>
          <w:pgSz w:w="11880" w:h="15480" w:orient="portrait"/>
          <w:cols w:equalWidth="0" w:num="1">
            <w:col w:w="9961"/>
          </w:cols>
          <w:pgMar w:left="939" w:top="669" w:right="980" w:bottom="0" w:gutter="0" w:footer="0" w:header="0"/>
          <w:type w:val="continuous"/>
        </w:sectPr>
      </w:pPr>
    </w:p>
    <w:bookmarkStart w:id="69" w:name="page70"/>
    <w:bookmarkEnd w:id="69"/>
    <w:tbl>
      <w:tblPr>
        <w:tblLayout w:type="fixed"/>
        <w:tblInd w:w="20" w:type="dxa"/>
        <w:tblCellMar>
          <w:top w:w="0" w:type="dxa"/>
          <w:left w:w="0" w:type="dxa"/>
          <w:bottom w:w="0" w:type="dxa"/>
          <w:right w:w="0" w:type="dxa"/>
        </w:tblCellMar>
      </w:tblPr>
      <w:tr>
        <w:trPr>
          <w:trHeight w:val="212"/>
        </w:trPr>
        <w:tc>
          <w:tcPr>
            <w:tcW w:w="2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w w:val="89"/>
              </w:rPr>
              <w:t>12/31/2018</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w w:val="89"/>
              </w:rPr>
              <w:t>12/31/2019</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w w:val="89"/>
              </w:rPr>
              <w:t>12/31/2020</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w w:val="89"/>
              </w:rPr>
              <w:t>12/31/2021</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w w:val="89"/>
              </w:rPr>
              <w:t>12/31/2022</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w w:val="89"/>
              </w:rPr>
              <w:t>12/31/2023</w:t>
            </w:r>
          </w:p>
        </w:tc>
      </w:tr>
      <w:tr>
        <w:trPr>
          <w:trHeight w:val="269"/>
        </w:trPr>
        <w:tc>
          <w:tcPr>
            <w:tcW w:w="2880" w:type="dxa"/>
            <w:vAlign w:val="bottom"/>
          </w:tcPr>
          <w:p>
            <w:pPr>
              <w:spacing w:after="0"/>
              <w:rPr>
                <w:sz w:val="20"/>
                <w:szCs w:val="20"/>
                <w:color w:val="auto"/>
              </w:rPr>
            </w:pPr>
            <w:r>
              <w:rPr>
                <w:rFonts w:ascii="Arial" w:cs="Arial" w:eastAsia="Arial" w:hAnsi="Arial"/>
                <w:sz w:val="19"/>
                <w:szCs w:val="19"/>
                <w:color w:val="auto"/>
              </w:rPr>
              <w:t>PAGP</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100.00</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100.28</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48.96</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63.11</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83.11</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114.79</w:t>
            </w:r>
          </w:p>
        </w:tc>
      </w:tr>
      <w:tr>
        <w:trPr>
          <w:trHeight w:val="292"/>
        </w:trPr>
        <w:tc>
          <w:tcPr>
            <w:tcW w:w="2880" w:type="dxa"/>
            <w:vAlign w:val="bottom"/>
          </w:tcPr>
          <w:p>
            <w:pPr>
              <w:spacing w:after="0"/>
              <w:rPr>
                <w:sz w:val="20"/>
                <w:szCs w:val="20"/>
                <w:color w:val="auto"/>
              </w:rPr>
            </w:pPr>
            <w:r>
              <w:rPr>
                <w:rFonts w:ascii="Arial" w:cs="Arial" w:eastAsia="Arial" w:hAnsi="Arial"/>
                <w:sz w:val="19"/>
                <w:szCs w:val="19"/>
                <w:color w:val="auto"/>
              </w:rPr>
              <w:t>S&amp;P 500</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100.00</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131.49</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155.68</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200.37</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164.08</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207.21</w:t>
            </w:r>
          </w:p>
        </w:tc>
      </w:tr>
      <w:tr>
        <w:trPr>
          <w:trHeight w:val="292"/>
        </w:trPr>
        <w:tc>
          <w:tcPr>
            <w:tcW w:w="2880" w:type="dxa"/>
            <w:vAlign w:val="bottom"/>
          </w:tcPr>
          <w:p>
            <w:pPr>
              <w:spacing w:after="0"/>
              <w:rPr>
                <w:sz w:val="20"/>
                <w:szCs w:val="20"/>
                <w:color w:val="auto"/>
              </w:rPr>
            </w:pPr>
            <w:r>
              <w:rPr>
                <w:rFonts w:ascii="Arial" w:cs="Arial" w:eastAsia="Arial" w:hAnsi="Arial"/>
                <w:sz w:val="19"/>
                <w:szCs w:val="19"/>
                <w:color w:val="auto"/>
              </w:rPr>
              <w:t>AMNA</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100.00</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124.04</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95.06</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131.58</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159.92</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182.34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-560705</wp:posOffset>
            </wp:positionV>
            <wp:extent cx="6404610" cy="5822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extLst>
                    </a:blip>
                    <a:srcRect/>
                    <a:stretch>
                      <a:fillRect/>
                    </a:stretch>
                  </pic:blipFill>
                  <pic:spPr bwMode="auto">
                    <a:xfrm>
                      <a:off x="0" y="0"/>
                      <a:ext cx="6404610" cy="582295"/>
                    </a:xfrm>
                    <a:prstGeom prst="rect">
                      <a:avLst/>
                    </a:prstGeom>
                    <a:noFill/>
                  </pic:spPr>
                </pic:pic>
              </a:graphicData>
            </a:graphic>
          </wp:anchor>
        </w:drawing>
      </w:r>
    </w:p>
    <w:p>
      <w:pPr>
        <w:spacing w:after="0" w:line="264" w:lineRule="exact"/>
        <w:rPr>
          <w:sz w:val="20"/>
          <w:szCs w:val="20"/>
          <w:color w:val="auto"/>
        </w:rPr>
      </w:pPr>
    </w:p>
    <w:p>
      <w:pPr>
        <w:ind w:right="60" w:firstLine="702"/>
        <w:spacing w:after="0" w:line="305" w:lineRule="auto"/>
        <w:rPr>
          <w:sz w:val="20"/>
          <w:szCs w:val="20"/>
          <w:color w:val="auto"/>
        </w:rPr>
      </w:pPr>
      <w:r>
        <w:rPr>
          <w:rFonts w:ascii="Arial" w:cs="Arial" w:eastAsia="Arial" w:hAnsi="Arial"/>
          <w:sz w:val="17"/>
          <w:szCs w:val="17"/>
          <w:color w:val="auto"/>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Sales of Unregistered Securities</w:t>
      </w:r>
    </w:p>
    <w:p>
      <w:pPr>
        <w:spacing w:after="0" w:line="25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None.</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Issuer Purchases of Equity Securities</w:t>
      </w:r>
    </w:p>
    <w:p>
      <w:pPr>
        <w:spacing w:after="0" w:line="25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None.</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Distribution Policy</w:t>
      </w:r>
    </w:p>
    <w:p>
      <w:pPr>
        <w:spacing w:after="0" w:line="257" w:lineRule="exact"/>
        <w:rPr>
          <w:sz w:val="20"/>
          <w:szCs w:val="20"/>
          <w:color w:val="auto"/>
        </w:rPr>
      </w:pPr>
    </w:p>
    <w:p>
      <w:pPr>
        <w:ind w:right="20" w:firstLine="702"/>
        <w:spacing w:after="0" w:line="266" w:lineRule="auto"/>
        <w:rPr>
          <w:sz w:val="20"/>
          <w:szCs w:val="20"/>
          <w:color w:val="auto"/>
        </w:rPr>
      </w:pPr>
      <w:r>
        <w:rPr>
          <w:rFonts w:ascii="Arial" w:cs="Arial" w:eastAsia="Arial" w:hAnsi="Arial"/>
          <w:sz w:val="19"/>
          <w:szCs w:val="19"/>
          <w:color w:val="auto"/>
        </w:rPr>
        <w:t>Our partnership agreement requires that, within 55 days following the end of each quarter, we distribute all of our available cash to Class A shareholders of record on the applicable record date. Available cash generally means, for any quarter ending prior to liquidation, all cash and cash equivalents on hand on the date of determination of available cash for the distribution in respect of such quarter (including expected distributions from AAP in respect of such quarter), less the amount of cash reserves established by our general partner to:</w:t>
      </w:r>
    </w:p>
    <w:p>
      <w:pPr>
        <w:spacing w:after="0" w:line="154" w:lineRule="exact"/>
        <w:rPr>
          <w:sz w:val="20"/>
          <w:szCs w:val="20"/>
          <w:color w:val="auto"/>
        </w:rPr>
      </w:pPr>
    </w:p>
    <w:p>
      <w:pPr>
        <w:ind w:left="1060" w:right="560" w:hanging="359"/>
        <w:spacing w:after="0" w:line="295" w:lineRule="auto"/>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comply with applicable law or any agreement binding upon us or our subsidiaries (exclusive of PAA and its subsidiaries);</w:t>
      </w:r>
    </w:p>
    <w:p>
      <w:pPr>
        <w:spacing w:after="0" w:line="47" w:lineRule="exact"/>
        <w:rPr>
          <w:rFonts w:ascii="Arial" w:cs="Arial" w:eastAsia="Arial" w:hAnsi="Arial"/>
          <w:sz w:val="19"/>
          <w:szCs w:val="19"/>
          <w:color w:val="auto"/>
        </w:rPr>
      </w:pPr>
    </w:p>
    <w:p>
      <w:pPr>
        <w:ind w:left="1060" w:hanging="359"/>
        <w:spacing w:after="0"/>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provide funds for future distributions to shareholders;</w:t>
      </w:r>
    </w:p>
    <w:p>
      <w:pPr>
        <w:spacing w:after="0" w:line="132" w:lineRule="exact"/>
        <w:rPr>
          <w:rFonts w:ascii="Arial" w:cs="Arial" w:eastAsia="Arial" w:hAnsi="Arial"/>
          <w:sz w:val="19"/>
          <w:szCs w:val="19"/>
          <w:color w:val="auto"/>
        </w:rPr>
      </w:pPr>
    </w:p>
    <w:p>
      <w:pPr>
        <w:ind w:left="1060" w:right="100" w:hanging="359"/>
        <w:spacing w:after="0" w:line="295" w:lineRule="auto"/>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provide for future capital expenditures, debt service and other credit needs as well as any federal, state, provincial or other income tax that may affect us in the future;</w:t>
      </w:r>
    </w:p>
    <w:p>
      <w:pPr>
        <w:spacing w:after="0" w:line="47" w:lineRule="exact"/>
        <w:rPr>
          <w:rFonts w:ascii="Arial" w:cs="Arial" w:eastAsia="Arial" w:hAnsi="Arial"/>
          <w:sz w:val="19"/>
          <w:szCs w:val="19"/>
          <w:color w:val="auto"/>
        </w:rPr>
      </w:pPr>
    </w:p>
    <w:p>
      <w:pPr>
        <w:ind w:left="1060" w:hanging="359"/>
        <w:spacing w:after="0"/>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provide for our general, administrative or other expenses; or</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provide for the proper conduct of our business.</w:t>
      </w:r>
    </w:p>
    <w:p>
      <w:pPr>
        <w:spacing w:after="0" w:line="249" w:lineRule="exact"/>
        <w:rPr>
          <w:sz w:val="20"/>
          <w:szCs w:val="20"/>
          <w:color w:val="auto"/>
        </w:rPr>
      </w:pPr>
    </w:p>
    <w:p>
      <w:pPr>
        <w:ind w:right="40" w:firstLine="702"/>
        <w:spacing w:after="0" w:line="277" w:lineRule="auto"/>
        <w:rPr>
          <w:sz w:val="20"/>
          <w:szCs w:val="20"/>
          <w:color w:val="auto"/>
        </w:rPr>
      </w:pPr>
      <w:r>
        <w:rPr>
          <w:rFonts w:ascii="Arial" w:cs="Arial" w:eastAsia="Arial" w:hAnsi="Arial"/>
          <w:sz w:val="18"/>
          <w:szCs w:val="18"/>
          <w:color w:val="auto"/>
        </w:rPr>
        <w:t>Our principal source of cash flow is derived from our indirect investment in PAA. As of December 31, 2023, we owned approximately 196.4 million AAP units, which represented an approximate 84% limited partner interest in AAP. AAP currently receives all of its cash flows from its ownership of PAA common units. Therefore, our cash flow and resulting ability to make distributions is dependent upon the ability of PAA to make distributions to AAP in respect of the common units AAP owns. As of December 31, 2023, AAP owned approximately 232.7 million PAA common units. The actual amount of cash that PAA, and correspondingly AAP, will have available for distribution will primarily depend on the amount of cash PAA generates from its operations. Also, under the terms of the agreements governing PAA’s debt, PAA is prohibited from declaring or paying any distribution to unitholders if a default or event of default (as defined in such agreements) exists. No such default has occurred. See Item 7. “Management’s Discussion and Analysis of Financial Condition and Results of Operations— Liquidity and Capital Resources—Credit Agreements, Commercial Paper Program and Indentures.”</w:t>
      </w:r>
    </w:p>
    <w:p>
      <w:pPr>
        <w:spacing w:after="0" w:line="185" w:lineRule="exact"/>
        <w:rPr>
          <w:sz w:val="20"/>
          <w:szCs w:val="20"/>
          <w:color w:val="auto"/>
        </w:rPr>
      </w:pPr>
    </w:p>
    <w:p>
      <w:pPr>
        <w:ind w:right="600" w:firstLine="702"/>
        <w:spacing w:after="0" w:line="295" w:lineRule="auto"/>
        <w:rPr>
          <w:sz w:val="20"/>
          <w:szCs w:val="20"/>
          <w:color w:val="auto"/>
        </w:rPr>
      </w:pPr>
      <w:r>
        <w:rPr>
          <w:rFonts w:ascii="Arial" w:cs="Arial" w:eastAsia="Arial" w:hAnsi="Arial"/>
          <w:sz w:val="19"/>
          <w:szCs w:val="19"/>
          <w:color w:val="auto"/>
        </w:rPr>
        <w:t>Our general partner owns a non-economic general partner interest in us, which does not entitle it to receive cash distributions.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6. </w:t>
      </w:r>
      <w:r>
        <w:rPr>
          <w:rFonts w:ascii="Arial" w:cs="Arial" w:eastAsia="Arial" w:hAnsi="Arial"/>
          <w:sz w:val="19"/>
          <w:szCs w:val="19"/>
          <w:b w:val="1"/>
          <w:bCs w:val="1"/>
          <w:i w:val="1"/>
          <w:iCs w:val="1"/>
          <w:color w:val="auto"/>
        </w:rPr>
        <w:t>Reserved</w:t>
      </w:r>
    </w:p>
    <w:p>
      <w:pPr>
        <w:sectPr>
          <w:pgSz w:w="11880" w:h="15480" w:orient="portrait"/>
          <w:cols w:equalWidth="0" w:num="1">
            <w:col w:w="10020"/>
          </w:cols>
          <w:pgMar w:left="940" w:top="8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70</w:t>
      </w:r>
    </w:p>
    <w:p>
      <w:pPr>
        <w:sectPr>
          <w:pgSz w:w="11880" w:h="15480" w:orient="portrait"/>
          <w:cols w:equalWidth="0" w:num="1">
            <w:col w:w="10020"/>
          </w:cols>
          <w:pgMar w:left="940" w:top="807" w:right="920" w:bottom="0" w:gutter="0" w:footer="0" w:header="0"/>
          <w:type w:val="continuous"/>
        </w:sectPr>
      </w:pPr>
    </w:p>
    <w:bookmarkStart w:id="70" w:name="page71"/>
    <w:bookmarkEnd w:id="70"/>
    <w:p>
      <w:pPr>
        <w:spacing w:after="0"/>
        <w:rPr>
          <w:sz w:val="20"/>
          <w:szCs w:val="20"/>
          <w:color w:val="auto"/>
        </w:rPr>
      </w:pPr>
      <w:r>
        <w:rPr>
          <w:rFonts w:ascii="Arial" w:cs="Arial" w:eastAsia="Arial" w:hAnsi="Arial"/>
          <w:sz w:val="19"/>
          <w:szCs w:val="19"/>
          <w:b w:val="1"/>
          <w:bCs w:val="1"/>
          <w:color w:val="auto"/>
        </w:rPr>
        <w:t xml:space="preserve">Item 7.  </w:t>
      </w:r>
      <w:r>
        <w:rPr>
          <w:rFonts w:ascii="Arial" w:cs="Arial" w:eastAsia="Arial" w:hAnsi="Arial"/>
          <w:sz w:val="19"/>
          <w:szCs w:val="19"/>
          <w:b w:val="1"/>
          <w:bCs w:val="1"/>
          <w:i w:val="1"/>
          <w:iCs w:val="1"/>
          <w:color w:val="auto"/>
        </w:rPr>
        <w:t>Management’s Discussion and Analysis of Financial Condition and Results of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Introduction</w:t>
      </w:r>
    </w:p>
    <w:p>
      <w:pPr>
        <w:spacing w:after="0" w:line="257" w:lineRule="exact"/>
        <w:rPr>
          <w:sz w:val="20"/>
          <w:szCs w:val="20"/>
          <w:color w:val="auto"/>
        </w:rPr>
      </w:pPr>
    </w:p>
    <w:p>
      <w:pPr>
        <w:ind w:right="140" w:firstLine="702"/>
        <w:spacing w:after="0" w:line="269" w:lineRule="auto"/>
        <w:rPr>
          <w:sz w:val="20"/>
          <w:szCs w:val="20"/>
          <w:color w:val="auto"/>
        </w:rPr>
      </w:pPr>
      <w:r>
        <w:rPr>
          <w:rFonts w:ascii="Arial" w:cs="Arial" w:eastAsia="Arial" w:hAnsi="Arial"/>
          <w:sz w:val="19"/>
          <w:szCs w:val="19"/>
          <w:color w:val="auto"/>
        </w:rPr>
        <w:t>The following discussion is intended to provide investors with an understanding of our financial condition and results of our operations and should be read in conjunction with our historical Consolidated Financial Statements and accompanying notes. Unless the context otherwise requires, references to “we,” “us,” “our,” and “PAGP” are intended to mean the business and operations of PAGP and its consolidated subsidiaries.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9"/>
          <w:szCs w:val="19"/>
          <w:color w:val="auto"/>
        </w:rPr>
        <w:t>Our discussion and analysis includes the following:</w:t>
      </w:r>
    </w:p>
    <w:p>
      <w:pPr>
        <w:spacing w:after="0" w:line="249" w:lineRule="exact"/>
        <w:rPr>
          <w:sz w:val="20"/>
          <w:szCs w:val="20"/>
          <w:color w:val="auto"/>
        </w:rPr>
      </w:pPr>
    </w:p>
    <w:p>
      <w:pPr>
        <w:ind w:left="1060" w:hanging="359"/>
        <w:spacing w:after="0"/>
        <w:tabs>
          <w:tab w:leader="none" w:pos="10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Executive Summary</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Results of Operations</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Liquidity and Capital Resources</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Critical Accounting Policies and Estimates</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Recent Accounting Pronouncements</w:t>
      </w:r>
    </w:p>
    <w:p>
      <w:pPr>
        <w:spacing w:after="0" w:line="249" w:lineRule="exact"/>
        <w:rPr>
          <w:sz w:val="20"/>
          <w:szCs w:val="20"/>
          <w:color w:val="auto"/>
        </w:rPr>
      </w:pPr>
    </w:p>
    <w:p>
      <w:pPr>
        <w:ind w:right="20" w:firstLine="702"/>
        <w:spacing w:after="0" w:line="298" w:lineRule="auto"/>
        <w:rPr>
          <w:sz w:val="20"/>
          <w:szCs w:val="20"/>
          <w:color w:val="auto"/>
        </w:rPr>
      </w:pPr>
      <w:r>
        <w:rPr>
          <w:rFonts w:ascii="Arial" w:cs="Arial" w:eastAsia="Arial" w:hAnsi="Arial"/>
          <w:sz w:val="18"/>
          <w:szCs w:val="18"/>
          <w:color w:val="auto"/>
        </w:rPr>
        <w:t>A comparative discussion of our 2022 to 2021 operating results and performance measures can be found in Item 7. “Management’s Discussion and Analysis of Financial Condition and Results of Operations—Results of Operations” included in our Annual Report on Form 10-K for the year ended December 31, 2022 filed with the SEC on March 1, 2023.</w:t>
      </w: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Summary</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Company Overview</w:t>
      </w:r>
    </w:p>
    <w:p>
      <w:pPr>
        <w:spacing w:after="0" w:line="257" w:lineRule="exact"/>
        <w:rPr>
          <w:sz w:val="20"/>
          <w:szCs w:val="20"/>
          <w:color w:val="auto"/>
        </w:rPr>
      </w:pPr>
    </w:p>
    <w:p>
      <w:pPr>
        <w:ind w:right="80" w:firstLine="702"/>
        <w:spacing w:after="0" w:line="279" w:lineRule="auto"/>
        <w:rPr>
          <w:sz w:val="20"/>
          <w:szCs w:val="20"/>
          <w:color w:val="auto"/>
        </w:rPr>
      </w:pPr>
      <w:r>
        <w:rPr>
          <w:rFonts w:ascii="Arial" w:cs="Arial" w:eastAsia="Arial" w:hAnsi="Arial"/>
          <w:sz w:val="18"/>
          <w:szCs w:val="18"/>
          <w:color w:val="auto"/>
        </w:rPr>
        <w:t>We are a Delaware limited partnership formed in 2013 that has elected to be taxed as a corporation for United States federal income tax purposes. As of December 31, 2023, our sole cash-generating assets consisted of an approximate 84% limited partner interest in AAP through our ownership of approximately 196.4 million AAP units. We also own a 100% managing member interest in GP LLC. GP LLC is a Delaware limited liability company that holds the non-economic general partner interest in AAP. AAP is a Delaware limited partnership that, as of December 31, 2023, directly owned a limited partner interest in PAA through its ownership of approximately 232.7 million PAA common units (approximately 30% of PAA’s total outstanding common units and Series A preferred units combined). AAP is the sole member of PAA GP, a Delaware limited liability company that directly holds the non-economic general partner interest in PAA.</w:t>
      </w:r>
    </w:p>
    <w:p>
      <w:pPr>
        <w:spacing w:after="0" w:line="181" w:lineRule="exact"/>
        <w:rPr>
          <w:sz w:val="20"/>
          <w:szCs w:val="20"/>
          <w:color w:val="auto"/>
        </w:rPr>
      </w:pPr>
    </w:p>
    <w:p>
      <w:pPr>
        <w:ind w:firstLine="702"/>
        <w:spacing w:after="0" w:line="264" w:lineRule="auto"/>
        <w:rPr>
          <w:sz w:val="20"/>
          <w:szCs w:val="20"/>
          <w:color w:val="auto"/>
        </w:rPr>
      </w:pPr>
      <w:r>
        <w:rPr>
          <w:rFonts w:ascii="Arial" w:cs="Arial" w:eastAsia="Arial" w:hAnsi="Arial"/>
          <w:sz w:val="19"/>
          <w:szCs w:val="19"/>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NGL producing basins (including the Permian Basin) and transportation corridors and at major market hubs in the United States and Canada. PAA’s assets and the services it provides are primarily focused on crude oil and NGL.</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Market Overview and Outlook</w:t>
      </w:r>
    </w:p>
    <w:p>
      <w:pPr>
        <w:spacing w:after="0" w:line="257" w:lineRule="exact"/>
        <w:rPr>
          <w:sz w:val="20"/>
          <w:szCs w:val="20"/>
          <w:color w:val="auto"/>
        </w:rPr>
      </w:pPr>
    </w:p>
    <w:p>
      <w:pPr>
        <w:ind w:right="240" w:firstLine="702"/>
        <w:spacing w:after="0" w:line="266" w:lineRule="auto"/>
        <w:rPr>
          <w:sz w:val="20"/>
          <w:szCs w:val="20"/>
          <w:color w:val="auto"/>
        </w:rPr>
      </w:pPr>
      <w:r>
        <w:rPr>
          <w:rFonts w:ascii="Arial" w:cs="Arial" w:eastAsia="Arial" w:hAnsi="Arial"/>
          <w:sz w:val="19"/>
          <w:szCs w:val="19"/>
          <w:color w:val="auto"/>
        </w:rPr>
        <w:t>Crude oil and other petroleum liquids are supplied to the global market by producers around the world, with the majority coming from the Organization of Petroleum Exporting Countries (“OPEC”), North American producers and the Russian Federation, among others. The chart below depicts the relationship between global supply of crude oil and other petroleum liquids and demand since the beginning of 2019 and the U.S. Energy Information Administration’s (“EIA”) Short-Term Energy Outlook as of January 2024:</w:t>
      </w:r>
    </w:p>
    <w:p>
      <w:pPr>
        <w:sectPr>
          <w:pgSz w:w="11880" w:h="15480" w:orient="portrait"/>
          <w:cols w:equalWidth="0" w:num="1">
            <w:col w:w="10000"/>
          </w:cols>
          <w:pgMar w:left="940" w:top="67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880" w:h="15480" w:orient="portrait"/>
          <w:cols w:equalWidth="0" w:num="1">
            <w:col w:w="10000"/>
          </w:cols>
          <w:pgMar w:left="940" w:top="672" w:right="940" w:bottom="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9"/>
          <w:szCs w:val="19"/>
          <w:b w:val="1"/>
          <w:bCs w:val="1"/>
          <w:color w:val="auto"/>
        </w:rPr>
        <w:t xml:space="preserve">World Liquid Fuels Production and Consumption Balance </w:t>
      </w:r>
      <w:r>
        <w:rPr>
          <w:rFonts w:ascii="Arial" w:cs="Arial" w:eastAsia="Arial" w:hAnsi="Arial"/>
          <w:sz w:val="25"/>
          <w:szCs w:val="25"/>
          <w:b w:val="1"/>
          <w:bCs w:val="1"/>
          <w:color w:val="auto"/>
          <w:vertAlign w:val="superscript"/>
        </w:rPr>
        <w:t>(1)</w:t>
      </w:r>
    </w:p>
    <w:p>
      <w:pPr>
        <w:jc w:val="center"/>
        <w:spacing w:after="0"/>
        <w:rPr>
          <w:sz w:val="20"/>
          <w:szCs w:val="20"/>
          <w:color w:val="auto"/>
        </w:rPr>
      </w:pPr>
      <w:r>
        <w:rPr>
          <w:rFonts w:ascii="Arial" w:cs="Arial" w:eastAsia="Arial" w:hAnsi="Arial"/>
          <w:sz w:val="19"/>
          <w:szCs w:val="19"/>
          <w:b w:val="1"/>
          <w:bCs w:val="1"/>
          <w:color w:val="auto"/>
        </w:rPr>
        <w:t>(in millions of barrels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184785</wp:posOffset>
            </wp:positionV>
            <wp:extent cx="6351270" cy="3575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extLst>
                    </a:blip>
                    <a:srcRect/>
                    <a:stretch>
                      <a:fillRect/>
                    </a:stretch>
                  </pic:blipFill>
                  <pic:spPr bwMode="auto">
                    <a:xfrm>
                      <a:off x="0" y="0"/>
                      <a:ext cx="6351270" cy="357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01" w:hanging="701"/>
        <w:spacing w:after="0"/>
        <w:tabs>
          <w:tab w:leader="none" w:pos="701" w:val="left"/>
        </w:tabs>
        <w:numPr>
          <w:ilvl w:val="0"/>
          <w:numId w:val="38"/>
        </w:numPr>
        <w:rPr>
          <w:rFonts w:ascii="Arial" w:cs="Arial" w:eastAsia="Arial" w:hAnsi="Arial"/>
          <w:sz w:val="25"/>
          <w:szCs w:val="25"/>
          <w:color w:val="auto"/>
          <w:vertAlign w:val="superscript"/>
        </w:rPr>
      </w:pPr>
      <w:r>
        <w:rPr>
          <w:rFonts w:ascii="Arial" w:cs="Arial" w:eastAsia="Arial" w:hAnsi="Arial"/>
          <w:sz w:val="19"/>
          <w:szCs w:val="19"/>
          <w:color w:val="auto"/>
        </w:rPr>
        <w:t>Barrels produced and consumed per quarter.</w:t>
      </w:r>
    </w:p>
    <w:p>
      <w:pPr>
        <w:spacing w:after="0" w:line="214" w:lineRule="exact"/>
        <w:rPr>
          <w:sz w:val="20"/>
          <w:szCs w:val="20"/>
          <w:color w:val="auto"/>
        </w:rPr>
      </w:pPr>
    </w:p>
    <w:p>
      <w:pPr>
        <w:ind w:left="1" w:right="280" w:firstLine="702"/>
        <w:spacing w:after="0" w:line="289" w:lineRule="auto"/>
        <w:rPr>
          <w:sz w:val="20"/>
          <w:szCs w:val="20"/>
          <w:color w:val="auto"/>
        </w:rPr>
      </w:pPr>
      <w:r>
        <w:rPr>
          <w:rFonts w:ascii="Arial" w:cs="Arial" w:eastAsia="Arial" w:hAnsi="Arial"/>
          <w:sz w:val="18"/>
          <w:szCs w:val="18"/>
          <w:color w:val="auto"/>
        </w:rPr>
        <w:t>We believe that the combination of population growth and progressively improving living standards for non-OECD (Organization for Economic Cooperation and Development) countries underpins increasing energy demand globally for decades to come. We believe reliable, affordable, and responsible energy resources are all critical components to maintain energy security and global stability, requiring all sources of energy including both hydrocarbons and renewables.</w:t>
      </w:r>
    </w:p>
    <w:p>
      <w:pPr>
        <w:spacing w:after="0" w:line="173" w:lineRule="exact"/>
        <w:rPr>
          <w:sz w:val="20"/>
          <w:szCs w:val="20"/>
          <w:color w:val="auto"/>
        </w:rPr>
      </w:pPr>
    </w:p>
    <w:p>
      <w:pPr>
        <w:ind w:left="1" w:right="60" w:firstLine="702"/>
        <w:spacing w:after="0" w:line="269" w:lineRule="auto"/>
        <w:rPr>
          <w:sz w:val="20"/>
          <w:szCs w:val="20"/>
          <w:color w:val="auto"/>
        </w:rPr>
      </w:pPr>
      <w:r>
        <w:rPr>
          <w:rFonts w:ascii="Arial" w:cs="Arial" w:eastAsia="Arial" w:hAnsi="Arial"/>
          <w:sz w:val="19"/>
          <w:szCs w:val="19"/>
          <w:color w:val="auto"/>
        </w:rPr>
        <w:t>Consistent with the forecast from the EIA’s Short-Term Energy Outlook (as depicted in the chart above), we expect crude oil demand to continue to increase, driven largely by our view that hydrocarbon-based fuels are the most efficient fuels for the transportation of people and goods, and hydrocarbon-based products provide the building blocks for modern civilization such as fertilizers, plastics and cement.</w:t>
      </w:r>
    </w:p>
    <w:p>
      <w:pPr>
        <w:spacing w:after="0" w:line="190" w:lineRule="exact"/>
        <w:rPr>
          <w:sz w:val="20"/>
          <w:szCs w:val="20"/>
          <w:color w:val="auto"/>
        </w:rPr>
      </w:pPr>
    </w:p>
    <w:p>
      <w:pPr>
        <w:jc w:val="both"/>
        <w:ind w:left="1" w:firstLine="702"/>
        <w:spacing w:after="0" w:line="298" w:lineRule="auto"/>
        <w:rPr>
          <w:sz w:val="20"/>
          <w:szCs w:val="20"/>
          <w:color w:val="auto"/>
        </w:rPr>
      </w:pPr>
      <w:r>
        <w:rPr>
          <w:rFonts w:ascii="Arial" w:cs="Arial" w:eastAsia="Arial" w:hAnsi="Arial"/>
          <w:sz w:val="18"/>
          <w:szCs w:val="18"/>
          <w:color w:val="auto"/>
        </w:rPr>
        <w:t>North America has proven to be an essential and reliable source of crude oil and NGL production growth for the global market. This is driven by the lifting of the U.S. crude oil export ban, infrastructure debottlenecking in both the U.S. and Canada, and world-class geological formations unlocked through technological improvements and techniques.</w:t>
      </w:r>
    </w:p>
    <w:p>
      <w:pPr>
        <w:spacing w:after="0" w:line="165" w:lineRule="exact"/>
        <w:rPr>
          <w:sz w:val="20"/>
          <w:szCs w:val="20"/>
          <w:color w:val="auto"/>
        </w:rPr>
      </w:pPr>
    </w:p>
    <w:p>
      <w:pPr>
        <w:ind w:left="1" w:right="60" w:firstLine="702"/>
        <w:spacing w:after="0" w:line="289" w:lineRule="auto"/>
        <w:rPr>
          <w:sz w:val="20"/>
          <w:szCs w:val="20"/>
          <w:color w:val="auto"/>
        </w:rPr>
      </w:pPr>
      <w:r>
        <w:rPr>
          <w:rFonts w:ascii="Arial" w:cs="Arial" w:eastAsia="Arial" w:hAnsi="Arial"/>
          <w:sz w:val="18"/>
          <w:szCs w:val="18"/>
          <w:color w:val="auto"/>
        </w:rPr>
        <w:t>The Permian Basin continues to be one of the most prolific basins in the world and was the predominant driver of U.S. production growth in 2023. The remainder of the U.S. unconventional plays continue to see modest growth. We expect the Permian Basin to be a key contributor to global supply for years to come, based on strong economics and the recent wave of consolidation leading to more stable activity levels over a wide range of commodity price environments.</w:t>
      </w:r>
    </w:p>
    <w:p>
      <w:pPr>
        <w:spacing w:after="0" w:line="173" w:lineRule="exact"/>
        <w:rPr>
          <w:sz w:val="20"/>
          <w:szCs w:val="20"/>
          <w:color w:val="auto"/>
        </w:rPr>
      </w:pPr>
    </w:p>
    <w:p>
      <w:pPr>
        <w:ind w:left="1" w:right="100" w:firstLine="702"/>
        <w:spacing w:after="0" w:line="284" w:lineRule="auto"/>
        <w:rPr>
          <w:sz w:val="20"/>
          <w:szCs w:val="20"/>
          <w:color w:val="auto"/>
        </w:rPr>
      </w:pPr>
      <w:r>
        <w:rPr>
          <w:rFonts w:ascii="Arial" w:cs="Arial" w:eastAsia="Arial" w:hAnsi="Arial"/>
          <w:sz w:val="18"/>
          <w:szCs w:val="18"/>
          <w:color w:val="auto"/>
        </w:rPr>
        <w:t>It is against this macro energy market backdrop that we expect to generate significant positive free cash flow on a multi-year basis, supported by our existing asset base and integrated business model. Our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w:t>
      </w:r>
    </w:p>
    <w:p>
      <w:pPr>
        <w:sectPr>
          <w:pgSz w:w="11880" w:h="15480" w:orient="portrait"/>
          <w:cols w:equalWidth="0" w:num="1">
            <w:col w:w="10001"/>
          </w:cols>
          <w:pgMar w:left="939" w:top="64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880" w:h="15480" w:orient="portrait"/>
          <w:cols w:equalWidth="0" w:num="1">
            <w:col w:w="10001"/>
          </w:cols>
          <w:pgMar w:left="939" w:top="641" w:right="940" w:bottom="0" w:gutter="0" w:footer="0" w:header="0"/>
          <w:type w:val="continuous"/>
        </w:sectPr>
      </w:pPr>
    </w:p>
    <w:bookmarkStart w:id="72" w:name="page73"/>
    <w:bookmarkEnd w:id="72"/>
    <w:p>
      <w:pPr>
        <w:ind w:left="1"/>
        <w:spacing w:after="0"/>
        <w:rPr>
          <w:sz w:val="20"/>
          <w:szCs w:val="20"/>
          <w:color w:val="auto"/>
        </w:rPr>
      </w:pPr>
      <w:r>
        <w:rPr>
          <w:rFonts w:ascii="Arial" w:cs="Arial" w:eastAsia="Arial" w:hAnsi="Arial"/>
          <w:sz w:val="19"/>
          <w:szCs w:val="19"/>
          <w:b w:val="1"/>
          <w:bCs w:val="1"/>
          <w:i w:val="1"/>
          <w:iCs w:val="1"/>
          <w:color w:val="auto"/>
        </w:rPr>
        <w:t>Overview of Operating Results</w:t>
      </w:r>
    </w:p>
    <w:p>
      <w:pPr>
        <w:spacing w:after="0" w:line="257" w:lineRule="exact"/>
        <w:rPr>
          <w:sz w:val="20"/>
          <w:szCs w:val="20"/>
          <w:color w:val="auto"/>
        </w:rPr>
      </w:pPr>
    </w:p>
    <w:p>
      <w:pPr>
        <w:jc w:val="both"/>
        <w:ind w:left="1" w:right="80" w:firstLine="702"/>
        <w:spacing w:after="0" w:line="289" w:lineRule="auto"/>
        <w:rPr>
          <w:sz w:val="20"/>
          <w:szCs w:val="20"/>
          <w:color w:val="auto"/>
        </w:rPr>
      </w:pPr>
      <w:r>
        <w:rPr>
          <w:rFonts w:ascii="Arial" w:cs="Arial" w:eastAsia="Arial" w:hAnsi="Arial"/>
          <w:sz w:val="18"/>
          <w:szCs w:val="18"/>
          <w:color w:val="auto"/>
        </w:rPr>
        <w:t>We recognized net income of $1.425 billion for the year ended December 31, 2023 compared to net income of $1.163 billion for the year ended December 31, 2022. Our results include the benefit of higher tariff volumes and tariff escalations on our crude oil pipelines in 2023, as well as the impact of acquisitions. In addition, the 2022 comparative period includes higher costs from the increase in the accrual for estimated costs associated with the Line 901 incident.</w:t>
      </w:r>
    </w:p>
    <w:p>
      <w:pPr>
        <w:spacing w:after="0" w:line="173" w:lineRule="exact"/>
        <w:rPr>
          <w:sz w:val="20"/>
          <w:szCs w:val="20"/>
          <w:color w:val="auto"/>
        </w:rPr>
      </w:pPr>
    </w:p>
    <w:p>
      <w:pPr>
        <w:ind w:left="1" w:right="40" w:firstLine="702"/>
        <w:spacing w:after="0" w:line="311" w:lineRule="auto"/>
        <w:rPr>
          <w:sz w:val="20"/>
          <w:szCs w:val="20"/>
          <w:color w:val="auto"/>
        </w:rPr>
      </w:pPr>
      <w:r>
        <w:rPr>
          <w:rFonts w:ascii="Arial" w:cs="Arial" w:eastAsia="Arial" w:hAnsi="Arial"/>
          <w:sz w:val="17"/>
          <w:szCs w:val="17"/>
          <w:color w:val="auto"/>
        </w:rPr>
        <w:t>Additionally, net income for 2023 includes favorable impacts from gains on asset sales and the mark-to-market adjustment of the Preferred Distribution Rate Reset Option compared to losses in the 2022 period, which were partially offset by the benefit to the 2022 period of a gain recognized associated with the remeasurement of our previously held 65% interest in Cactus II to fair value in connection with our acquisition of an additional 5% interest in Cactus II in November 2022.</w:t>
      </w:r>
    </w:p>
    <w:p>
      <w:pPr>
        <w:spacing w:after="0" w:line="157" w:lineRule="exact"/>
        <w:rPr>
          <w:sz w:val="20"/>
          <w:szCs w:val="20"/>
          <w:color w:val="auto"/>
        </w:rPr>
      </w:pPr>
    </w:p>
    <w:p>
      <w:pPr>
        <w:ind w:left="701"/>
        <w:spacing w:after="0"/>
        <w:rPr>
          <w:sz w:val="20"/>
          <w:szCs w:val="20"/>
          <w:color w:val="auto"/>
        </w:rPr>
      </w:pPr>
      <w:r>
        <w:rPr>
          <w:rFonts w:ascii="Arial" w:cs="Arial" w:eastAsia="Arial" w:hAnsi="Arial"/>
          <w:sz w:val="19"/>
          <w:szCs w:val="19"/>
          <w:color w:val="auto"/>
        </w:rPr>
        <w:t>See the “—Results of Operations” section below for further discussion.</w:t>
      </w:r>
    </w:p>
    <w:p>
      <w:pPr>
        <w:spacing w:after="0" w:line="242"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Results of Operations</w:t>
      </w:r>
    </w:p>
    <w:p>
      <w:pPr>
        <w:spacing w:after="0" w:line="249"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Consolidated Results</w:t>
      </w:r>
    </w:p>
    <w:p>
      <w:pPr>
        <w:spacing w:after="0" w:line="257" w:lineRule="exact"/>
        <w:rPr>
          <w:sz w:val="20"/>
          <w:szCs w:val="20"/>
          <w:color w:val="auto"/>
        </w:rPr>
      </w:pPr>
    </w:p>
    <w:p>
      <w:pPr>
        <w:ind w:left="1" w:right="200" w:firstLine="702"/>
        <w:spacing w:after="0" w:line="295" w:lineRule="auto"/>
        <w:rPr>
          <w:sz w:val="20"/>
          <w:szCs w:val="20"/>
          <w:color w:val="auto"/>
        </w:rPr>
      </w:pPr>
      <w:r>
        <w:rPr>
          <w:rFonts w:ascii="Arial" w:cs="Arial" w:eastAsia="Arial" w:hAnsi="Arial"/>
          <w:sz w:val="19"/>
          <w:szCs w:val="19"/>
          <w:color w:val="auto"/>
        </w:rPr>
        <w:t>The following table sets forth an overview of our consolidated financial results calculated in accordance with GAAP (in millions, except per share data):</w:t>
      </w:r>
    </w:p>
    <w:p>
      <w:pPr>
        <w:spacing w:after="0" w:line="252" w:lineRule="exact"/>
        <w:rPr>
          <w:sz w:val="20"/>
          <w:szCs w:val="20"/>
          <w:color w:val="auto"/>
        </w:rPr>
      </w:pPr>
    </w:p>
    <w:tbl>
      <w:tblPr>
        <w:tblLayout w:type="fixed"/>
        <w:tblInd w:w="81" w:type="dxa"/>
        <w:tblCellMar>
          <w:top w:w="0" w:type="dxa"/>
          <w:left w:w="0" w:type="dxa"/>
          <w:bottom w:w="0" w:type="dxa"/>
          <w:right w:w="0" w:type="dxa"/>
        </w:tblCellMar>
      </w:tblPr>
      <w:tr>
        <w:trPr>
          <w:trHeight w:val="212"/>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ind w:left="480"/>
              <w:spacing w:after="0"/>
              <w:rPr>
                <w:sz w:val="20"/>
                <w:szCs w:val="20"/>
                <w:color w:val="auto"/>
              </w:rPr>
            </w:pPr>
            <w:r>
              <w:rPr>
                <w:rFonts w:ascii="Arial" w:cs="Arial" w:eastAsia="Arial" w:hAnsi="Arial"/>
                <w:sz w:val="16"/>
                <w:szCs w:val="16"/>
                <w:b w:val="1"/>
                <w:bCs w:val="1"/>
                <w:color w:val="auto"/>
              </w:rPr>
              <w:t>Variance</w:t>
            </w:r>
          </w:p>
        </w:tc>
        <w:tc>
          <w:tcPr>
            <w:tcW w:w="700" w:type="dxa"/>
            <w:vAlign w:val="bottom"/>
          </w:tcPr>
          <w:p>
            <w:pPr>
              <w:spacing w:after="0"/>
              <w:rPr>
                <w:sz w:val="18"/>
                <w:szCs w:val="18"/>
                <w:color w:val="auto"/>
              </w:rPr>
            </w:pPr>
          </w:p>
        </w:tc>
      </w:tr>
      <w:tr>
        <w:trPr>
          <w:trHeight w:val="229"/>
        </w:trPr>
        <w:tc>
          <w:tcPr>
            <w:tcW w:w="5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6"/>
                <w:szCs w:val="16"/>
                <w:b w:val="1"/>
                <w:bCs w:val="1"/>
                <w:color w:val="auto"/>
              </w:rPr>
              <w:t>%</w:t>
            </w:r>
          </w:p>
        </w:tc>
      </w:tr>
      <w:tr>
        <w:trPr>
          <w:trHeight w:val="269"/>
        </w:trPr>
        <w:tc>
          <w:tcPr>
            <w:tcW w:w="5320" w:type="dxa"/>
            <w:vAlign w:val="bottom"/>
          </w:tcPr>
          <w:p>
            <w:pPr>
              <w:spacing w:after="0"/>
              <w:rPr>
                <w:sz w:val="20"/>
                <w:szCs w:val="20"/>
                <w:color w:val="auto"/>
              </w:rPr>
            </w:pPr>
            <w:r>
              <w:rPr>
                <w:rFonts w:ascii="Arial" w:cs="Arial" w:eastAsia="Arial" w:hAnsi="Arial"/>
                <w:sz w:val="19"/>
                <w:szCs w:val="19"/>
                <w:color w:val="auto"/>
              </w:rPr>
              <w:t>Product sales revenues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46,974</w:t>
            </w:r>
          </w:p>
        </w:tc>
        <w:tc>
          <w:tcPr>
            <w:tcW w:w="340" w:type="dxa"/>
            <w:vAlign w:val="bottom"/>
            <w:gridSpan w:val="2"/>
          </w:tcPr>
          <w:p>
            <w:pPr>
              <w:jc w:val="right"/>
              <w:ind w:right="3"/>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55,948</w:t>
            </w:r>
          </w:p>
        </w:tc>
        <w:tc>
          <w:tcPr>
            <w:tcW w:w="80" w:type="dxa"/>
            <w:vAlign w:val="bottom"/>
            <w:tcBorders>
              <w:right w:val="single" w:sz="8" w:color="auto"/>
            </w:tcBorders>
          </w:tcPr>
          <w:p>
            <w:pPr>
              <w:spacing w:after="0"/>
              <w:rPr>
                <w:sz w:val="23"/>
                <w:szCs w:val="23"/>
                <w:color w:val="auto"/>
              </w:rPr>
            </w:pPr>
          </w:p>
        </w:tc>
        <w:tc>
          <w:tcPr>
            <w:tcW w:w="38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(8,974)</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92"/>
        </w:trPr>
        <w:tc>
          <w:tcPr>
            <w:tcW w:w="5320" w:type="dxa"/>
            <w:vAlign w:val="bottom"/>
          </w:tcPr>
          <w:p>
            <w:pPr>
              <w:spacing w:after="0"/>
              <w:rPr>
                <w:sz w:val="20"/>
                <w:szCs w:val="20"/>
                <w:color w:val="auto"/>
              </w:rPr>
            </w:pPr>
            <w:r>
              <w:rPr>
                <w:rFonts w:ascii="Arial" w:cs="Arial" w:eastAsia="Arial" w:hAnsi="Arial"/>
                <w:sz w:val="19"/>
                <w:szCs w:val="19"/>
                <w:color w:val="auto"/>
              </w:rPr>
              <w:t>Services revenues</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1,738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1,394</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344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25 %</w:t>
            </w:r>
          </w:p>
        </w:tc>
      </w:tr>
      <w:tr>
        <w:trPr>
          <w:trHeight w:val="292"/>
        </w:trPr>
        <w:tc>
          <w:tcPr>
            <w:tcW w:w="5320" w:type="dxa"/>
            <w:vAlign w:val="bottom"/>
          </w:tcPr>
          <w:p>
            <w:pPr>
              <w:spacing w:after="0"/>
              <w:rPr>
                <w:sz w:val="20"/>
                <w:szCs w:val="20"/>
                <w:color w:val="auto"/>
              </w:rPr>
            </w:pPr>
            <w:r>
              <w:rPr>
                <w:rFonts w:ascii="Arial" w:cs="Arial" w:eastAsia="Arial" w:hAnsi="Arial"/>
                <w:sz w:val="19"/>
                <w:szCs w:val="19"/>
                <w:color w:val="auto"/>
              </w:rPr>
              <w:t>Purchases and related costs</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(44,531)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(53,176)</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8,645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16 %</w:t>
            </w:r>
          </w:p>
        </w:tc>
      </w:tr>
      <w:tr>
        <w:trPr>
          <w:trHeight w:val="292"/>
        </w:trPr>
        <w:tc>
          <w:tcPr>
            <w:tcW w:w="5320" w:type="dxa"/>
            <w:vAlign w:val="bottom"/>
          </w:tcPr>
          <w:p>
            <w:pPr>
              <w:spacing w:after="0"/>
              <w:rPr>
                <w:sz w:val="20"/>
                <w:szCs w:val="20"/>
                <w:color w:val="auto"/>
              </w:rPr>
            </w:pPr>
            <w:r>
              <w:rPr>
                <w:rFonts w:ascii="Arial" w:cs="Arial" w:eastAsia="Arial" w:hAnsi="Arial"/>
                <w:sz w:val="19"/>
                <w:szCs w:val="19"/>
                <w:color w:val="auto"/>
              </w:rPr>
              <w:t>Field operating costs</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(1,425)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(1,315)</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(110)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292"/>
        </w:trPr>
        <w:tc>
          <w:tcPr>
            <w:tcW w:w="5320" w:type="dxa"/>
            <w:vAlign w:val="bottom"/>
          </w:tcPr>
          <w:p>
            <w:pPr>
              <w:spacing w:after="0"/>
              <w:rPr>
                <w:sz w:val="20"/>
                <w:szCs w:val="20"/>
                <w:color w:val="auto"/>
              </w:rPr>
            </w:pPr>
            <w:r>
              <w:rPr>
                <w:rFonts w:ascii="Arial" w:cs="Arial" w:eastAsia="Arial" w:hAnsi="Arial"/>
                <w:sz w:val="19"/>
                <w:szCs w:val="19"/>
                <w:color w:val="auto"/>
              </w:rPr>
              <w:t>General and administrative expenses</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(356)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(330)</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292"/>
        </w:trPr>
        <w:tc>
          <w:tcPr>
            <w:tcW w:w="5320" w:type="dxa"/>
            <w:vAlign w:val="bottom"/>
          </w:tcPr>
          <w:p>
            <w:pPr>
              <w:spacing w:after="0"/>
              <w:rPr>
                <w:sz w:val="20"/>
                <w:szCs w:val="20"/>
                <w:color w:val="auto"/>
              </w:rPr>
            </w:pPr>
            <w:r>
              <w:rPr>
                <w:rFonts w:ascii="Arial" w:cs="Arial" w:eastAsia="Arial" w:hAnsi="Arial"/>
                <w:sz w:val="19"/>
                <w:szCs w:val="19"/>
                <w:color w:val="auto"/>
              </w:rPr>
              <w:t>Depreciation and amortization</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(1,051)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(968)</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(83)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92"/>
        </w:trPr>
        <w:tc>
          <w:tcPr>
            <w:tcW w:w="5320" w:type="dxa"/>
            <w:vAlign w:val="bottom"/>
          </w:tcPr>
          <w:p>
            <w:pPr>
              <w:spacing w:after="0"/>
              <w:rPr>
                <w:sz w:val="20"/>
                <w:szCs w:val="20"/>
                <w:color w:val="auto"/>
              </w:rPr>
            </w:pPr>
            <w:r>
              <w:rPr>
                <w:rFonts w:ascii="Arial" w:cs="Arial" w:eastAsia="Arial" w:hAnsi="Arial"/>
                <w:sz w:val="19"/>
                <w:szCs w:val="19"/>
                <w:color w:val="auto"/>
              </w:rPr>
              <w:t>Gains/(losses) on asset sales and asset impairments, net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152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(269)</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421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157 %</w:t>
            </w:r>
          </w:p>
        </w:tc>
      </w:tr>
      <w:tr>
        <w:trPr>
          <w:trHeight w:val="292"/>
        </w:trPr>
        <w:tc>
          <w:tcPr>
            <w:tcW w:w="5320" w:type="dxa"/>
            <w:vAlign w:val="bottom"/>
          </w:tcPr>
          <w:p>
            <w:pPr>
              <w:spacing w:after="0"/>
              <w:rPr>
                <w:sz w:val="20"/>
                <w:szCs w:val="20"/>
                <w:color w:val="auto"/>
              </w:rPr>
            </w:pPr>
            <w:r>
              <w:rPr>
                <w:rFonts w:ascii="Arial" w:cs="Arial" w:eastAsia="Arial" w:hAnsi="Arial"/>
                <w:sz w:val="19"/>
                <w:szCs w:val="19"/>
                <w:color w:val="auto"/>
              </w:rPr>
              <w:t>Equity earnings in unconsolidated entities</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369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403</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292"/>
        </w:trPr>
        <w:tc>
          <w:tcPr>
            <w:tcW w:w="5320" w:type="dxa"/>
            <w:vAlign w:val="bottom"/>
          </w:tcPr>
          <w:p>
            <w:pPr>
              <w:spacing w:after="0"/>
              <w:rPr>
                <w:sz w:val="20"/>
                <w:szCs w:val="20"/>
                <w:color w:val="auto"/>
              </w:rPr>
            </w:pPr>
            <w:r>
              <w:rPr>
                <w:rFonts w:ascii="Arial" w:cs="Arial" w:eastAsia="Arial" w:hAnsi="Arial"/>
                <w:sz w:val="19"/>
                <w:szCs w:val="19"/>
                <w:color w:val="auto"/>
              </w:rPr>
              <w:t>Gains/(losses) on investments in unconsolidated entities, net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346</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(318)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(92)%</w:t>
            </w:r>
          </w:p>
        </w:tc>
      </w:tr>
      <w:tr>
        <w:trPr>
          <w:trHeight w:val="292"/>
        </w:trPr>
        <w:tc>
          <w:tcPr>
            <w:tcW w:w="5320" w:type="dxa"/>
            <w:vAlign w:val="bottom"/>
          </w:tcPr>
          <w:p>
            <w:pPr>
              <w:spacing w:after="0"/>
              <w:rPr>
                <w:sz w:val="20"/>
                <w:szCs w:val="20"/>
                <w:color w:val="auto"/>
              </w:rPr>
            </w:pPr>
            <w:r>
              <w:rPr>
                <w:rFonts w:ascii="Arial" w:cs="Arial" w:eastAsia="Arial" w:hAnsi="Arial"/>
                <w:sz w:val="19"/>
                <w:szCs w:val="19"/>
                <w:color w:val="auto"/>
              </w:rPr>
              <w:t>Interest expense, net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(386)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(405)</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5 %</w:t>
            </w:r>
          </w:p>
        </w:tc>
      </w:tr>
      <w:tr>
        <w:trPr>
          <w:trHeight w:val="292"/>
        </w:trPr>
        <w:tc>
          <w:tcPr>
            <w:tcW w:w="5320" w:type="dxa"/>
            <w:vAlign w:val="bottom"/>
          </w:tcPr>
          <w:p>
            <w:pPr>
              <w:spacing w:after="0"/>
              <w:rPr>
                <w:sz w:val="20"/>
                <w:szCs w:val="20"/>
                <w:color w:val="auto"/>
              </w:rPr>
            </w:pPr>
            <w:r>
              <w:rPr>
                <w:rFonts w:ascii="Arial" w:cs="Arial" w:eastAsia="Arial" w:hAnsi="Arial"/>
                <w:sz w:val="19"/>
                <w:szCs w:val="19"/>
                <w:color w:val="auto"/>
              </w:rPr>
              <w:t>Other income/(expense), net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102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(219)</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321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147 %</w:t>
            </w:r>
          </w:p>
        </w:tc>
      </w:tr>
      <w:tr>
        <w:trPr>
          <w:trHeight w:val="295"/>
        </w:trPr>
        <w:tc>
          <w:tcPr>
            <w:tcW w:w="5320" w:type="dxa"/>
            <w:vAlign w:val="bottom"/>
          </w:tcPr>
          <w:p>
            <w:pPr>
              <w:spacing w:after="0"/>
              <w:rPr>
                <w:sz w:val="20"/>
                <w:szCs w:val="20"/>
                <w:color w:val="auto"/>
              </w:rPr>
            </w:pPr>
            <w:r>
              <w:rPr>
                <w:rFonts w:ascii="Arial" w:cs="Arial" w:eastAsia="Arial" w:hAnsi="Arial"/>
                <w:sz w:val="19"/>
                <w:szCs w:val="19"/>
                <w:color w:val="auto"/>
              </w:rPr>
              <w:t>Income tax expense</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(189)</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(246)</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57</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23 %</w:t>
            </w:r>
          </w:p>
        </w:tc>
      </w:tr>
      <w:tr>
        <w:trPr>
          <w:trHeight w:val="269"/>
        </w:trPr>
        <w:tc>
          <w:tcPr>
            <w:tcW w:w="5320" w:type="dxa"/>
            <w:vAlign w:val="bottom"/>
          </w:tcPr>
          <w:p>
            <w:pPr>
              <w:spacing w:after="0"/>
              <w:rPr>
                <w:sz w:val="20"/>
                <w:szCs w:val="20"/>
                <w:color w:val="auto"/>
              </w:rPr>
            </w:pPr>
            <w:r>
              <w:rPr>
                <w:rFonts w:ascii="Arial" w:cs="Arial" w:eastAsia="Arial" w:hAnsi="Arial"/>
                <w:sz w:val="19"/>
                <w:szCs w:val="19"/>
                <w:color w:val="auto"/>
              </w:rPr>
              <w:t>Net income</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1,425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1,163</w:t>
            </w: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262</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23 %</w:t>
            </w:r>
          </w:p>
        </w:tc>
      </w:tr>
      <w:tr>
        <w:trPr>
          <w:trHeight w:val="295"/>
        </w:trPr>
        <w:tc>
          <w:tcPr>
            <w:tcW w:w="5320" w:type="dxa"/>
            <w:vAlign w:val="bottom"/>
          </w:tcPr>
          <w:p>
            <w:pPr>
              <w:ind w:left="120"/>
              <w:spacing w:after="0"/>
              <w:rPr>
                <w:sz w:val="20"/>
                <w:szCs w:val="20"/>
                <w:color w:val="auto"/>
              </w:rPr>
            </w:pPr>
            <w:r>
              <w:rPr>
                <w:rFonts w:ascii="Arial" w:cs="Arial" w:eastAsia="Arial" w:hAnsi="Arial"/>
                <w:sz w:val="19"/>
                <w:szCs w:val="19"/>
                <w:color w:val="auto"/>
              </w:rPr>
              <w:t>Net income attributable to noncontrolling interests</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(1,227)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(995)</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(232)</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w:t>
            </w:r>
          </w:p>
        </w:tc>
      </w:tr>
      <w:tr>
        <w:trPr>
          <w:trHeight w:val="253"/>
        </w:trPr>
        <w:tc>
          <w:tcPr>
            <w:tcW w:w="5320" w:type="dxa"/>
            <w:vAlign w:val="bottom"/>
          </w:tcPr>
          <w:p>
            <w:pPr>
              <w:spacing w:after="0"/>
              <w:rPr>
                <w:sz w:val="20"/>
                <w:szCs w:val="20"/>
                <w:color w:val="auto"/>
              </w:rPr>
            </w:pPr>
            <w:r>
              <w:rPr>
                <w:rFonts w:ascii="Arial" w:cs="Arial" w:eastAsia="Arial" w:hAnsi="Arial"/>
                <w:sz w:val="19"/>
                <w:szCs w:val="19"/>
                <w:color w:val="auto"/>
              </w:rPr>
              <w:t>Net income attributable to PAGP</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198</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9"/>
                <w:szCs w:val="19"/>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168</w:t>
            </w:r>
          </w:p>
        </w:tc>
        <w:tc>
          <w:tcPr>
            <w:tcW w:w="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18 %</w:t>
            </w: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42"/>
        </w:trPr>
        <w:tc>
          <w:tcPr>
            <w:tcW w:w="5320" w:type="dxa"/>
            <w:vAlign w:val="bottom"/>
          </w:tcPr>
          <w:p>
            <w:pPr>
              <w:spacing w:after="0"/>
              <w:rPr>
                <w:sz w:val="20"/>
                <w:szCs w:val="20"/>
                <w:color w:val="auto"/>
              </w:rPr>
            </w:pPr>
            <w:r>
              <w:rPr>
                <w:rFonts w:ascii="Arial" w:cs="Arial" w:eastAsia="Arial" w:hAnsi="Arial"/>
                <w:sz w:val="19"/>
                <w:szCs w:val="19"/>
                <w:color w:val="auto"/>
              </w:rPr>
              <w:t>Basic and diluted net income per Class A share</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1.01</w:t>
            </w:r>
          </w:p>
        </w:tc>
        <w:tc>
          <w:tcPr>
            <w:tcW w:w="340" w:type="dxa"/>
            <w:vAlign w:val="bottom"/>
            <w:gridSpan w:val="2"/>
          </w:tcPr>
          <w:p>
            <w:pPr>
              <w:jc w:val="right"/>
              <w:ind w:right="3"/>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0.86</w:t>
            </w:r>
          </w:p>
        </w:tc>
        <w:tc>
          <w:tcPr>
            <w:tcW w:w="80" w:type="dxa"/>
            <w:vAlign w:val="bottom"/>
            <w:tcBorders>
              <w:right w:val="single" w:sz="8" w:color="auto"/>
            </w:tcBorders>
          </w:tcPr>
          <w:p>
            <w:pPr>
              <w:spacing w:after="0"/>
              <w:rPr>
                <w:sz w:val="24"/>
                <w:szCs w:val="24"/>
                <w:color w:val="auto"/>
              </w:rPr>
            </w:pPr>
          </w:p>
        </w:tc>
        <w:tc>
          <w:tcPr>
            <w:tcW w:w="38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0.15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305"/>
        </w:trPr>
        <w:tc>
          <w:tcPr>
            <w:tcW w:w="5320" w:type="dxa"/>
            <w:vAlign w:val="bottom"/>
          </w:tcPr>
          <w:p>
            <w:pPr>
              <w:spacing w:after="0"/>
              <w:rPr>
                <w:sz w:val="20"/>
                <w:szCs w:val="20"/>
                <w:color w:val="auto"/>
              </w:rPr>
            </w:pPr>
            <w:r>
              <w:rPr>
                <w:rFonts w:ascii="Arial" w:cs="Arial" w:eastAsia="Arial" w:hAnsi="Arial"/>
                <w:sz w:val="19"/>
                <w:szCs w:val="19"/>
                <w:color w:val="auto"/>
                <w:w w:val="98"/>
              </w:rPr>
              <w:t>Basic and diluted weighted average Class A shares outstanding</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195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194</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4879340</wp:posOffset>
                </wp:positionH>
                <wp:positionV relativeFrom="paragraph">
                  <wp:posOffset>-3342640</wp:posOffset>
                </wp:positionV>
                <wp:extent cx="0" cy="334264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42640"/>
                        </a:xfrm>
                        <a:prstGeom prst="line">
                          <a:avLst/>
                        </a:prstGeom>
                        <a:solidFill>
                          <a:srgbClr val="FFFFFF"/>
                        </a:solidFill>
                        <a:ln w="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2pt,-263.1999pt" to="384.2pt,0pt" o:allowincell="f" strokecolor="#000000" strokeweight="0pt"/>
            </w:pict>
          </mc:Fallback>
        </mc:AlternateContent>
        <w:drawing>
          <wp:anchor simplePos="0" relativeHeight="251657728" behindDoc="1" locked="0" layoutInCell="0" allowOverlap="1">
            <wp:simplePos x="0" y="0"/>
            <wp:positionH relativeFrom="column">
              <wp:posOffset>0</wp:posOffset>
            </wp:positionH>
            <wp:positionV relativeFrom="paragraph">
              <wp:posOffset>-3354705</wp:posOffset>
            </wp:positionV>
            <wp:extent cx="6340475" cy="3470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extLst>
                    </a:blip>
                    <a:srcRect/>
                    <a:stretch>
                      <a:fillRect/>
                    </a:stretch>
                  </pic:blipFill>
                  <pic:spPr bwMode="auto">
                    <a:xfrm>
                      <a:off x="0" y="0"/>
                      <a:ext cx="6340475" cy="3470275"/>
                    </a:xfrm>
                    <a:prstGeom prst="rect">
                      <a:avLst/>
                    </a:prstGeom>
                    <a:noFill/>
                  </pic:spPr>
                </pic:pic>
              </a:graphicData>
            </a:graphic>
          </wp:anchor>
        </w:drawing>
      </w:r>
    </w:p>
    <w:p>
      <w:pPr>
        <w:spacing w:after="0" w:line="187" w:lineRule="exact"/>
        <w:rPr>
          <w:sz w:val="20"/>
          <w:szCs w:val="20"/>
          <w:color w:val="auto"/>
        </w:rPr>
      </w:pPr>
    </w:p>
    <w:p>
      <w:pPr>
        <w:ind w:left="701" w:hanging="701"/>
        <w:spacing w:after="0"/>
        <w:tabs>
          <w:tab w:leader="none" w:pos="701"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Indicates that variance as a percentage is not meaningful.</w:t>
      </w:r>
    </w:p>
    <w:p>
      <w:pPr>
        <w:spacing w:after="0" w:line="242" w:lineRule="exact"/>
        <w:rPr>
          <w:rFonts w:ascii="Arial" w:cs="Arial" w:eastAsia="Arial" w:hAnsi="Arial"/>
          <w:sz w:val="19"/>
          <w:szCs w:val="19"/>
          <w:color w:val="auto"/>
        </w:rPr>
      </w:pPr>
    </w:p>
    <w:p>
      <w:pPr>
        <w:ind w:left="701"/>
        <w:spacing w:after="0"/>
        <w:rPr>
          <w:rFonts w:ascii="Arial" w:cs="Arial" w:eastAsia="Arial" w:hAnsi="Arial"/>
          <w:sz w:val="19"/>
          <w:szCs w:val="19"/>
          <w:color w:val="auto"/>
        </w:rPr>
      </w:pPr>
      <w:r>
        <w:rPr>
          <w:rFonts w:ascii="Arial" w:cs="Arial" w:eastAsia="Arial" w:hAnsi="Arial"/>
          <w:sz w:val="19"/>
          <w:szCs w:val="19"/>
          <w:b w:val="1"/>
          <w:bCs w:val="1"/>
          <w:color w:val="auto"/>
        </w:rPr>
        <w:t>Revenues and Purchases</w:t>
      </w:r>
    </w:p>
    <w:p>
      <w:pPr>
        <w:spacing w:after="0" w:line="241" w:lineRule="exact"/>
        <w:rPr>
          <w:sz w:val="20"/>
          <w:szCs w:val="20"/>
          <w:color w:val="auto"/>
        </w:rPr>
      </w:pPr>
    </w:p>
    <w:p>
      <w:pPr>
        <w:ind w:left="1" w:firstLine="702"/>
        <w:spacing w:after="0" w:line="280" w:lineRule="auto"/>
        <w:rPr>
          <w:sz w:val="20"/>
          <w:szCs w:val="20"/>
          <w:color w:val="auto"/>
        </w:rPr>
      </w:pPr>
      <w:r>
        <w:rPr>
          <w:rFonts w:ascii="Arial" w:cs="Arial" w:eastAsia="Arial" w:hAnsi="Arial"/>
          <w:sz w:val="18"/>
          <w:szCs w:val="18"/>
          <w:color w:val="auto"/>
        </w:rPr>
        <w:t>Fluctuations in our consolidated revenues and purchases and related costs are primarily associated with our merchant activities and generally explained in large part by changes in commodity prices. Our crude oil and NGL merchant activities are not directly affected by the absolute level of prices because the commodities that we buy and sell are generally indexed to the same pricing indices. Both product sales revenues and purchases and related costs will fluctuate with market prices; however, the absolute margins related to those sales and purchases will not necessarily have a corresponding increase or decrease. Additionally, product sales revenues include the impact of gains and losses related to derivative instruments used to manage our exposure to commodity price risk associated with such sales and purchases.</w:t>
      </w:r>
    </w:p>
    <w:p>
      <w:pPr>
        <w:sectPr>
          <w:pgSz w:w="11880" w:h="15480" w:orient="portrait"/>
          <w:cols w:equalWidth="0" w:num="1">
            <w:col w:w="9981"/>
          </w:cols>
          <w:pgMar w:left="939" w:top="66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73</w:t>
      </w:r>
    </w:p>
    <w:p>
      <w:pPr>
        <w:sectPr>
          <w:pgSz w:w="11880" w:h="15480" w:orient="portrait"/>
          <w:cols w:equalWidth="0" w:num="1">
            <w:col w:w="9981"/>
          </w:cols>
          <w:pgMar w:left="939" w:top="669" w:right="960" w:bottom="0" w:gutter="0" w:footer="0" w:header="0"/>
          <w:type w:val="continuous"/>
        </w:sectPr>
      </w:pPr>
    </w:p>
    <w:bookmarkStart w:id="73" w:name="page74"/>
    <w:bookmarkEnd w:id="73"/>
    <w:p>
      <w:pPr>
        <w:ind w:left="1" w:right="160" w:firstLine="702"/>
        <w:spacing w:after="0" w:line="295" w:lineRule="auto"/>
        <w:rPr>
          <w:sz w:val="20"/>
          <w:szCs w:val="20"/>
          <w:color w:val="auto"/>
        </w:rPr>
      </w:pPr>
      <w:r>
        <w:rPr>
          <w:rFonts w:ascii="Arial" w:cs="Arial" w:eastAsia="Arial" w:hAnsi="Arial"/>
          <w:sz w:val="19"/>
          <w:szCs w:val="19"/>
          <w:color w:val="auto"/>
        </w:rPr>
        <w:t>A majority of our sales and purchases are indexed to West Texas Intermediate (“WTI”). The following table presents the range of the NYMEX WTI benchmark price of crude oil over the last two years (in dollars per barrel):</w:t>
      </w:r>
    </w:p>
    <w:p>
      <w:pPr>
        <w:spacing w:after="0" w:line="216"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NYMEX WTI</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9"/>
        </w:trPr>
        <w:tc>
          <w:tcPr>
            <w:tcW w:w="6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5"/>
              </w:rPr>
              <w:t>Crude Oil Price</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29"/>
        </w:trPr>
        <w:tc>
          <w:tcPr>
            <w:tcW w:w="6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During the Year Ended December 31,</w:t>
            </w:r>
          </w:p>
        </w:tc>
        <w:tc>
          <w:tcPr>
            <w:tcW w:w="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Low</w:t>
            </w:r>
          </w:p>
        </w:tc>
        <w:tc>
          <w:tcPr>
            <w:tcW w:w="3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6"/>
                <w:szCs w:val="16"/>
                <w:b w:val="1"/>
                <w:bCs w:val="1"/>
                <w:color w:val="auto"/>
              </w:rPr>
              <w:t>High</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w w:val="91"/>
              </w:rPr>
              <w:t>Average</w:t>
            </w:r>
          </w:p>
        </w:tc>
      </w:tr>
      <w:tr>
        <w:trPr>
          <w:trHeight w:val="269"/>
        </w:trPr>
        <w:tc>
          <w:tcPr>
            <w:tcW w:w="6600" w:type="dxa"/>
            <w:vAlign w:val="bottom"/>
          </w:tcPr>
          <w:p>
            <w:pPr>
              <w:ind w:left="40"/>
              <w:spacing w:after="0"/>
              <w:rPr>
                <w:sz w:val="20"/>
                <w:szCs w:val="20"/>
                <w:color w:val="auto"/>
              </w:rPr>
            </w:pPr>
            <w:r>
              <w:rPr>
                <w:rFonts w:ascii="Arial" w:cs="Arial" w:eastAsia="Arial" w:hAnsi="Arial"/>
                <w:sz w:val="19"/>
                <w:szCs w:val="19"/>
                <w:color w:val="auto"/>
              </w:rPr>
              <w:t>2023</w:t>
            </w:r>
          </w:p>
        </w:tc>
        <w:tc>
          <w:tcPr>
            <w:tcW w:w="60" w:type="dxa"/>
            <w:vAlign w:val="bottom"/>
          </w:tcPr>
          <w:p>
            <w:pPr>
              <w:spacing w:after="0"/>
              <w:rPr>
                <w:sz w:val="23"/>
                <w:szCs w:val="23"/>
                <w:color w:val="auto"/>
              </w:rPr>
            </w:pPr>
          </w:p>
        </w:tc>
        <w:tc>
          <w:tcPr>
            <w:tcW w:w="740" w:type="dxa"/>
            <w:vAlign w:val="bottom"/>
          </w:tcPr>
          <w:p>
            <w:pPr>
              <w:jc w:val="right"/>
              <w:ind w:right="489"/>
              <w:spacing w:after="0"/>
              <w:rPr>
                <w:sz w:val="20"/>
                <w:szCs w:val="20"/>
                <w:color w:val="auto"/>
              </w:rPr>
            </w:pPr>
            <w:r>
              <w:rPr>
                <w:rFonts w:ascii="Arial" w:cs="Arial" w:eastAsia="Arial" w:hAnsi="Arial"/>
                <w:sz w:val="19"/>
                <w:szCs w:val="19"/>
                <w:color w:val="auto"/>
              </w:rPr>
              <w:t>$</w:t>
            </w:r>
          </w:p>
        </w:tc>
        <w:tc>
          <w:tcPr>
            <w:tcW w:w="340" w:type="dxa"/>
            <w:vAlign w:val="bottom"/>
          </w:tcPr>
          <w:p>
            <w:pPr>
              <w:jc w:val="right"/>
              <w:spacing w:after="0"/>
              <w:rPr>
                <w:sz w:val="20"/>
                <w:szCs w:val="20"/>
                <w:color w:val="auto"/>
              </w:rPr>
            </w:pPr>
            <w:r>
              <w:rPr>
                <w:rFonts w:ascii="Arial" w:cs="Arial" w:eastAsia="Arial" w:hAnsi="Arial"/>
                <w:sz w:val="19"/>
                <w:szCs w:val="19"/>
                <w:color w:val="auto"/>
              </w:rPr>
              <w:t>67</w:t>
            </w:r>
          </w:p>
        </w:tc>
        <w:tc>
          <w:tcPr>
            <w:tcW w:w="3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94</w:t>
            </w:r>
          </w:p>
        </w:tc>
        <w:tc>
          <w:tcPr>
            <w:tcW w:w="26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78</w:t>
            </w:r>
          </w:p>
        </w:tc>
      </w:tr>
      <w:tr>
        <w:trPr>
          <w:trHeight w:val="292"/>
        </w:trPr>
        <w:tc>
          <w:tcPr>
            <w:tcW w:w="6600" w:type="dxa"/>
            <w:vAlign w:val="bottom"/>
          </w:tcPr>
          <w:p>
            <w:pPr>
              <w:ind w:left="40"/>
              <w:spacing w:after="0"/>
              <w:rPr>
                <w:sz w:val="20"/>
                <w:szCs w:val="20"/>
                <w:color w:val="auto"/>
              </w:rPr>
            </w:pPr>
            <w:r>
              <w:rPr>
                <w:rFonts w:ascii="Arial" w:cs="Arial" w:eastAsia="Arial" w:hAnsi="Arial"/>
                <w:sz w:val="19"/>
                <w:szCs w:val="19"/>
                <w:color w:val="auto"/>
              </w:rPr>
              <w:t>2022</w:t>
            </w:r>
          </w:p>
        </w:tc>
        <w:tc>
          <w:tcPr>
            <w:tcW w:w="60" w:type="dxa"/>
            <w:vAlign w:val="bottom"/>
          </w:tcPr>
          <w:p>
            <w:pPr>
              <w:spacing w:after="0"/>
              <w:rPr>
                <w:sz w:val="24"/>
                <w:szCs w:val="24"/>
                <w:color w:val="auto"/>
              </w:rPr>
            </w:pPr>
          </w:p>
        </w:tc>
        <w:tc>
          <w:tcPr>
            <w:tcW w:w="740" w:type="dxa"/>
            <w:vAlign w:val="bottom"/>
          </w:tcPr>
          <w:p>
            <w:pPr>
              <w:jc w:val="right"/>
              <w:ind w:right="489"/>
              <w:spacing w:after="0"/>
              <w:rPr>
                <w:sz w:val="20"/>
                <w:szCs w:val="20"/>
                <w:color w:val="auto"/>
              </w:rPr>
            </w:pPr>
            <w:r>
              <w:rPr>
                <w:rFonts w:ascii="Arial" w:cs="Arial" w:eastAsia="Arial" w:hAnsi="Arial"/>
                <w:sz w:val="19"/>
                <w:szCs w:val="19"/>
                <w:color w:val="auto"/>
              </w:rPr>
              <w:t>$</w:t>
            </w:r>
          </w:p>
        </w:tc>
        <w:tc>
          <w:tcPr>
            <w:tcW w:w="340" w:type="dxa"/>
            <w:vAlign w:val="bottom"/>
          </w:tcPr>
          <w:p>
            <w:pPr>
              <w:jc w:val="right"/>
              <w:spacing w:after="0"/>
              <w:rPr>
                <w:sz w:val="20"/>
                <w:szCs w:val="20"/>
                <w:color w:val="auto"/>
              </w:rPr>
            </w:pPr>
            <w:r>
              <w:rPr>
                <w:rFonts w:ascii="Arial" w:cs="Arial" w:eastAsia="Arial" w:hAnsi="Arial"/>
                <w:sz w:val="19"/>
                <w:szCs w:val="19"/>
                <w:color w:val="auto"/>
              </w:rPr>
              <w:t>71</w:t>
            </w:r>
          </w:p>
        </w:tc>
        <w:tc>
          <w:tcPr>
            <w:tcW w:w="3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124</w:t>
            </w:r>
          </w:p>
        </w:tc>
        <w:tc>
          <w:tcPr>
            <w:tcW w:w="26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-375285</wp:posOffset>
            </wp:positionV>
            <wp:extent cx="6376670" cy="396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a:extLst>
                        <a:ext uri="{28A0092B-C50C-407E-A947-70E740481C1C}"/>
                      </a:extLst>
                    </a:blip>
                    <a:srcRect/>
                    <a:stretch>
                      <a:fillRect/>
                    </a:stretch>
                  </pic:blipFill>
                  <pic:spPr bwMode="auto">
                    <a:xfrm>
                      <a:off x="0" y="0"/>
                      <a:ext cx="6376670" cy="396875"/>
                    </a:xfrm>
                    <a:prstGeom prst="rect">
                      <a:avLst/>
                    </a:prstGeom>
                    <a:noFill/>
                  </pic:spPr>
                </pic:pic>
              </a:graphicData>
            </a:graphic>
          </wp:anchor>
        </w:drawing>
      </w:r>
    </w:p>
    <w:p>
      <w:pPr>
        <w:spacing w:after="0" w:line="264" w:lineRule="exact"/>
        <w:rPr>
          <w:sz w:val="20"/>
          <w:szCs w:val="20"/>
          <w:color w:val="auto"/>
        </w:rPr>
      </w:pPr>
    </w:p>
    <w:p>
      <w:pPr>
        <w:ind w:left="1" w:right="120" w:firstLine="702"/>
        <w:spacing w:after="0" w:line="259" w:lineRule="auto"/>
        <w:rPr>
          <w:sz w:val="20"/>
          <w:szCs w:val="20"/>
          <w:color w:val="auto"/>
        </w:rPr>
      </w:pPr>
      <w:r>
        <w:rPr>
          <w:rFonts w:ascii="Arial" w:cs="Arial" w:eastAsia="Arial" w:hAnsi="Arial"/>
          <w:sz w:val="19"/>
          <w:szCs w:val="19"/>
          <w:color w:val="auto"/>
        </w:rPr>
        <w:t>Product sales revenues and purchases decreased for the year ended December 31, 2023 compared to the year ended December 31, 2022 primarily due to lower commodity prices in 2023. The impact of fluctuations of derivative mark-to-market valuations also resulted in lower product sales revenues in 2023 compared to 2022.</w:t>
      </w:r>
    </w:p>
    <w:p>
      <w:pPr>
        <w:spacing w:after="0" w:line="166" w:lineRule="exact"/>
        <w:rPr>
          <w:sz w:val="20"/>
          <w:szCs w:val="20"/>
          <w:color w:val="auto"/>
        </w:rPr>
      </w:pPr>
    </w:p>
    <w:p>
      <w:pPr>
        <w:ind w:left="1" w:right="60" w:firstLine="702"/>
        <w:spacing w:after="0" w:line="259" w:lineRule="auto"/>
        <w:rPr>
          <w:sz w:val="20"/>
          <w:szCs w:val="20"/>
          <w:color w:val="auto"/>
        </w:rPr>
      </w:pPr>
      <w:r>
        <w:rPr>
          <w:rFonts w:ascii="Arial" w:cs="Arial" w:eastAsia="Arial" w:hAnsi="Arial"/>
          <w:sz w:val="19"/>
          <w:szCs w:val="19"/>
          <w:color w:val="auto"/>
        </w:rPr>
        <w:t>Revenues from services increased for the year ended December 31, 2023 compared to the year ended December 31, 2022 primarily due to higher volumes and tariff escalations in 2023, as well as the impact of acquisitions, partially offset by the impact of lower commodity prices in 2023.</w:t>
      </w:r>
    </w:p>
    <w:p>
      <w:pPr>
        <w:spacing w:after="0" w:line="182" w:lineRule="exact"/>
        <w:rPr>
          <w:sz w:val="20"/>
          <w:szCs w:val="20"/>
          <w:color w:val="auto"/>
        </w:rPr>
      </w:pPr>
    </w:p>
    <w:p>
      <w:pPr>
        <w:ind w:left="1" w:right="420" w:firstLine="702"/>
        <w:spacing w:after="0" w:line="295" w:lineRule="auto"/>
        <w:rPr>
          <w:sz w:val="20"/>
          <w:szCs w:val="20"/>
          <w:color w:val="auto"/>
        </w:rPr>
      </w:pPr>
      <w:r>
        <w:rPr>
          <w:rFonts w:ascii="Arial" w:cs="Arial" w:eastAsia="Arial" w:hAnsi="Arial"/>
          <w:sz w:val="19"/>
          <w:szCs w:val="19"/>
          <w:color w:val="auto"/>
        </w:rPr>
        <w:t>See further discussion of net revenues (revenues less purchases and related costs) in the “—Analysis of Operating Segments” section below.</w:t>
      </w:r>
    </w:p>
    <w:p>
      <w:pPr>
        <w:spacing w:after="0" w:line="158" w:lineRule="exact"/>
        <w:rPr>
          <w:sz w:val="20"/>
          <w:szCs w:val="20"/>
          <w:color w:val="auto"/>
        </w:rPr>
      </w:pPr>
    </w:p>
    <w:p>
      <w:pPr>
        <w:ind w:left="701"/>
        <w:spacing w:after="0"/>
        <w:rPr>
          <w:sz w:val="20"/>
          <w:szCs w:val="20"/>
          <w:color w:val="auto"/>
        </w:rPr>
      </w:pPr>
      <w:r>
        <w:rPr>
          <w:rFonts w:ascii="Arial" w:cs="Arial" w:eastAsia="Arial" w:hAnsi="Arial"/>
          <w:sz w:val="19"/>
          <w:szCs w:val="19"/>
          <w:b w:val="1"/>
          <w:bCs w:val="1"/>
          <w:color w:val="auto"/>
        </w:rPr>
        <w:t>Field Operating Costs</w:t>
      </w:r>
    </w:p>
    <w:p>
      <w:pPr>
        <w:spacing w:after="0" w:line="241" w:lineRule="exact"/>
        <w:rPr>
          <w:sz w:val="20"/>
          <w:szCs w:val="20"/>
          <w:color w:val="auto"/>
        </w:rPr>
      </w:pPr>
    </w:p>
    <w:p>
      <w:pPr>
        <w:ind w:left="701"/>
        <w:spacing w:after="0"/>
        <w:rPr>
          <w:sz w:val="20"/>
          <w:szCs w:val="20"/>
          <w:color w:val="auto"/>
        </w:rPr>
      </w:pPr>
      <w:r>
        <w:rPr>
          <w:rFonts w:ascii="Arial" w:cs="Arial" w:eastAsia="Arial" w:hAnsi="Arial"/>
          <w:sz w:val="19"/>
          <w:szCs w:val="19"/>
          <w:color w:val="auto"/>
        </w:rPr>
        <w:t>See discussion of field operating costs in the “—Analysis of Operating Segments” section below.</w:t>
      </w:r>
    </w:p>
    <w:p>
      <w:pPr>
        <w:spacing w:after="0" w:line="242" w:lineRule="exact"/>
        <w:rPr>
          <w:sz w:val="20"/>
          <w:szCs w:val="20"/>
          <w:color w:val="auto"/>
        </w:rPr>
      </w:pPr>
    </w:p>
    <w:p>
      <w:pPr>
        <w:ind w:left="701"/>
        <w:spacing w:after="0"/>
        <w:rPr>
          <w:sz w:val="20"/>
          <w:szCs w:val="20"/>
          <w:color w:val="auto"/>
        </w:rPr>
      </w:pPr>
      <w:r>
        <w:rPr>
          <w:rFonts w:ascii="Arial" w:cs="Arial" w:eastAsia="Arial" w:hAnsi="Arial"/>
          <w:sz w:val="19"/>
          <w:szCs w:val="19"/>
          <w:b w:val="1"/>
          <w:bCs w:val="1"/>
          <w:color w:val="auto"/>
        </w:rPr>
        <w:t>General and Administrative Expenses</w:t>
      </w:r>
    </w:p>
    <w:p>
      <w:pPr>
        <w:spacing w:after="0" w:line="257" w:lineRule="exact"/>
        <w:rPr>
          <w:sz w:val="20"/>
          <w:szCs w:val="20"/>
          <w:color w:val="auto"/>
        </w:rPr>
      </w:pPr>
    </w:p>
    <w:p>
      <w:pPr>
        <w:ind w:left="1" w:firstLine="702"/>
        <w:spacing w:after="0" w:line="305" w:lineRule="auto"/>
        <w:rPr>
          <w:sz w:val="20"/>
          <w:szCs w:val="20"/>
          <w:color w:val="auto"/>
        </w:rPr>
      </w:pPr>
      <w:r>
        <w:rPr>
          <w:rFonts w:ascii="Arial" w:cs="Arial" w:eastAsia="Arial" w:hAnsi="Arial"/>
          <w:sz w:val="17"/>
          <w:szCs w:val="17"/>
          <w:color w:val="auto"/>
        </w:rPr>
        <w:t>The increase in general and administrative expenses for the year ended December 31, 2023 compared to the year ended December 31, 2022 was primarily due to (i) higher employee-related costs, including an increase in equity-indexed compensation expense (a portion of which is excluded in the calculation of Adjusted EBITDA and Segment Adjusted EBITDA) due to a higher PAA common unit price and higher number of outstanding units assumed probable of vesting and (ii) higher information systems costs due to ongoing systems integration work, partially offset by (iii) decreases across several categories.</w:t>
      </w:r>
    </w:p>
    <w:p>
      <w:pPr>
        <w:spacing w:after="0" w:line="155" w:lineRule="exact"/>
        <w:rPr>
          <w:sz w:val="20"/>
          <w:szCs w:val="20"/>
          <w:color w:val="auto"/>
        </w:rPr>
      </w:pPr>
    </w:p>
    <w:p>
      <w:pPr>
        <w:ind w:left="701"/>
        <w:spacing w:after="0"/>
        <w:rPr>
          <w:sz w:val="20"/>
          <w:szCs w:val="20"/>
          <w:color w:val="auto"/>
        </w:rPr>
      </w:pPr>
      <w:r>
        <w:rPr>
          <w:rFonts w:ascii="Arial" w:cs="Arial" w:eastAsia="Arial" w:hAnsi="Arial"/>
          <w:sz w:val="19"/>
          <w:szCs w:val="19"/>
          <w:b w:val="1"/>
          <w:bCs w:val="1"/>
          <w:color w:val="auto"/>
        </w:rPr>
        <w:t>Depreciation and Amortization</w:t>
      </w:r>
    </w:p>
    <w:p>
      <w:pPr>
        <w:spacing w:after="0" w:line="257" w:lineRule="exact"/>
        <w:rPr>
          <w:sz w:val="20"/>
          <w:szCs w:val="20"/>
          <w:color w:val="auto"/>
        </w:rPr>
      </w:pPr>
    </w:p>
    <w:p>
      <w:pPr>
        <w:ind w:left="1" w:right="220" w:firstLine="702"/>
        <w:spacing w:after="0" w:line="276" w:lineRule="auto"/>
        <w:rPr>
          <w:sz w:val="20"/>
          <w:szCs w:val="20"/>
          <w:color w:val="auto"/>
        </w:rPr>
      </w:pPr>
      <w:r>
        <w:rPr>
          <w:rFonts w:ascii="Arial" w:cs="Arial" w:eastAsia="Arial" w:hAnsi="Arial"/>
          <w:sz w:val="19"/>
          <w:szCs w:val="19"/>
          <w:color w:val="auto"/>
        </w:rPr>
        <w:t>Depreciation and amortization expense increased for the year ended December 31, 2023 compared to the year ended December 31, 2022 largely driven by acquisitions, including an additional interest in Cactus II and the remaining 43% in OMOG. See Note 7 to our Consolidated Financial Statements for additional information.</w:t>
      </w:r>
    </w:p>
    <w:p>
      <w:pPr>
        <w:spacing w:after="0" w:line="175" w:lineRule="exact"/>
        <w:rPr>
          <w:sz w:val="20"/>
          <w:szCs w:val="20"/>
          <w:color w:val="auto"/>
        </w:rPr>
      </w:pPr>
    </w:p>
    <w:p>
      <w:pPr>
        <w:ind w:left="701"/>
        <w:spacing w:after="0"/>
        <w:rPr>
          <w:sz w:val="20"/>
          <w:szCs w:val="20"/>
          <w:color w:val="auto"/>
        </w:rPr>
      </w:pPr>
      <w:r>
        <w:rPr>
          <w:rFonts w:ascii="Arial" w:cs="Arial" w:eastAsia="Arial" w:hAnsi="Arial"/>
          <w:sz w:val="19"/>
          <w:szCs w:val="19"/>
          <w:b w:val="1"/>
          <w:bCs w:val="1"/>
          <w:color w:val="auto"/>
        </w:rPr>
        <w:t>Gains/(Losses) on Asset Sales and Asset Impairments, Net</w:t>
      </w:r>
    </w:p>
    <w:p>
      <w:pPr>
        <w:spacing w:after="0" w:line="257" w:lineRule="exact"/>
        <w:rPr>
          <w:sz w:val="20"/>
          <w:szCs w:val="20"/>
          <w:color w:val="auto"/>
        </w:rPr>
      </w:pPr>
    </w:p>
    <w:p>
      <w:pPr>
        <w:ind w:left="1" w:right="80" w:firstLine="702"/>
        <w:spacing w:after="0" w:line="358" w:lineRule="auto"/>
        <w:rPr>
          <w:sz w:val="20"/>
          <w:szCs w:val="20"/>
          <w:color w:val="auto"/>
        </w:rPr>
      </w:pPr>
      <w:r>
        <w:rPr>
          <w:rFonts w:ascii="Arial" w:cs="Arial" w:eastAsia="Arial" w:hAnsi="Arial"/>
          <w:sz w:val="17"/>
          <w:szCs w:val="17"/>
          <w:color w:val="auto"/>
        </w:rPr>
        <w:t>The net gain on asset sales and asset impairments for the year ended December 31, 2023 was primarily comprised of a gain of approximately $140 million related to the sale of our Keyera Fort Saskatchewan facility in the first quarter of 2023.</w:t>
      </w:r>
    </w:p>
    <w:p>
      <w:pPr>
        <w:spacing w:after="0" w:line="119" w:lineRule="exact"/>
        <w:rPr>
          <w:sz w:val="20"/>
          <w:szCs w:val="20"/>
          <w:color w:val="auto"/>
        </w:rPr>
      </w:pPr>
    </w:p>
    <w:p>
      <w:pPr>
        <w:ind w:left="1" w:right="260" w:firstLine="702"/>
        <w:spacing w:after="0" w:line="299" w:lineRule="auto"/>
        <w:rPr>
          <w:sz w:val="20"/>
          <w:szCs w:val="20"/>
          <w:color w:val="auto"/>
        </w:rPr>
      </w:pPr>
      <w:r>
        <w:rPr>
          <w:rFonts w:ascii="Arial" w:cs="Arial" w:eastAsia="Arial" w:hAnsi="Arial"/>
          <w:sz w:val="17"/>
          <w:szCs w:val="17"/>
          <w:color w:val="auto"/>
        </w:rPr>
        <w:t>The net loss on asset sales and asset impairments for 2022 was primarily comprised of (i) a $330 million non-cash impairment charge recognized in the fourth quarter of 2022 related to certain crude oil assets in California, partially offset by</w:t>
      </w:r>
    </w:p>
    <w:p>
      <w:pPr>
        <w:spacing w:after="0" w:line="1" w:lineRule="exact"/>
        <w:rPr>
          <w:sz w:val="20"/>
          <w:szCs w:val="20"/>
          <w:color w:val="auto"/>
        </w:rPr>
      </w:pPr>
    </w:p>
    <w:p>
      <w:pPr>
        <w:ind w:left="1" w:right="160" w:hanging="1"/>
        <w:spacing w:after="0" w:line="334" w:lineRule="auto"/>
        <w:tabs>
          <w:tab w:leader="none" w:pos="288" w:val="left"/>
        </w:tabs>
        <w:numPr>
          <w:ilvl w:val="0"/>
          <w:numId w:val="40"/>
        </w:numPr>
        <w:rPr>
          <w:rFonts w:ascii="Arial" w:cs="Arial" w:eastAsia="Arial" w:hAnsi="Arial"/>
          <w:sz w:val="17"/>
          <w:szCs w:val="17"/>
          <w:color w:val="auto"/>
        </w:rPr>
      </w:pPr>
      <w:r>
        <w:rPr>
          <w:rFonts w:ascii="Arial" w:cs="Arial" w:eastAsia="Arial" w:hAnsi="Arial"/>
          <w:sz w:val="17"/>
          <w:szCs w:val="17"/>
          <w:color w:val="auto"/>
        </w:rPr>
        <w:t>gains recognized from the sale of land and related assets in Long Beach, California, as well as Line 901 and the Sisquoc to Pentland portion of Line 903, a portion of which relates to the transfer of an asset retirement obligation to the purchaser.</w:t>
      </w:r>
    </w:p>
    <w:p>
      <w:pPr>
        <w:spacing w:after="0" w:line="138" w:lineRule="exact"/>
        <w:rPr>
          <w:sz w:val="20"/>
          <w:szCs w:val="20"/>
          <w:color w:val="auto"/>
        </w:rPr>
      </w:pPr>
    </w:p>
    <w:p>
      <w:pPr>
        <w:ind w:left="1" w:right="100" w:firstLine="702"/>
        <w:spacing w:after="0" w:line="295" w:lineRule="auto"/>
        <w:rPr>
          <w:sz w:val="20"/>
          <w:szCs w:val="20"/>
          <w:color w:val="auto"/>
        </w:rPr>
      </w:pPr>
      <w:r>
        <w:rPr>
          <w:rFonts w:ascii="Arial" w:cs="Arial" w:eastAsia="Arial" w:hAnsi="Arial"/>
          <w:sz w:val="19"/>
          <w:szCs w:val="19"/>
          <w:color w:val="auto"/>
        </w:rPr>
        <w:t>See Note 6 and Note 7 to our Consolidated Financial Statements for additional information regarding these asset sales and asset impairments.</w:t>
      </w:r>
    </w:p>
    <w:p>
      <w:pPr>
        <w:spacing w:after="0" w:line="158" w:lineRule="exact"/>
        <w:rPr>
          <w:sz w:val="20"/>
          <w:szCs w:val="20"/>
          <w:color w:val="auto"/>
        </w:rPr>
      </w:pPr>
    </w:p>
    <w:p>
      <w:pPr>
        <w:ind w:left="701"/>
        <w:spacing w:after="0"/>
        <w:rPr>
          <w:sz w:val="20"/>
          <w:szCs w:val="20"/>
          <w:color w:val="auto"/>
        </w:rPr>
      </w:pPr>
      <w:r>
        <w:rPr>
          <w:rFonts w:ascii="Arial" w:cs="Arial" w:eastAsia="Arial" w:hAnsi="Arial"/>
          <w:sz w:val="19"/>
          <w:szCs w:val="19"/>
          <w:b w:val="1"/>
          <w:bCs w:val="1"/>
          <w:color w:val="auto"/>
        </w:rPr>
        <w:t>Equity Earnings in Unconsolidated Entities</w:t>
      </w:r>
    </w:p>
    <w:p>
      <w:pPr>
        <w:spacing w:after="0" w:line="257" w:lineRule="exact"/>
        <w:rPr>
          <w:sz w:val="20"/>
          <w:szCs w:val="20"/>
          <w:color w:val="auto"/>
        </w:rPr>
      </w:pPr>
    </w:p>
    <w:p>
      <w:pPr>
        <w:ind w:left="701"/>
        <w:spacing w:after="0"/>
        <w:rPr>
          <w:sz w:val="20"/>
          <w:szCs w:val="20"/>
          <w:color w:val="auto"/>
        </w:rPr>
      </w:pPr>
      <w:r>
        <w:rPr>
          <w:rFonts w:ascii="Arial" w:cs="Arial" w:eastAsia="Arial" w:hAnsi="Arial"/>
          <w:sz w:val="17"/>
          <w:szCs w:val="17"/>
          <w:color w:val="auto"/>
        </w:rPr>
        <w:t>See discussion of equity earnings in unconsolidated entities in the “—Analysis of Operating Segments” section below.</w:t>
      </w:r>
    </w:p>
    <w:p>
      <w:pPr>
        <w:sectPr>
          <w:pgSz w:w="11880" w:h="15480" w:orient="portrait"/>
          <w:cols w:equalWidth="0" w:num="1">
            <w:col w:w="10001"/>
          </w:cols>
          <w:pgMar w:left="939" w:top="67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880" w:h="15480" w:orient="portrait"/>
          <w:cols w:equalWidth="0" w:num="1">
            <w:col w:w="10001"/>
          </w:cols>
          <w:pgMar w:left="939" w:top="676" w:right="940" w:bottom="0" w:gutter="0" w:footer="0" w:header="0"/>
          <w:type w:val="continuous"/>
        </w:sectPr>
      </w:pPr>
    </w:p>
    <w:bookmarkStart w:id="74" w:name="page75"/>
    <w:bookmarkEnd w:id="74"/>
    <w:p>
      <w:pPr>
        <w:ind w:left="701"/>
        <w:spacing w:after="0"/>
        <w:rPr>
          <w:sz w:val="20"/>
          <w:szCs w:val="20"/>
          <w:color w:val="auto"/>
        </w:rPr>
      </w:pPr>
      <w:r>
        <w:rPr>
          <w:rFonts w:ascii="Arial" w:cs="Arial" w:eastAsia="Arial" w:hAnsi="Arial"/>
          <w:sz w:val="19"/>
          <w:szCs w:val="19"/>
          <w:b w:val="1"/>
          <w:bCs w:val="1"/>
          <w:color w:val="auto"/>
        </w:rPr>
        <w:t>Gains/(Losses) on Investments in Unconsolidated Entities, Net</w:t>
      </w:r>
    </w:p>
    <w:p>
      <w:pPr>
        <w:spacing w:after="0" w:line="257" w:lineRule="exact"/>
        <w:rPr>
          <w:sz w:val="20"/>
          <w:szCs w:val="20"/>
          <w:color w:val="auto"/>
        </w:rPr>
      </w:pPr>
    </w:p>
    <w:p>
      <w:pPr>
        <w:ind w:left="1" w:right="240" w:firstLine="702"/>
        <w:spacing w:after="0" w:line="276" w:lineRule="auto"/>
        <w:rPr>
          <w:sz w:val="20"/>
          <w:szCs w:val="20"/>
          <w:color w:val="auto"/>
        </w:rPr>
      </w:pPr>
      <w:r>
        <w:rPr>
          <w:rFonts w:ascii="Arial" w:cs="Arial" w:eastAsia="Arial" w:hAnsi="Arial"/>
          <w:sz w:val="19"/>
          <w:szCs w:val="19"/>
          <w:color w:val="auto"/>
        </w:rPr>
        <w:t>In the third quarter of 2023, we recognized a gain of $29 million related to the Permian JV’s acquisition of the remaining 43% interest in OMOG. See Note 7 to our Consolidated Financial Statements for additional information regarding this transaction.</w:t>
      </w:r>
    </w:p>
    <w:p>
      <w:pPr>
        <w:spacing w:after="0" w:line="182" w:lineRule="exact"/>
        <w:rPr>
          <w:sz w:val="20"/>
          <w:szCs w:val="20"/>
          <w:color w:val="auto"/>
        </w:rPr>
      </w:pPr>
    </w:p>
    <w:p>
      <w:pPr>
        <w:ind w:left="1" w:right="100" w:firstLine="702"/>
        <w:spacing w:after="0" w:line="299" w:lineRule="auto"/>
        <w:rPr>
          <w:sz w:val="20"/>
          <w:szCs w:val="20"/>
          <w:color w:val="auto"/>
        </w:rPr>
      </w:pPr>
      <w:r>
        <w:rPr>
          <w:rFonts w:ascii="Arial" w:cs="Arial" w:eastAsia="Arial" w:hAnsi="Arial"/>
          <w:sz w:val="17"/>
          <w:szCs w:val="17"/>
          <w:color w:val="auto"/>
        </w:rPr>
        <w:t>During the fourth quarter of 2022, we recognized (i) a gain of $370 million associated with the remeasurement of our previously held 65% interest in Cactus II to fair value in connection with our acquisition of an additional 5% interest in Cactus</w:t>
      </w:r>
    </w:p>
    <w:p>
      <w:pPr>
        <w:spacing w:after="0" w:line="1" w:lineRule="exact"/>
        <w:rPr>
          <w:sz w:val="20"/>
          <w:szCs w:val="20"/>
          <w:color w:val="auto"/>
        </w:rPr>
      </w:pPr>
    </w:p>
    <w:p>
      <w:pPr>
        <w:ind w:left="1" w:right="260" w:hanging="1"/>
        <w:spacing w:after="0" w:line="265" w:lineRule="auto"/>
        <w:tabs>
          <w:tab w:leader="none" w:pos="1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in November 2022 and (ii) a loss of $25 million associated with the difference between the fair value and historical book value of assets contributed by the Permian JV in exchange for an additional interest in OMOG. See Note 7 and Note 8 to our Consolidated Financial Statements for additional information regarding these transactions.</w:t>
      </w:r>
    </w:p>
    <w:p>
      <w:pPr>
        <w:spacing w:after="0" w:line="185" w:lineRule="exact"/>
        <w:rPr>
          <w:sz w:val="20"/>
          <w:szCs w:val="20"/>
          <w:color w:val="auto"/>
        </w:rPr>
      </w:pPr>
    </w:p>
    <w:p>
      <w:pPr>
        <w:ind w:left="701"/>
        <w:spacing w:after="0"/>
        <w:rPr>
          <w:sz w:val="20"/>
          <w:szCs w:val="20"/>
          <w:color w:val="auto"/>
        </w:rPr>
      </w:pPr>
      <w:r>
        <w:rPr>
          <w:rFonts w:ascii="Arial" w:cs="Arial" w:eastAsia="Arial" w:hAnsi="Arial"/>
          <w:sz w:val="19"/>
          <w:szCs w:val="19"/>
          <w:b w:val="1"/>
          <w:bCs w:val="1"/>
          <w:color w:val="auto"/>
        </w:rPr>
        <w:t>Interest Expense, Net</w:t>
      </w:r>
    </w:p>
    <w:p>
      <w:pPr>
        <w:spacing w:after="0" w:line="257" w:lineRule="exact"/>
        <w:rPr>
          <w:sz w:val="20"/>
          <w:szCs w:val="20"/>
          <w:color w:val="auto"/>
        </w:rPr>
      </w:pPr>
    </w:p>
    <w:p>
      <w:pPr>
        <w:jc w:val="both"/>
        <w:ind w:left="1" w:right="220" w:firstLine="702"/>
        <w:spacing w:after="0" w:line="269" w:lineRule="auto"/>
        <w:rPr>
          <w:sz w:val="20"/>
          <w:szCs w:val="20"/>
          <w:color w:val="auto"/>
        </w:rPr>
      </w:pPr>
      <w:r>
        <w:rPr>
          <w:rFonts w:ascii="Arial" w:cs="Arial" w:eastAsia="Arial" w:hAnsi="Arial"/>
          <w:sz w:val="19"/>
          <w:szCs w:val="19"/>
          <w:color w:val="auto"/>
        </w:rPr>
        <w:t>The decrease in interest expense for the year ended December 31, 2023 compared to the year ended December 31, 2022 was primarily due to a lower weighted average debt balance during the 2023 period largely driven by the repayment of $750 million of senior notes in March 2022, $400 million of senior notes in January 2023 and $700 million of senior notes in October 2023.</w:t>
      </w:r>
    </w:p>
    <w:p>
      <w:pPr>
        <w:spacing w:after="0" w:line="190" w:lineRule="exact"/>
        <w:rPr>
          <w:sz w:val="20"/>
          <w:szCs w:val="20"/>
          <w:color w:val="auto"/>
        </w:rPr>
      </w:pPr>
    </w:p>
    <w:p>
      <w:pPr>
        <w:ind w:left="1" w:right="600" w:firstLine="702"/>
        <w:spacing w:after="0" w:line="295" w:lineRule="auto"/>
        <w:rPr>
          <w:sz w:val="20"/>
          <w:szCs w:val="20"/>
          <w:color w:val="auto"/>
        </w:rPr>
      </w:pPr>
      <w:r>
        <w:rPr>
          <w:rFonts w:ascii="Arial" w:cs="Arial" w:eastAsia="Arial" w:hAnsi="Arial"/>
          <w:sz w:val="19"/>
          <w:szCs w:val="19"/>
          <w:color w:val="auto"/>
        </w:rPr>
        <w:t>See Note 10 to our Consolidated Financial Statements for additional information regarding our debt and related activities during the periods presented.</w:t>
      </w:r>
    </w:p>
    <w:p>
      <w:pPr>
        <w:spacing w:after="0" w:line="158" w:lineRule="exact"/>
        <w:rPr>
          <w:sz w:val="20"/>
          <w:szCs w:val="20"/>
          <w:color w:val="auto"/>
        </w:rPr>
      </w:pPr>
    </w:p>
    <w:p>
      <w:pPr>
        <w:ind w:left="701"/>
        <w:spacing w:after="0"/>
        <w:rPr>
          <w:sz w:val="20"/>
          <w:szCs w:val="20"/>
          <w:color w:val="auto"/>
        </w:rPr>
      </w:pPr>
      <w:r>
        <w:rPr>
          <w:rFonts w:ascii="Arial" w:cs="Arial" w:eastAsia="Arial" w:hAnsi="Arial"/>
          <w:sz w:val="19"/>
          <w:szCs w:val="19"/>
          <w:b w:val="1"/>
          <w:bCs w:val="1"/>
          <w:color w:val="auto"/>
        </w:rPr>
        <w:t>Other Income/(Expense), Net</w:t>
      </w:r>
    </w:p>
    <w:p>
      <w:pPr>
        <w:spacing w:after="0" w:line="257" w:lineRule="exact"/>
        <w:rPr>
          <w:sz w:val="20"/>
          <w:szCs w:val="20"/>
          <w:color w:val="auto"/>
        </w:rPr>
      </w:pPr>
    </w:p>
    <w:p>
      <w:pPr>
        <w:ind w:left="701"/>
        <w:spacing w:after="0"/>
        <w:rPr>
          <w:sz w:val="20"/>
          <w:szCs w:val="20"/>
          <w:color w:val="auto"/>
        </w:rPr>
      </w:pPr>
      <w:r>
        <w:rPr>
          <w:rFonts w:ascii="Arial" w:cs="Arial" w:eastAsia="Arial" w:hAnsi="Arial"/>
          <w:sz w:val="19"/>
          <w:szCs w:val="19"/>
          <w:color w:val="auto"/>
        </w:rPr>
        <w:t>The following table summarizes the components impacting Other income/(expense), net (in millions):</w:t>
      </w:r>
    </w:p>
    <w:p>
      <w:pPr>
        <w:spacing w:after="0" w:line="337"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34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00" w:type="dxa"/>
            <w:vAlign w:val="bottom"/>
            <w:tcBorders>
              <w:bottom w:val="single" w:sz="8" w:color="auto"/>
            </w:tcBorders>
            <w:gridSpan w:val="5"/>
          </w:tcPr>
          <w:p>
            <w:pPr>
              <w:jc w:val="right"/>
              <w:ind w:right="126"/>
              <w:spacing w:after="0"/>
              <w:rPr>
                <w:sz w:val="20"/>
                <w:szCs w:val="20"/>
                <w:color w:val="auto"/>
              </w:rPr>
            </w:pPr>
            <w:r>
              <w:rPr>
                <w:rFonts w:ascii="Arial" w:cs="Arial" w:eastAsia="Arial" w:hAnsi="Arial"/>
                <w:sz w:val="16"/>
                <w:szCs w:val="16"/>
                <w:b w:val="1"/>
                <w:bCs w:val="1"/>
                <w:color w:val="auto"/>
                <w:w w:val="99"/>
              </w:rPr>
              <w:t>Year Ended December 31,</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6"/>
        </w:trPr>
        <w:tc>
          <w:tcPr>
            <w:tcW w:w="7780" w:type="dxa"/>
            <w:vAlign w:val="bottom"/>
            <w:gridSpan w:val="2"/>
          </w:tcPr>
          <w:p>
            <w:pPr>
              <w:ind w:left="80"/>
              <w:spacing w:after="0" w:line="206" w:lineRule="exact"/>
              <w:rPr>
                <w:sz w:val="20"/>
                <w:szCs w:val="20"/>
                <w:color w:val="auto"/>
              </w:rPr>
            </w:pPr>
            <w:r>
              <w:rPr>
                <w:rFonts w:ascii="Arial" w:cs="Arial" w:eastAsia="Arial" w:hAnsi="Arial"/>
                <w:sz w:val="19"/>
                <w:szCs w:val="19"/>
                <w:color w:val="auto"/>
                <w:w w:val="94"/>
              </w:rPr>
              <w:t>Gain/(loss) on mark-to-market adjustment of Preferred Distribution Rate Reset Option embedded</w:t>
            </w:r>
          </w:p>
        </w:tc>
        <w:tc>
          <w:tcPr>
            <w:tcW w:w="700" w:type="dxa"/>
            <w:vAlign w:val="bottom"/>
            <w:vMerge w:val="restart"/>
          </w:tcPr>
          <w:p>
            <w:pPr>
              <w:jc w:val="right"/>
              <w:ind w:right="452"/>
              <w:spacing w:after="0"/>
              <w:rPr>
                <w:sz w:val="20"/>
                <w:szCs w:val="20"/>
                <w:color w:val="auto"/>
              </w:rPr>
            </w:pPr>
            <w:r>
              <w:rPr>
                <w:rFonts w:ascii="Arial" w:cs="Arial" w:eastAsia="Arial" w:hAnsi="Arial"/>
                <w:sz w:val="19"/>
                <w:szCs w:val="19"/>
                <w:color w:val="auto"/>
              </w:rPr>
              <w:t>$</w:t>
            </w:r>
          </w:p>
        </w:tc>
        <w:tc>
          <w:tcPr>
            <w:tcW w:w="380" w:type="dxa"/>
            <w:vAlign w:val="bottom"/>
            <w:vMerge w:val="restart"/>
          </w:tcPr>
          <w:p>
            <w:pPr>
              <w:jc w:val="right"/>
              <w:spacing w:after="0"/>
              <w:rPr>
                <w:sz w:val="20"/>
                <w:szCs w:val="20"/>
                <w:color w:val="auto"/>
              </w:rPr>
            </w:pPr>
            <w:r>
              <w:rPr>
                <w:rFonts w:ascii="Arial" w:cs="Arial" w:eastAsia="Arial" w:hAnsi="Arial"/>
                <w:sz w:val="19"/>
                <w:szCs w:val="19"/>
                <w:color w:val="auto"/>
              </w:rPr>
              <w:t>58</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vMerge w:val="restart"/>
          </w:tcPr>
          <w:p>
            <w:pPr>
              <w:jc w:val="right"/>
              <w:spacing w:after="0"/>
              <w:rPr>
                <w:sz w:val="20"/>
                <w:szCs w:val="20"/>
                <w:color w:val="auto"/>
              </w:rPr>
            </w:pPr>
            <w:r>
              <w:rPr>
                <w:rFonts w:ascii="Arial" w:cs="Arial" w:eastAsia="Arial" w:hAnsi="Arial"/>
                <w:sz w:val="19"/>
                <w:szCs w:val="19"/>
                <w:color w:val="auto"/>
              </w:rPr>
              <w:t>(189)</w:t>
            </w:r>
          </w:p>
        </w:tc>
        <w:tc>
          <w:tcPr>
            <w:tcW w:w="0" w:type="dxa"/>
            <w:vAlign w:val="bottom"/>
          </w:tcPr>
          <w:p>
            <w:pPr>
              <w:spacing w:after="0"/>
              <w:rPr>
                <w:sz w:val="1"/>
                <w:szCs w:val="1"/>
                <w:color w:val="auto"/>
              </w:rPr>
            </w:pPr>
          </w:p>
        </w:tc>
      </w:tr>
      <w:tr>
        <w:trPr>
          <w:trHeight w:val="274"/>
        </w:trPr>
        <w:tc>
          <w:tcPr>
            <w:tcW w:w="7780" w:type="dxa"/>
            <w:vAlign w:val="bottom"/>
            <w:gridSpan w:val="2"/>
          </w:tcPr>
          <w:p>
            <w:pPr>
              <w:ind w:left="240"/>
              <w:spacing w:after="0" w:line="274" w:lineRule="exact"/>
              <w:rPr>
                <w:sz w:val="20"/>
                <w:szCs w:val="20"/>
                <w:color w:val="auto"/>
              </w:rPr>
            </w:pPr>
            <w:r>
              <w:rPr>
                <w:rFonts w:ascii="Arial" w:cs="Arial" w:eastAsia="Arial" w:hAnsi="Arial"/>
                <w:sz w:val="19"/>
                <w:szCs w:val="19"/>
                <w:color w:val="auto"/>
              </w:rPr>
              <w:t xml:space="preserve">derivative </w:t>
            </w:r>
            <w:r>
              <w:rPr>
                <w:rFonts w:ascii="Arial" w:cs="Arial" w:eastAsia="Arial" w:hAnsi="Arial"/>
                <w:sz w:val="25"/>
                <w:szCs w:val="25"/>
                <w:color w:val="auto"/>
                <w:vertAlign w:val="superscript"/>
              </w:rPr>
              <w:t>(1)</w:t>
            </w:r>
          </w:p>
        </w:tc>
        <w:tc>
          <w:tcPr>
            <w:tcW w:w="700" w:type="dxa"/>
            <w:vAlign w:val="bottom"/>
            <w:vMerge w:val="continue"/>
          </w:tcPr>
          <w:p>
            <w:pPr>
              <w:spacing w:after="0"/>
              <w:rPr>
                <w:sz w:val="23"/>
                <w:szCs w:val="23"/>
                <w:color w:val="auto"/>
              </w:rPr>
            </w:pPr>
          </w:p>
        </w:tc>
        <w:tc>
          <w:tcPr>
            <w:tcW w:w="380" w:type="dxa"/>
            <w:vAlign w:val="bottom"/>
            <w:vMerge w:val="continue"/>
          </w:tcPr>
          <w:p>
            <w:pPr>
              <w:spacing w:after="0"/>
              <w:rPr>
                <w:sz w:val="23"/>
                <w:szCs w:val="23"/>
                <w:color w:val="auto"/>
              </w:rPr>
            </w:pPr>
          </w:p>
        </w:tc>
        <w:tc>
          <w:tcPr>
            <w:tcW w:w="320" w:type="dxa"/>
            <w:vAlign w:val="bottom"/>
            <w:gridSpan w:val="2"/>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7780" w:type="dxa"/>
            <w:vAlign w:val="bottom"/>
            <w:gridSpan w:val="2"/>
          </w:tcPr>
          <w:p>
            <w:pPr>
              <w:ind w:left="80"/>
              <w:spacing w:after="0"/>
              <w:rPr>
                <w:sz w:val="20"/>
                <w:szCs w:val="20"/>
                <w:color w:val="auto"/>
              </w:rPr>
            </w:pPr>
            <w:r>
              <w:rPr>
                <w:rFonts w:ascii="Arial" w:cs="Arial" w:eastAsia="Arial" w:hAnsi="Arial"/>
                <w:sz w:val="19"/>
                <w:szCs w:val="19"/>
                <w:color w:val="auto"/>
              </w:rPr>
              <w:t xml:space="preserve">Net gain/(loss) on foreign currency revaluation </w:t>
            </w:r>
            <w:r>
              <w:rPr>
                <w:rFonts w:ascii="Arial" w:cs="Arial" w:eastAsia="Arial" w:hAnsi="Arial"/>
                <w:sz w:val="25"/>
                <w:szCs w:val="25"/>
                <w:color w:val="auto"/>
                <w:vertAlign w:val="superscript"/>
              </w:rPr>
              <w:t>(2)</w:t>
            </w:r>
          </w:p>
        </w:tc>
        <w:tc>
          <w:tcPr>
            <w:tcW w:w="7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15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(36)</w:t>
            </w:r>
          </w:p>
        </w:tc>
        <w:tc>
          <w:tcPr>
            <w:tcW w:w="0" w:type="dxa"/>
            <w:vAlign w:val="bottom"/>
          </w:tcPr>
          <w:p>
            <w:pPr>
              <w:spacing w:after="0"/>
              <w:rPr>
                <w:sz w:val="1"/>
                <w:szCs w:val="1"/>
                <w:color w:val="auto"/>
              </w:rPr>
            </w:pPr>
          </w:p>
        </w:tc>
      </w:tr>
      <w:tr>
        <w:trPr>
          <w:trHeight w:val="257"/>
        </w:trPr>
        <w:tc>
          <w:tcPr>
            <w:tcW w:w="7780" w:type="dxa"/>
            <w:vAlign w:val="bottom"/>
            <w:gridSpan w:val="2"/>
          </w:tcPr>
          <w:p>
            <w:pPr>
              <w:ind w:left="80"/>
              <w:spacing w:after="0"/>
              <w:rPr>
                <w:sz w:val="20"/>
                <w:szCs w:val="20"/>
                <w:color w:val="auto"/>
              </w:rPr>
            </w:pPr>
            <w:r>
              <w:rPr>
                <w:rFonts w:ascii="Arial" w:cs="Arial" w:eastAsia="Arial" w:hAnsi="Arial"/>
                <w:sz w:val="19"/>
                <w:szCs w:val="19"/>
                <w:color w:val="auto"/>
              </w:rPr>
              <w:t>Other</w:t>
            </w:r>
          </w:p>
        </w:tc>
        <w:tc>
          <w:tcPr>
            <w:tcW w:w="7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53"/>
        </w:trPr>
        <w:tc>
          <w:tcPr>
            <w:tcW w:w="344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700" w:type="dxa"/>
            <w:vAlign w:val="bottom"/>
          </w:tcPr>
          <w:p>
            <w:pPr>
              <w:jc w:val="right"/>
              <w:ind w:right="452"/>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w w:val="88"/>
              </w:rPr>
              <w:t>102</w:t>
            </w:r>
          </w:p>
        </w:tc>
        <w:tc>
          <w:tcPr>
            <w:tcW w:w="3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(219)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440" w:type="dxa"/>
            <w:vAlign w:val="bottom"/>
            <w:tcBorders>
              <w:bottom w:val="single" w:sz="8" w:color="auto"/>
            </w:tcBorders>
          </w:tcPr>
          <w:p>
            <w:pPr>
              <w:spacing w:after="0"/>
              <w:rPr>
                <w:sz w:val="11"/>
                <w:szCs w:val="11"/>
                <w:color w:val="auto"/>
              </w:rPr>
            </w:pPr>
          </w:p>
        </w:tc>
        <w:tc>
          <w:tcPr>
            <w:tcW w:w="4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-990600</wp:posOffset>
            </wp:positionV>
            <wp:extent cx="6348730" cy="901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a:extLst>
                        <a:ext uri="{28A0092B-C50C-407E-A947-70E740481C1C}"/>
                      </a:extLst>
                    </a:blip>
                    <a:srcRect/>
                    <a:stretch>
                      <a:fillRect/>
                    </a:stretch>
                  </pic:blipFill>
                  <pic:spPr bwMode="auto">
                    <a:xfrm>
                      <a:off x="0" y="0"/>
                      <a:ext cx="6348730" cy="901065"/>
                    </a:xfrm>
                    <a:prstGeom prst="rect">
                      <a:avLst/>
                    </a:prstGeom>
                    <a:noFill/>
                  </pic:spPr>
                </pic:pic>
              </a:graphicData>
            </a:graphic>
          </wp:anchor>
        </w:drawing>
      </w:r>
    </w:p>
    <w:p>
      <w:pPr>
        <w:sectPr>
          <w:pgSz w:w="11880" w:h="15480" w:orient="portrait"/>
          <w:cols w:equalWidth="0" w:num="1">
            <w:col w:w="9981"/>
          </w:cols>
          <w:pgMar w:left="939" w:top="669" w:right="960" w:bottom="0" w:gutter="0" w:footer="0" w:header="0"/>
        </w:sectPr>
      </w:pPr>
    </w:p>
    <w:p>
      <w:pPr>
        <w:spacing w:after="0" w:line="126" w:lineRule="exact"/>
        <w:rPr>
          <w:sz w:val="20"/>
          <w:szCs w:val="20"/>
          <w:color w:val="auto"/>
        </w:rPr>
      </w:pPr>
    </w:p>
    <w:p>
      <w:pPr>
        <w:ind w:left="1"/>
        <w:spacing w:after="0"/>
        <w:rPr>
          <w:sz w:val="20"/>
          <w:szCs w:val="20"/>
          <w:color w:val="auto"/>
        </w:rPr>
      </w:pPr>
      <w:r>
        <w:rPr>
          <w:rFonts w:ascii="Arial" w:cs="Arial" w:eastAsia="Arial" w:hAnsi="Arial"/>
          <w:sz w:val="11"/>
          <w:szCs w:val="11"/>
          <w:color w:val="auto"/>
        </w:rPr>
        <w:t>(1)</w:t>
      </w:r>
    </w:p>
    <w:p>
      <w:pPr>
        <w:spacing w:after="0" w:line="224" w:lineRule="exact"/>
        <w:rPr>
          <w:sz w:val="20"/>
          <w:szCs w:val="20"/>
          <w:color w:val="auto"/>
        </w:rPr>
      </w:pPr>
    </w:p>
    <w:p>
      <w:pPr>
        <w:ind w:left="1"/>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See Note 12 to our Consolidated Financial Statements for additional information.</w:t>
      </w:r>
    </w:p>
    <w:p>
      <w:pPr>
        <w:spacing w:after="0" w:line="132" w:lineRule="exact"/>
        <w:rPr>
          <w:sz w:val="20"/>
          <w:szCs w:val="20"/>
          <w:color w:val="auto"/>
        </w:rPr>
      </w:pPr>
    </w:p>
    <w:p>
      <w:pPr>
        <w:jc w:val="both"/>
        <w:ind w:right="360"/>
        <w:spacing w:after="0" w:line="276" w:lineRule="auto"/>
        <w:rPr>
          <w:sz w:val="20"/>
          <w:szCs w:val="20"/>
          <w:color w:val="auto"/>
        </w:rPr>
      </w:pPr>
      <w:r>
        <w:rPr>
          <w:rFonts w:ascii="Arial" w:cs="Arial" w:eastAsia="Arial" w:hAnsi="Arial"/>
          <w:sz w:val="19"/>
          <w:szCs w:val="19"/>
          <w:color w:val="auto"/>
        </w:rPr>
        <w:t>The activity during the periods presented was primarily related to the impact from the change in the United States Dollar to Canadian dollar exchange rate on the portion of our intercompany net investment that is not long-term in nature.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Income Tax (Expense)/Benefit</w:t>
      </w:r>
    </w:p>
    <w:p>
      <w:pPr>
        <w:spacing w:after="0" w:line="200" w:lineRule="exact"/>
        <w:rPr>
          <w:sz w:val="20"/>
          <w:szCs w:val="20"/>
          <w:color w:val="auto"/>
        </w:rPr>
      </w:pPr>
    </w:p>
    <w:p>
      <w:pPr>
        <w:sectPr>
          <w:pgSz w:w="11880" w:h="15480" w:orient="portrait"/>
          <w:cols w:equalWidth="0" w:num="2">
            <w:col w:w="141" w:space="560"/>
            <w:col w:w="9280"/>
          </w:cols>
          <w:pgMar w:left="939" w:top="669" w:right="960" w:bottom="0" w:gutter="0" w:footer="0" w:header="0"/>
          <w:type w:val="continuous"/>
        </w:sectPr>
      </w:pPr>
    </w:p>
    <w:p>
      <w:pPr>
        <w:spacing w:after="0" w:line="57" w:lineRule="exact"/>
        <w:rPr>
          <w:sz w:val="20"/>
          <w:szCs w:val="20"/>
          <w:color w:val="auto"/>
        </w:rPr>
      </w:pPr>
    </w:p>
    <w:p>
      <w:pPr>
        <w:ind w:left="1" w:right="200" w:firstLine="702"/>
        <w:spacing w:after="0" w:line="289" w:lineRule="auto"/>
        <w:rPr>
          <w:sz w:val="20"/>
          <w:szCs w:val="20"/>
          <w:color w:val="auto"/>
        </w:rPr>
      </w:pPr>
      <w:r>
        <w:rPr>
          <w:rFonts w:ascii="Arial" w:cs="Arial" w:eastAsia="Arial" w:hAnsi="Arial"/>
          <w:sz w:val="18"/>
          <w:szCs w:val="18"/>
          <w:color w:val="auto"/>
        </w:rPr>
        <w:t>The net favorable income tax variance for the year ended December 31, 2023 compared to the year ended December 31, 2022 was primarily due to lower year-over-year income within our Canadian operations as impacted by fluctuations of derivative mark-to-market valuations. The favorable variance was partially offset by the tax impact of the Keyera Fort Saskatchewan divestiture and the impact of higher earnings at PAA on income attributable to PAGP.</w:t>
      </w:r>
    </w:p>
    <w:p>
      <w:pPr>
        <w:spacing w:after="0" w:line="173" w:lineRule="exact"/>
        <w:rPr>
          <w:sz w:val="20"/>
          <w:szCs w:val="20"/>
          <w:color w:val="auto"/>
        </w:rPr>
      </w:pPr>
    </w:p>
    <w:p>
      <w:pPr>
        <w:ind w:left="1" w:right="1020" w:firstLine="702"/>
        <w:spacing w:after="0" w:line="295" w:lineRule="auto"/>
        <w:rPr>
          <w:sz w:val="20"/>
          <w:szCs w:val="20"/>
          <w:color w:val="auto"/>
        </w:rPr>
      </w:pPr>
      <w:r>
        <w:rPr>
          <w:rFonts w:ascii="Arial" w:cs="Arial" w:eastAsia="Arial" w:hAnsi="Arial"/>
          <w:sz w:val="19"/>
          <w:szCs w:val="19"/>
          <w:color w:val="auto"/>
        </w:rPr>
        <w:t>See Note 7 to our Consolidated Financial Statements for additional information regarding the Keyera Fort Saskatchewan divestiture.</w:t>
      </w:r>
    </w:p>
    <w:p>
      <w:pPr>
        <w:sectPr>
          <w:pgSz w:w="11880" w:h="15480" w:orient="portrait"/>
          <w:cols w:equalWidth="0" w:num="1">
            <w:col w:w="9981"/>
          </w:cols>
          <w:pgMar w:left="939" w:top="669"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75</w:t>
      </w:r>
    </w:p>
    <w:p>
      <w:pPr>
        <w:sectPr>
          <w:pgSz w:w="11880" w:h="15480" w:orient="portrait"/>
          <w:cols w:equalWidth="0" w:num="1">
            <w:col w:w="9981"/>
          </w:cols>
          <w:pgMar w:left="939" w:top="669" w:right="960" w:bottom="0" w:gutter="0" w:footer="0" w:header="0"/>
          <w:type w:val="continuous"/>
        </w:sectPr>
      </w:pPr>
    </w:p>
    <w:bookmarkStart w:id="75" w:name="page76"/>
    <w:bookmarkEnd w:id="75"/>
    <w:p>
      <w:pPr>
        <w:spacing w:after="0"/>
        <w:rPr>
          <w:sz w:val="20"/>
          <w:szCs w:val="20"/>
          <w:color w:val="auto"/>
        </w:rPr>
      </w:pPr>
      <w:r>
        <w:rPr>
          <w:rFonts w:ascii="Arial" w:cs="Arial" w:eastAsia="Arial" w:hAnsi="Arial"/>
          <w:sz w:val="19"/>
          <w:szCs w:val="19"/>
          <w:b w:val="1"/>
          <w:bCs w:val="1"/>
          <w:i w:val="1"/>
          <w:iCs w:val="1"/>
          <w:color w:val="auto"/>
        </w:rPr>
        <w:t>Non-GAAP Financial Measures</w:t>
      </w:r>
    </w:p>
    <w:p>
      <w:pPr>
        <w:spacing w:after="0" w:line="257" w:lineRule="exact"/>
        <w:rPr>
          <w:sz w:val="20"/>
          <w:szCs w:val="20"/>
          <w:color w:val="auto"/>
        </w:rPr>
      </w:pPr>
    </w:p>
    <w:p>
      <w:pPr>
        <w:ind w:left="80" w:right="160" w:firstLine="702"/>
        <w:spacing w:after="0" w:line="298"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EBITDA and Adjusted EBITDA attributable to PAA.</w:t>
      </w:r>
    </w:p>
    <w:p>
      <w:pPr>
        <w:spacing w:after="0" w:line="165" w:lineRule="exact"/>
        <w:rPr>
          <w:sz w:val="20"/>
          <w:szCs w:val="20"/>
          <w:color w:val="auto"/>
        </w:rPr>
      </w:pPr>
    </w:p>
    <w:p>
      <w:pPr>
        <w:ind w:left="80" w:right="100" w:firstLine="702"/>
        <w:spacing w:after="0" w:line="269" w:lineRule="auto"/>
        <w:rPr>
          <w:sz w:val="20"/>
          <w:szCs w:val="20"/>
          <w:color w:val="auto"/>
        </w:rPr>
      </w:pPr>
      <w:r>
        <w:rPr>
          <w:rFonts w:ascii="Arial" w:cs="Arial" w:eastAsia="Arial" w:hAnsi="Arial"/>
          <w:sz w:val="19"/>
          <w:szCs w:val="19"/>
          <w:color w:val="auto"/>
        </w:rPr>
        <w:t>Our definition and calculation of certain non-GAAP financial measures may not be comparable to similarly-titled measures of other companies. Adjusted EBITDA and Adjusted EBITDA attributable to PAA are reconciled to Net Income, the most directly comparable measures as reported in accordance with GAAP, and should be viewed in addition to, and not in lieu of, our Consolidated Financial Statements and accompanying notes.</w:t>
      </w:r>
    </w:p>
    <w:p>
      <w:pPr>
        <w:spacing w:after="0" w:line="183" w:lineRule="exact"/>
        <w:rPr>
          <w:sz w:val="20"/>
          <w:szCs w:val="20"/>
          <w:color w:val="auto"/>
        </w:rPr>
      </w:pPr>
    </w:p>
    <w:p>
      <w:pPr>
        <w:ind w:left="780"/>
        <w:spacing w:after="0"/>
        <w:rPr>
          <w:sz w:val="20"/>
          <w:szCs w:val="20"/>
          <w:color w:val="auto"/>
        </w:rPr>
      </w:pPr>
      <w:r>
        <w:rPr>
          <w:rFonts w:ascii="Arial" w:cs="Arial" w:eastAsia="Arial" w:hAnsi="Arial"/>
          <w:sz w:val="19"/>
          <w:szCs w:val="19"/>
          <w:b w:val="1"/>
          <w:bCs w:val="1"/>
          <w:color w:val="auto"/>
        </w:rPr>
        <w:t>Performance Measures</w:t>
      </w:r>
    </w:p>
    <w:p>
      <w:pPr>
        <w:spacing w:after="0" w:line="257" w:lineRule="exact"/>
        <w:rPr>
          <w:sz w:val="20"/>
          <w:szCs w:val="20"/>
          <w:color w:val="auto"/>
        </w:rPr>
      </w:pPr>
    </w:p>
    <w:p>
      <w:pPr>
        <w:ind w:left="80" w:right="340" w:firstLine="702"/>
        <w:spacing w:after="0" w:line="264" w:lineRule="auto"/>
        <w:rPr>
          <w:sz w:val="20"/>
          <w:szCs w:val="20"/>
          <w:color w:val="auto"/>
        </w:rPr>
      </w:pPr>
      <w:r>
        <w:rPr>
          <w:rFonts w:ascii="Arial" w:cs="Arial" w:eastAsia="Arial" w:hAnsi="Arial"/>
          <w:sz w:val="19"/>
          <w:szCs w:val="19"/>
          <w:color w:val="auto"/>
        </w:rPr>
        <w:t>Adjusted EBITDA is defined as earnings before interest expense, income taxes, depreciation and amortization (including our proportionate share of depreciation and amortization, including write-downs related to cancelled projects and impairments, of unconsolidated entities), gains and losses on asset sales and asset impairments and gains or losses on investments in unconsolidated entities, adjusted for certain selected items impacting comparability. Adjusted EBITDA attributable to PAA excludes the portion of Adjusted EBITDA that is attributable to noncontrolling interests in consolidated joint venture entities.</w:t>
      </w:r>
    </w:p>
    <w:p>
      <w:pPr>
        <w:spacing w:after="0" w:line="196" w:lineRule="exact"/>
        <w:rPr>
          <w:sz w:val="20"/>
          <w:szCs w:val="20"/>
          <w:color w:val="auto"/>
        </w:rPr>
      </w:pPr>
    </w:p>
    <w:p>
      <w:pPr>
        <w:ind w:left="80" w:right="80" w:firstLine="702"/>
        <w:spacing w:after="0" w:line="275" w:lineRule="auto"/>
        <w:rPr>
          <w:sz w:val="20"/>
          <w:szCs w:val="20"/>
          <w:color w:val="auto"/>
        </w:rPr>
      </w:pPr>
      <w:r>
        <w:rPr>
          <w:rFonts w:ascii="Arial" w:cs="Arial" w:eastAsia="Arial" w:hAnsi="Arial"/>
          <w:sz w:val="18"/>
          <w:szCs w:val="18"/>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(ii) provide investors with the same financial analytical framework upon which management bases financial, operational, compensation and planning/ budgeting decisions and (iii) present measures that investors, rating agencies and debt holders have indicated are useful in assessing us and our results of operations. These non-GAAP financial performance measures may exclude, for example,</w:t>
      </w:r>
    </w:p>
    <w:p>
      <w:pPr>
        <w:spacing w:after="0" w:line="1" w:lineRule="exact"/>
        <w:rPr>
          <w:sz w:val="20"/>
          <w:szCs w:val="20"/>
          <w:color w:val="auto"/>
        </w:rPr>
      </w:pPr>
    </w:p>
    <w:p>
      <w:pPr>
        <w:ind w:left="80" w:hanging="1"/>
        <w:spacing w:after="0" w:line="273" w:lineRule="auto"/>
        <w:tabs>
          <w:tab w:leader="none" w:pos="313"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5" w:lineRule="exact"/>
        <w:rPr>
          <w:sz w:val="20"/>
          <w:szCs w:val="20"/>
          <w:color w:val="auto"/>
        </w:rPr>
      </w:pPr>
    </w:p>
    <w:p>
      <w:pPr>
        <w:ind w:left="80" w:right="20" w:firstLine="702"/>
        <w:spacing w:after="0" w:line="266" w:lineRule="auto"/>
        <w:rPr>
          <w:sz w:val="20"/>
          <w:szCs w:val="20"/>
          <w:color w:val="auto"/>
        </w:rPr>
      </w:pPr>
      <w:r>
        <w:rPr>
          <w:rFonts w:ascii="Arial" w:cs="Arial" w:eastAsia="Arial" w:hAnsi="Arial"/>
          <w:sz w:val="19"/>
          <w:szCs w:val="19"/>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ectPr>
          <w:pgSz w:w="11880" w:h="15480" w:orient="portrait"/>
          <w:cols w:equalWidth="0" w:num="1">
            <w:col w:w="10080"/>
          </w:cols>
          <w:pgMar w:left="860" w:top="66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76</w:t>
      </w:r>
    </w:p>
    <w:p>
      <w:pPr>
        <w:sectPr>
          <w:pgSz w:w="11880" w:h="15480" w:orient="portrait"/>
          <w:cols w:equalWidth="0" w:num="1">
            <w:col w:w="10080"/>
          </w:cols>
          <w:pgMar w:left="860" w:top="669" w:right="940" w:bottom="0" w:gutter="0" w:footer="0" w:header="0"/>
          <w:type w:val="continuous"/>
        </w:sectPr>
      </w:pPr>
    </w:p>
    <w:bookmarkStart w:id="76" w:name="page77"/>
    <w:bookmarkEnd w:id="76"/>
    <w:p>
      <w:pPr>
        <w:ind w:right="80" w:firstLine="702"/>
        <w:spacing w:after="0" w:line="295" w:lineRule="auto"/>
        <w:rPr>
          <w:sz w:val="20"/>
          <w:szCs w:val="20"/>
          <w:color w:val="auto"/>
        </w:rPr>
      </w:pPr>
      <w:r>
        <w:rPr>
          <w:rFonts w:ascii="Arial" w:cs="Arial" w:eastAsia="Arial" w:hAnsi="Arial"/>
          <w:sz w:val="19"/>
          <w:szCs w:val="19"/>
          <w:color w:val="auto"/>
        </w:rPr>
        <w:t>The following table sets forth the reconciliation of the non-GAAP financial performance measures Adjusted EBITDA and Adjusted EBITDA attributable to PAA from Net Income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6"/>
                <w:szCs w:val="16"/>
                <w:b w:val="1"/>
                <w:bCs w:val="1"/>
                <w:color w:val="auto"/>
                <w:w w:val="89"/>
              </w:rPr>
              <w:t>Year Ended December 31,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Variance</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04"/>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69"/>
        </w:trPr>
        <w:tc>
          <w:tcPr>
            <w:tcW w:w="5400" w:type="dxa"/>
            <w:vAlign w:val="bottom"/>
            <w:gridSpan w:val="3"/>
          </w:tcPr>
          <w:p>
            <w:pPr>
              <w:ind w:left="80"/>
              <w:spacing w:after="0"/>
              <w:rPr>
                <w:sz w:val="20"/>
                <w:szCs w:val="20"/>
                <w:color w:val="auto"/>
              </w:rPr>
            </w:pPr>
            <w:r>
              <w:rPr>
                <w:rFonts w:ascii="Arial" w:cs="Arial" w:eastAsia="Arial" w:hAnsi="Arial"/>
                <w:sz w:val="19"/>
                <w:szCs w:val="19"/>
                <w:color w:val="auto"/>
              </w:rPr>
              <w:t>Net income</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1,425</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1,163</w:t>
            </w:r>
          </w:p>
        </w:tc>
        <w:tc>
          <w:tcPr>
            <w:tcW w:w="80" w:type="dxa"/>
            <w:vAlign w:val="bottom"/>
            <w:tcBorders>
              <w:right w:val="single" w:sz="8" w:color="auto"/>
            </w:tcBorders>
          </w:tcPr>
          <w:p>
            <w:pPr>
              <w:spacing w:after="0"/>
              <w:rPr>
                <w:sz w:val="23"/>
                <w:szCs w:val="23"/>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262</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23 %</w:t>
            </w:r>
          </w:p>
        </w:tc>
        <w:tc>
          <w:tcPr>
            <w:tcW w:w="0" w:type="dxa"/>
            <w:vAlign w:val="bottom"/>
          </w:tcPr>
          <w:p>
            <w:pPr>
              <w:spacing w:after="0"/>
              <w:rPr>
                <w:sz w:val="1"/>
                <w:szCs w:val="1"/>
                <w:color w:val="auto"/>
              </w:rPr>
            </w:pPr>
          </w:p>
        </w:tc>
      </w:tr>
      <w:tr>
        <w:trPr>
          <w:trHeight w:val="292"/>
        </w:trPr>
        <w:tc>
          <w:tcPr>
            <w:tcW w:w="5400" w:type="dxa"/>
            <w:vAlign w:val="bottom"/>
            <w:gridSpan w:val="3"/>
          </w:tcPr>
          <w:p>
            <w:pPr>
              <w:ind w:left="140"/>
              <w:spacing w:after="0"/>
              <w:rPr>
                <w:sz w:val="20"/>
                <w:szCs w:val="20"/>
                <w:color w:val="auto"/>
              </w:rPr>
            </w:pPr>
            <w:r>
              <w:rPr>
                <w:rFonts w:ascii="Arial" w:cs="Arial" w:eastAsia="Arial" w:hAnsi="Arial"/>
                <w:sz w:val="19"/>
                <w:szCs w:val="19"/>
                <w:color w:val="auto"/>
              </w:rPr>
              <w:t>Interest expense, net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386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405</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92"/>
        </w:trPr>
        <w:tc>
          <w:tcPr>
            <w:tcW w:w="5400" w:type="dxa"/>
            <w:vAlign w:val="bottom"/>
            <w:gridSpan w:val="3"/>
          </w:tcPr>
          <w:p>
            <w:pPr>
              <w:ind w:left="140"/>
              <w:spacing w:after="0"/>
              <w:rPr>
                <w:sz w:val="20"/>
                <w:szCs w:val="20"/>
                <w:color w:val="auto"/>
              </w:rPr>
            </w:pPr>
            <w:r>
              <w:rPr>
                <w:rFonts w:ascii="Arial" w:cs="Arial" w:eastAsia="Arial" w:hAnsi="Arial"/>
                <w:sz w:val="19"/>
                <w:szCs w:val="19"/>
                <w:color w:val="auto"/>
              </w:rPr>
              <w:t>Income tax expense</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189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246</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(57)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(23)%</w:t>
            </w:r>
          </w:p>
        </w:tc>
        <w:tc>
          <w:tcPr>
            <w:tcW w:w="0" w:type="dxa"/>
            <w:vAlign w:val="bottom"/>
          </w:tcPr>
          <w:p>
            <w:pPr>
              <w:spacing w:after="0"/>
              <w:rPr>
                <w:sz w:val="1"/>
                <w:szCs w:val="1"/>
                <w:color w:val="auto"/>
              </w:rPr>
            </w:pPr>
          </w:p>
        </w:tc>
      </w:tr>
      <w:tr>
        <w:trPr>
          <w:trHeight w:val="292"/>
        </w:trPr>
        <w:tc>
          <w:tcPr>
            <w:tcW w:w="5400" w:type="dxa"/>
            <w:vAlign w:val="bottom"/>
            <w:gridSpan w:val="3"/>
          </w:tcPr>
          <w:p>
            <w:pPr>
              <w:ind w:left="140"/>
              <w:spacing w:after="0"/>
              <w:rPr>
                <w:sz w:val="20"/>
                <w:szCs w:val="20"/>
                <w:color w:val="auto"/>
              </w:rPr>
            </w:pPr>
            <w:r>
              <w:rPr>
                <w:rFonts w:ascii="Arial" w:cs="Arial" w:eastAsia="Arial" w:hAnsi="Arial"/>
                <w:sz w:val="19"/>
                <w:szCs w:val="19"/>
                <w:color w:val="auto"/>
              </w:rPr>
              <w:t>Depreciation and amortization</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1,051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968</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83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9 %</w:t>
            </w:r>
          </w:p>
        </w:tc>
        <w:tc>
          <w:tcPr>
            <w:tcW w:w="0" w:type="dxa"/>
            <w:vAlign w:val="bottom"/>
          </w:tcPr>
          <w:p>
            <w:pPr>
              <w:spacing w:after="0"/>
              <w:rPr>
                <w:sz w:val="1"/>
                <w:szCs w:val="1"/>
                <w:color w:val="auto"/>
              </w:rPr>
            </w:pPr>
          </w:p>
        </w:tc>
      </w:tr>
      <w:tr>
        <w:trPr>
          <w:trHeight w:val="292"/>
        </w:trPr>
        <w:tc>
          <w:tcPr>
            <w:tcW w:w="5400" w:type="dxa"/>
            <w:vAlign w:val="bottom"/>
            <w:gridSpan w:val="3"/>
          </w:tcPr>
          <w:p>
            <w:pPr>
              <w:ind w:left="140"/>
              <w:spacing w:after="0"/>
              <w:rPr>
                <w:sz w:val="20"/>
                <w:szCs w:val="20"/>
                <w:color w:val="auto"/>
              </w:rPr>
            </w:pPr>
            <w:r>
              <w:rPr>
                <w:rFonts w:ascii="Arial" w:cs="Arial" w:eastAsia="Arial" w:hAnsi="Arial"/>
                <w:sz w:val="19"/>
                <w:szCs w:val="19"/>
                <w:color w:val="auto"/>
              </w:rPr>
              <w:t>(Gains)/losses on asset sales and asset impairments, net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(152)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269</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(421)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(157)%</w:t>
            </w:r>
          </w:p>
        </w:tc>
        <w:tc>
          <w:tcPr>
            <w:tcW w:w="0" w:type="dxa"/>
            <w:vAlign w:val="bottom"/>
          </w:tcPr>
          <w:p>
            <w:pPr>
              <w:spacing w:after="0"/>
              <w:rPr>
                <w:sz w:val="1"/>
                <w:szCs w:val="1"/>
                <w:color w:val="auto"/>
              </w:rPr>
            </w:pPr>
          </w:p>
        </w:tc>
      </w:tr>
      <w:tr>
        <w:trPr>
          <w:trHeight w:val="292"/>
        </w:trPr>
        <w:tc>
          <w:tcPr>
            <w:tcW w:w="5400" w:type="dxa"/>
            <w:vAlign w:val="bottom"/>
            <w:gridSpan w:val="3"/>
          </w:tcPr>
          <w:p>
            <w:pPr>
              <w:ind w:left="140"/>
              <w:spacing w:after="0"/>
              <w:rPr>
                <w:sz w:val="20"/>
                <w:szCs w:val="20"/>
                <w:color w:val="auto"/>
              </w:rPr>
            </w:pPr>
            <w:r>
              <w:rPr>
                <w:rFonts w:ascii="Arial" w:cs="Arial" w:eastAsia="Arial" w:hAnsi="Arial"/>
                <w:sz w:val="19"/>
                <w:szCs w:val="19"/>
                <w:color w:val="auto"/>
              </w:rPr>
              <w:t>(Gains)/losses on investments in unconsolidated entities, net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(346)</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318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92 %</w:t>
            </w:r>
          </w:p>
        </w:tc>
        <w:tc>
          <w:tcPr>
            <w:tcW w:w="0" w:type="dxa"/>
            <w:vAlign w:val="bottom"/>
          </w:tcPr>
          <w:p>
            <w:pPr>
              <w:spacing w:after="0"/>
              <w:rPr>
                <w:sz w:val="1"/>
                <w:szCs w:val="1"/>
                <w:color w:val="auto"/>
              </w:rPr>
            </w:pPr>
          </w:p>
        </w:tc>
      </w:tr>
      <w:tr>
        <w:trPr>
          <w:trHeight w:val="313"/>
        </w:trPr>
        <w:tc>
          <w:tcPr>
            <w:tcW w:w="5400" w:type="dxa"/>
            <w:vAlign w:val="bottom"/>
            <w:gridSpan w:val="3"/>
          </w:tcPr>
          <w:p>
            <w:pPr>
              <w:ind w:left="140"/>
              <w:spacing w:after="0"/>
              <w:rPr>
                <w:sz w:val="20"/>
                <w:szCs w:val="20"/>
                <w:color w:val="auto"/>
              </w:rPr>
            </w:pPr>
            <w:r>
              <w:rPr>
                <w:rFonts w:ascii="Arial" w:cs="Arial" w:eastAsia="Arial" w:hAnsi="Arial"/>
                <w:sz w:val="19"/>
                <w:szCs w:val="19"/>
                <w:color w:val="auto"/>
              </w:rPr>
              <w:t xml:space="preserve">Depreciation and amortization of unconsolidated entities </w:t>
            </w:r>
            <w:r>
              <w:rPr>
                <w:rFonts w:ascii="Arial" w:cs="Arial" w:eastAsia="Arial" w:hAnsi="Arial"/>
                <w:sz w:val="25"/>
                <w:szCs w:val="25"/>
                <w:color w:val="auto"/>
                <w:vertAlign w:val="superscript"/>
              </w:rPr>
              <w:t>(1)</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87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85</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2 %</w:t>
            </w:r>
          </w:p>
        </w:tc>
        <w:tc>
          <w:tcPr>
            <w:tcW w:w="0" w:type="dxa"/>
            <w:vAlign w:val="bottom"/>
          </w:tcPr>
          <w:p>
            <w:pPr>
              <w:spacing w:after="0"/>
              <w:rPr>
                <w:sz w:val="1"/>
                <w:szCs w:val="1"/>
                <w:color w:val="auto"/>
              </w:rPr>
            </w:pPr>
          </w:p>
        </w:tc>
      </w:tr>
      <w:tr>
        <w:trPr>
          <w:trHeight w:val="311"/>
        </w:trPr>
        <w:tc>
          <w:tcPr>
            <w:tcW w:w="5400" w:type="dxa"/>
            <w:vAlign w:val="bottom"/>
            <w:gridSpan w:val="3"/>
          </w:tcPr>
          <w:p>
            <w:pPr>
              <w:ind w:left="140"/>
              <w:spacing w:after="0"/>
              <w:rPr>
                <w:sz w:val="20"/>
                <w:szCs w:val="20"/>
                <w:color w:val="auto"/>
              </w:rPr>
            </w:pPr>
            <w:r>
              <w:rPr>
                <w:rFonts w:ascii="Arial" w:cs="Arial" w:eastAsia="Arial" w:hAnsi="Arial"/>
                <w:sz w:val="19"/>
                <w:szCs w:val="19"/>
                <w:color w:val="auto"/>
              </w:rPr>
              <w:t xml:space="preserve">Unallocated general and administrative expenses </w:t>
            </w:r>
            <w:r>
              <w:rPr>
                <w:rFonts w:ascii="Arial" w:cs="Arial" w:eastAsia="Arial" w:hAnsi="Arial"/>
                <w:sz w:val="25"/>
                <w:szCs w:val="25"/>
                <w:color w:val="auto"/>
                <w:vertAlign w:val="superscript"/>
              </w:rPr>
              <w:t>(2)</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5</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20 %</w:t>
            </w:r>
          </w:p>
        </w:tc>
        <w:tc>
          <w:tcPr>
            <w:tcW w:w="0" w:type="dxa"/>
            <w:vAlign w:val="bottom"/>
          </w:tcPr>
          <w:p>
            <w:pPr>
              <w:spacing w:after="0"/>
              <w:rPr>
                <w:sz w:val="1"/>
                <w:szCs w:val="1"/>
                <w:color w:val="auto"/>
              </w:rPr>
            </w:pPr>
          </w:p>
        </w:tc>
      </w:tr>
      <w:tr>
        <w:trPr>
          <w:trHeight w:val="254"/>
        </w:trPr>
        <w:tc>
          <w:tcPr>
            <w:tcW w:w="5400" w:type="dxa"/>
            <w:vAlign w:val="bottom"/>
            <w:gridSpan w:val="3"/>
          </w:tcPr>
          <w:p>
            <w:pPr>
              <w:ind w:left="140"/>
              <w:spacing w:after="0"/>
              <w:rPr>
                <w:sz w:val="20"/>
                <w:szCs w:val="20"/>
                <w:color w:val="auto"/>
              </w:rPr>
            </w:pPr>
            <w:r>
              <w:rPr>
                <w:rFonts w:ascii="Arial" w:cs="Arial" w:eastAsia="Arial" w:hAnsi="Arial"/>
                <w:sz w:val="19"/>
                <w:szCs w:val="19"/>
                <w:color w:val="auto"/>
              </w:rPr>
              <w:t>Selected Items Impacting Comparability:</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20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9"/>
                <w:szCs w:val="19"/>
                <w:color w:val="auto"/>
              </w:rPr>
              <w:t>Derivative activities and inventory valuation adjustments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159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(280)</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439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2"/>
        </w:trPr>
        <w:tc>
          <w:tcPr>
            <w:tcW w:w="20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9"/>
                <w:szCs w:val="19"/>
                <w:color w:val="auto"/>
              </w:rPr>
              <w:t>Long-term inventory costing adjustments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39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2"/>
        </w:trPr>
        <w:tc>
          <w:tcPr>
            <w:tcW w:w="20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9"/>
                <w:szCs w:val="19"/>
                <w:color w:val="auto"/>
              </w:rPr>
              <w:t>Deficiencies under minimum volume commitments, net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7</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2"/>
        </w:trPr>
        <w:tc>
          <w:tcPr>
            <w:tcW w:w="20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9"/>
                <w:szCs w:val="19"/>
                <w:color w:val="auto"/>
              </w:rPr>
              <w:t>Equity-indexed compensation expense</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32</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2"/>
        </w:trPr>
        <w:tc>
          <w:tcPr>
            <w:tcW w:w="20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9"/>
                <w:szCs w:val="19"/>
                <w:color w:val="auto"/>
              </w:rPr>
              <w:t>Foreign currency revaluation</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2"/>
        </w:trPr>
        <w:tc>
          <w:tcPr>
            <w:tcW w:w="20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9"/>
                <w:szCs w:val="19"/>
                <w:color w:val="auto"/>
              </w:rPr>
              <w:t>Line 901 incident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95</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(85)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5"/>
        </w:trPr>
        <w:tc>
          <w:tcPr>
            <w:tcW w:w="200" w:type="dxa"/>
            <w:vAlign w:val="bottom"/>
          </w:tcPr>
          <w:p>
            <w:pPr>
              <w:spacing w:after="0"/>
              <w:rPr>
                <w:sz w:val="24"/>
                <w:szCs w:val="24"/>
                <w:color w:val="auto"/>
              </w:rPr>
            </w:pPr>
          </w:p>
        </w:tc>
        <w:tc>
          <w:tcPr>
            <w:tcW w:w="5200" w:type="dxa"/>
            <w:vAlign w:val="bottom"/>
            <w:gridSpan w:val="2"/>
          </w:tcPr>
          <w:p>
            <w:pPr>
              <w:ind w:left="20"/>
              <w:spacing w:after="0"/>
              <w:rPr>
                <w:sz w:val="20"/>
                <w:szCs w:val="20"/>
                <w:color w:val="auto"/>
              </w:rPr>
            </w:pPr>
            <w:r>
              <w:rPr>
                <w:rFonts w:ascii="Arial" w:cs="Arial" w:eastAsia="Arial" w:hAnsi="Arial"/>
                <w:sz w:val="19"/>
                <w:szCs w:val="19"/>
                <w:color w:val="auto"/>
              </w:rPr>
              <w:t>Transaction-related expenses</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7"/>
        </w:trPr>
        <w:tc>
          <w:tcPr>
            <w:tcW w:w="5400" w:type="dxa"/>
            <w:vAlign w:val="bottom"/>
            <w:gridSpan w:val="3"/>
          </w:tcPr>
          <w:p>
            <w:pPr>
              <w:ind w:left="100"/>
              <w:spacing w:after="0" w:line="206" w:lineRule="exact"/>
              <w:rPr>
                <w:sz w:val="20"/>
                <w:szCs w:val="20"/>
                <w:color w:val="auto"/>
              </w:rPr>
            </w:pPr>
            <w:r>
              <w:rPr>
                <w:rFonts w:ascii="Arial" w:cs="Arial" w:eastAsia="Arial" w:hAnsi="Arial"/>
                <w:sz w:val="19"/>
                <w:szCs w:val="19"/>
                <w:color w:val="auto"/>
              </w:rPr>
              <w:t>Selected Items Impacting Comparability - Segment Adjusted</w:t>
            </w:r>
          </w:p>
        </w:tc>
        <w:tc>
          <w:tcPr>
            <w:tcW w:w="2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color w:val="auto"/>
              </w:rPr>
              <w:t>277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9"/>
                <w:szCs w:val="19"/>
                <w:color w:val="auto"/>
              </w:rPr>
              <w:t>(146)</w:t>
            </w:r>
          </w:p>
        </w:tc>
        <w:tc>
          <w:tcPr>
            <w:tcW w:w="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9"/>
                <w:szCs w:val="19"/>
                <w:color w:val="auto"/>
              </w:rPr>
              <w:t>423</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87"/>
        </w:trPr>
        <w:tc>
          <w:tcPr>
            <w:tcW w:w="200" w:type="dxa"/>
            <w:vAlign w:val="bottom"/>
          </w:tcPr>
          <w:p>
            <w:pPr>
              <w:spacing w:after="0"/>
              <w:rPr>
                <w:sz w:val="24"/>
                <w:szCs w:val="24"/>
                <w:color w:val="auto"/>
              </w:rPr>
            </w:pPr>
          </w:p>
        </w:tc>
        <w:tc>
          <w:tcPr>
            <w:tcW w:w="5200" w:type="dxa"/>
            <w:vAlign w:val="bottom"/>
            <w:gridSpan w:val="2"/>
          </w:tcPr>
          <w:p>
            <w:pPr>
              <w:ind w:left="60"/>
              <w:spacing w:after="0"/>
              <w:rPr>
                <w:sz w:val="20"/>
                <w:szCs w:val="20"/>
                <w:color w:val="auto"/>
              </w:rPr>
            </w:pPr>
            <w:r>
              <w:rPr>
                <w:rFonts w:ascii="Arial" w:cs="Arial" w:eastAsia="Arial" w:hAnsi="Arial"/>
                <w:sz w:val="19"/>
                <w:szCs w:val="19"/>
                <w:color w:val="auto"/>
              </w:rPr>
              <w:t xml:space="preserve">EBITDA </w:t>
            </w:r>
            <w:r>
              <w:rPr>
                <w:rFonts w:ascii="Arial" w:cs="Arial" w:eastAsia="Arial" w:hAnsi="Arial"/>
                <w:sz w:val="25"/>
                <w:szCs w:val="25"/>
                <w:color w:val="auto"/>
                <w:vertAlign w:val="superscript"/>
              </w:rPr>
              <w:t>(3)</w:t>
            </w:r>
          </w:p>
        </w:tc>
        <w:tc>
          <w:tcPr>
            <w:tcW w:w="2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0" w:type="dxa"/>
            <w:vAlign w:val="bottom"/>
            <w:gridSpan w:val="2"/>
          </w:tcPr>
          <w:p>
            <w:pPr>
              <w:ind w:left="20"/>
              <w:spacing w:after="0" w:line="195" w:lineRule="exact"/>
              <w:rPr>
                <w:sz w:val="20"/>
                <w:szCs w:val="20"/>
                <w:color w:val="auto"/>
              </w:rPr>
            </w:pPr>
            <w:r>
              <w:rPr>
                <w:rFonts w:ascii="Arial" w:cs="Arial" w:eastAsia="Arial" w:hAnsi="Arial"/>
                <w:sz w:val="19"/>
                <w:szCs w:val="19"/>
                <w:color w:val="auto"/>
                <w:w w:val="96"/>
              </w:rPr>
              <w:t>Mark-to-market adjustment of Preferred Distribution Rate Reset</w:t>
            </w:r>
          </w:p>
        </w:tc>
        <w:tc>
          <w:tcPr>
            <w:tcW w:w="2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color w:val="auto"/>
              </w:rPr>
              <w:t>(58)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9"/>
                <w:szCs w:val="19"/>
                <w:color w:val="auto"/>
              </w:rPr>
              <w:t>189</w:t>
            </w:r>
          </w:p>
        </w:tc>
        <w:tc>
          <w:tcPr>
            <w:tcW w:w="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9"/>
                <w:szCs w:val="19"/>
                <w:color w:val="auto"/>
              </w:rPr>
              <w:t>(247)</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67"/>
        </w:trPr>
        <w:tc>
          <w:tcPr>
            <w:tcW w:w="200" w:type="dxa"/>
            <w:vAlign w:val="bottom"/>
          </w:tcPr>
          <w:p>
            <w:pPr>
              <w:spacing w:after="0"/>
              <w:rPr>
                <w:sz w:val="23"/>
                <w:szCs w:val="23"/>
                <w:color w:val="auto"/>
              </w:rPr>
            </w:pPr>
          </w:p>
        </w:tc>
        <w:tc>
          <w:tcPr>
            <w:tcW w:w="5200" w:type="dxa"/>
            <w:vAlign w:val="bottom"/>
            <w:gridSpan w:val="2"/>
          </w:tcPr>
          <w:p>
            <w:pPr>
              <w:ind w:left="180"/>
              <w:spacing w:after="0" w:line="266" w:lineRule="exact"/>
              <w:rPr>
                <w:sz w:val="20"/>
                <w:szCs w:val="20"/>
                <w:color w:val="auto"/>
              </w:rPr>
            </w:pPr>
            <w:r>
              <w:rPr>
                <w:rFonts w:ascii="Arial" w:cs="Arial" w:eastAsia="Arial" w:hAnsi="Arial"/>
                <w:sz w:val="19"/>
                <w:szCs w:val="19"/>
                <w:color w:val="auto"/>
              </w:rPr>
              <w:t xml:space="preserve">Option embedded derivative </w:t>
            </w:r>
            <w:r>
              <w:rPr>
                <w:rFonts w:ascii="Arial" w:cs="Arial" w:eastAsia="Arial" w:hAnsi="Arial"/>
                <w:sz w:val="25"/>
                <w:szCs w:val="25"/>
                <w:color w:val="auto"/>
                <w:vertAlign w:val="superscript"/>
              </w:rPr>
              <w:t>(4)</w:t>
            </w:r>
          </w:p>
        </w:tc>
        <w:tc>
          <w:tcPr>
            <w:tcW w:w="20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200" w:type="dxa"/>
            <w:vAlign w:val="bottom"/>
          </w:tcPr>
          <w:p>
            <w:pPr>
              <w:spacing w:after="0"/>
              <w:rPr>
                <w:sz w:val="24"/>
                <w:szCs w:val="24"/>
                <w:color w:val="auto"/>
              </w:rPr>
            </w:pPr>
          </w:p>
        </w:tc>
        <w:tc>
          <w:tcPr>
            <w:tcW w:w="5200" w:type="dxa"/>
            <w:vAlign w:val="bottom"/>
            <w:gridSpan w:val="2"/>
          </w:tcPr>
          <w:p>
            <w:pPr>
              <w:ind w:left="20"/>
              <w:spacing w:after="0" w:line="281" w:lineRule="exact"/>
              <w:rPr>
                <w:sz w:val="20"/>
                <w:szCs w:val="20"/>
                <w:color w:val="auto"/>
              </w:rPr>
            </w:pPr>
            <w:r>
              <w:rPr>
                <w:rFonts w:ascii="Arial" w:cs="Arial" w:eastAsia="Arial" w:hAnsi="Arial"/>
                <w:sz w:val="19"/>
                <w:szCs w:val="19"/>
                <w:color w:val="auto"/>
              </w:rPr>
              <w:t xml:space="preserve">Foreign currency revaluation </w:t>
            </w:r>
            <w:r>
              <w:rPr>
                <w:rFonts w:ascii="Arial" w:cs="Arial" w:eastAsia="Arial" w:hAnsi="Arial"/>
                <w:sz w:val="25"/>
                <w:szCs w:val="25"/>
                <w:color w:val="auto"/>
                <w:vertAlign w:val="superscript"/>
              </w:rPr>
              <w:t>(5)</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2"/>
        </w:trPr>
        <w:tc>
          <w:tcPr>
            <w:tcW w:w="5400" w:type="dxa"/>
            <w:vAlign w:val="bottom"/>
            <w:gridSpan w:val="3"/>
          </w:tcPr>
          <w:p>
            <w:pPr>
              <w:ind w:left="100"/>
              <w:spacing w:after="0" w:line="272" w:lineRule="exact"/>
              <w:rPr>
                <w:sz w:val="20"/>
                <w:szCs w:val="20"/>
                <w:color w:val="auto"/>
              </w:rPr>
            </w:pPr>
            <w:r>
              <w:rPr>
                <w:rFonts w:ascii="Arial" w:cs="Arial" w:eastAsia="Arial" w:hAnsi="Arial"/>
                <w:sz w:val="19"/>
                <w:szCs w:val="19"/>
                <w:color w:val="auto"/>
              </w:rPr>
              <w:t xml:space="preserve">Selected Items Impacting Comparability - Adjusted EBITDA </w:t>
            </w:r>
            <w:r>
              <w:rPr>
                <w:rFonts w:ascii="Arial" w:cs="Arial" w:eastAsia="Arial" w:hAnsi="Arial"/>
                <w:sz w:val="25"/>
                <w:szCs w:val="25"/>
                <w:color w:val="auto"/>
                <w:vertAlign w:val="superscript"/>
              </w:rPr>
              <w:t>(6)</w:t>
            </w: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203</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80</w:t>
            </w: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123</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03"/>
        </w:trPr>
        <w:tc>
          <w:tcPr>
            <w:tcW w:w="5400" w:type="dxa"/>
            <w:vAlign w:val="bottom"/>
            <w:gridSpan w:val="3"/>
          </w:tcPr>
          <w:p>
            <w:pPr>
              <w:ind w:left="80"/>
              <w:spacing w:after="0"/>
              <w:rPr>
                <w:sz w:val="20"/>
                <w:szCs w:val="20"/>
                <w:color w:val="auto"/>
              </w:rPr>
            </w:pPr>
            <w:r>
              <w:rPr>
                <w:rFonts w:ascii="Arial" w:cs="Arial" w:eastAsia="Arial" w:hAnsi="Arial"/>
                <w:sz w:val="19"/>
                <w:szCs w:val="19"/>
                <w:color w:val="auto"/>
              </w:rPr>
              <w:t xml:space="preserve">Adjusted EBITDA </w:t>
            </w:r>
            <w:r>
              <w:rPr>
                <w:rFonts w:ascii="Arial" w:cs="Arial" w:eastAsia="Arial" w:hAnsi="Arial"/>
                <w:sz w:val="25"/>
                <w:szCs w:val="25"/>
                <w:color w:val="auto"/>
                <w:vertAlign w:val="superscript"/>
              </w:rPr>
              <w:t>(6)</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3,167</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2,875</w:t>
            </w:r>
          </w:p>
        </w:tc>
        <w:tc>
          <w:tcPr>
            <w:tcW w:w="80" w:type="dxa"/>
            <w:vAlign w:val="bottom"/>
            <w:tcBorders>
              <w:right w:val="single" w:sz="8" w:color="auto"/>
            </w:tcBorders>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292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10 %</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0" w:type="dxa"/>
            <w:vAlign w:val="bottom"/>
            <w:gridSpan w:val="2"/>
          </w:tcPr>
          <w:p>
            <w:pPr>
              <w:ind w:left="20"/>
              <w:spacing w:after="0" w:line="195" w:lineRule="exact"/>
              <w:rPr>
                <w:sz w:val="20"/>
                <w:szCs w:val="20"/>
                <w:color w:val="auto"/>
              </w:rPr>
            </w:pPr>
            <w:r>
              <w:rPr>
                <w:rFonts w:ascii="Arial" w:cs="Arial" w:eastAsia="Arial" w:hAnsi="Arial"/>
                <w:sz w:val="19"/>
                <w:szCs w:val="19"/>
                <w:color w:val="auto"/>
              </w:rPr>
              <w:t>Adjusted EBITDA attributable to noncontrolling interests in</w:t>
            </w:r>
          </w:p>
        </w:tc>
        <w:tc>
          <w:tcPr>
            <w:tcW w:w="2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color w:val="auto"/>
              </w:rPr>
              <w:t>(456)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9"/>
                <w:szCs w:val="19"/>
                <w:color w:val="auto"/>
              </w:rPr>
              <w:t>(365)</w:t>
            </w:r>
          </w:p>
        </w:tc>
        <w:tc>
          <w:tcPr>
            <w:tcW w:w="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9"/>
                <w:szCs w:val="19"/>
                <w:color w:val="auto"/>
              </w:rPr>
              <w:t>(91)</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(25)%</w:t>
            </w:r>
          </w:p>
        </w:tc>
        <w:tc>
          <w:tcPr>
            <w:tcW w:w="0" w:type="dxa"/>
            <w:vAlign w:val="bottom"/>
          </w:tcPr>
          <w:p>
            <w:pPr>
              <w:spacing w:after="0"/>
              <w:rPr>
                <w:sz w:val="1"/>
                <w:szCs w:val="1"/>
                <w:color w:val="auto"/>
              </w:rPr>
            </w:pPr>
          </w:p>
        </w:tc>
      </w:tr>
      <w:tr>
        <w:trPr>
          <w:trHeight w:val="256"/>
        </w:trPr>
        <w:tc>
          <w:tcPr>
            <w:tcW w:w="200" w:type="dxa"/>
            <w:vAlign w:val="bottom"/>
          </w:tcPr>
          <w:p>
            <w:pPr>
              <w:spacing w:after="0"/>
              <w:rPr>
                <w:sz w:val="22"/>
                <w:szCs w:val="22"/>
                <w:color w:val="auto"/>
              </w:rPr>
            </w:pPr>
          </w:p>
        </w:tc>
        <w:tc>
          <w:tcPr>
            <w:tcW w:w="5200" w:type="dxa"/>
            <w:vAlign w:val="bottom"/>
            <w:gridSpan w:val="2"/>
          </w:tcPr>
          <w:p>
            <w:pPr>
              <w:ind w:left="180"/>
              <w:spacing w:after="0" w:line="256" w:lineRule="exact"/>
              <w:rPr>
                <w:sz w:val="20"/>
                <w:szCs w:val="20"/>
                <w:color w:val="auto"/>
              </w:rPr>
            </w:pPr>
            <w:r>
              <w:rPr>
                <w:rFonts w:ascii="Arial" w:cs="Arial" w:eastAsia="Arial" w:hAnsi="Arial"/>
                <w:sz w:val="19"/>
                <w:szCs w:val="19"/>
                <w:color w:val="auto"/>
              </w:rPr>
              <w:t xml:space="preserve">consolidated joint ventures </w:t>
            </w:r>
            <w:r>
              <w:rPr>
                <w:rFonts w:ascii="Arial" w:cs="Arial" w:eastAsia="Arial" w:hAnsi="Arial"/>
                <w:sz w:val="25"/>
                <w:szCs w:val="25"/>
                <w:color w:val="auto"/>
                <w:vertAlign w:val="superscript"/>
              </w:rPr>
              <w:t>(7)</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5400" w:type="dxa"/>
            <w:vAlign w:val="bottom"/>
            <w:gridSpan w:val="3"/>
          </w:tcPr>
          <w:p>
            <w:pPr>
              <w:ind w:left="100"/>
              <w:spacing w:after="0"/>
              <w:rPr>
                <w:sz w:val="20"/>
                <w:szCs w:val="20"/>
                <w:color w:val="auto"/>
              </w:rPr>
            </w:pPr>
            <w:r>
              <w:rPr>
                <w:rFonts w:ascii="Arial" w:cs="Arial" w:eastAsia="Arial" w:hAnsi="Arial"/>
                <w:sz w:val="19"/>
                <w:szCs w:val="19"/>
                <w:color w:val="auto"/>
              </w:rPr>
              <w:t>Adjusted EBITDA attributable to PAA</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2,711</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2,510</w:t>
            </w:r>
          </w:p>
        </w:tc>
        <w:tc>
          <w:tcPr>
            <w:tcW w:w="80" w:type="dxa"/>
            <w:vAlign w:val="bottom"/>
            <w:tcBorders>
              <w:right w:val="single" w:sz="8" w:color="auto"/>
            </w:tcBorders>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201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8 %</w:t>
            </w:r>
          </w:p>
        </w:tc>
        <w:tc>
          <w:tcPr>
            <w:tcW w:w="0" w:type="dxa"/>
            <w:vAlign w:val="bottom"/>
          </w:tcPr>
          <w:p>
            <w:pPr>
              <w:spacing w:after="0"/>
              <w:rPr>
                <w:sz w:val="1"/>
                <w:szCs w:val="1"/>
                <w:color w:val="auto"/>
              </w:rPr>
            </w:pPr>
          </w:p>
        </w:tc>
      </w:tr>
      <w:tr>
        <w:trPr>
          <w:trHeight w:val="131"/>
        </w:trPr>
        <w:tc>
          <w:tcPr>
            <w:tcW w:w="200" w:type="dxa"/>
            <w:vAlign w:val="bottom"/>
            <w:tcBorders>
              <w:bottom w:val="single" w:sz="8" w:color="auto"/>
            </w:tcBorders>
          </w:tcPr>
          <w:p>
            <w:pPr>
              <w:spacing w:after="0"/>
              <w:rPr>
                <w:sz w:val="11"/>
                <w:szCs w:val="11"/>
                <w:color w:val="auto"/>
              </w:rPr>
            </w:pPr>
          </w:p>
        </w:tc>
        <w:tc>
          <w:tcPr>
            <w:tcW w:w="3240" w:type="dxa"/>
            <w:vAlign w:val="bottom"/>
            <w:tcBorders>
              <w:bottom w:val="single" w:sz="8" w:color="auto"/>
            </w:tcBorders>
          </w:tcPr>
          <w:p>
            <w:pPr>
              <w:spacing w:after="0"/>
              <w:rPr>
                <w:sz w:val="11"/>
                <w:szCs w:val="11"/>
                <w:color w:val="auto"/>
              </w:rPr>
            </w:pPr>
          </w:p>
        </w:tc>
        <w:tc>
          <w:tcPr>
            <w:tcW w:w="19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200" w:type="dxa"/>
            <w:vAlign w:val="bottom"/>
          </w:tcPr>
          <w:p>
            <w:pPr>
              <w:spacing w:after="0"/>
              <w:rPr>
                <w:sz w:val="20"/>
                <w:szCs w:val="20"/>
                <w:color w:val="auto"/>
              </w:rPr>
            </w:pPr>
            <w:r>
              <w:rPr>
                <w:rFonts w:ascii="Arial" w:cs="Arial" w:eastAsia="Arial" w:hAnsi="Arial"/>
                <w:sz w:val="19"/>
                <w:szCs w:val="19"/>
                <w:color w:val="auto"/>
              </w:rPr>
              <w:t>**</w:t>
            </w:r>
          </w:p>
        </w:tc>
        <w:tc>
          <w:tcPr>
            <w:tcW w:w="5200" w:type="dxa"/>
            <w:vAlign w:val="bottom"/>
            <w:gridSpan w:val="2"/>
          </w:tcPr>
          <w:p>
            <w:pPr>
              <w:ind w:left="500"/>
              <w:spacing w:after="0"/>
              <w:rPr>
                <w:sz w:val="20"/>
                <w:szCs w:val="20"/>
                <w:color w:val="auto"/>
              </w:rPr>
            </w:pPr>
            <w:r>
              <w:rPr>
                <w:rFonts w:ascii="Arial" w:cs="Arial" w:eastAsia="Arial" w:hAnsi="Arial"/>
                <w:sz w:val="19"/>
                <w:szCs w:val="19"/>
                <w:color w:val="auto"/>
                <w:w w:val="96"/>
              </w:rPr>
              <w:t>Indicates that variance as a percentage is not meaningful.</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-4938395</wp:posOffset>
            </wp:positionV>
            <wp:extent cx="6339205" cy="46710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a:extLst>
                        <a:ext uri="{28A0092B-C50C-407E-A947-70E740481C1C}"/>
                      </a:extLst>
                    </a:blip>
                    <a:srcRect/>
                    <a:stretch>
                      <a:fillRect/>
                    </a:stretch>
                  </pic:blipFill>
                  <pic:spPr bwMode="auto">
                    <a:xfrm>
                      <a:off x="0" y="0"/>
                      <a:ext cx="6339205" cy="4671060"/>
                    </a:xfrm>
                    <a:prstGeom prst="rect">
                      <a:avLst/>
                    </a:prstGeom>
                    <a:noFill/>
                  </pic:spPr>
                </pic:pic>
              </a:graphicData>
            </a:graphic>
          </wp:anchor>
        </w:drawing>
      </w:r>
    </w:p>
    <w:p>
      <w:pPr>
        <w:sectPr>
          <w:pgSz w:w="11880" w:h="15480" w:orient="portrait"/>
          <w:cols w:equalWidth="0" w:num="1">
            <w:col w:w="9980"/>
          </w:cols>
          <w:pgMar w:left="940" w:top="676" w:right="960" w:bottom="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right="280"/>
        <w:spacing w:after="0" w:line="276" w:lineRule="auto"/>
        <w:rPr>
          <w:sz w:val="20"/>
          <w:szCs w:val="20"/>
          <w:color w:val="auto"/>
        </w:rPr>
      </w:pPr>
      <w:r>
        <w:rPr>
          <w:rFonts w:ascii="Arial" w:cs="Arial" w:eastAsia="Arial" w:hAnsi="Arial"/>
          <w:sz w:val="19"/>
          <w:szCs w:val="19"/>
          <w:color w:val="auto"/>
        </w:rPr>
        <w:t>We exclude our proportionate share of the depreciation and amortization expense (including write-downs related to cancelled projects and impairments) of unconsolidated entities when reviewing Adjusted EBITDA, similar to our consolidated assets.</w:t>
      </w:r>
    </w:p>
    <w:p>
      <w:pPr>
        <w:spacing w:after="0" w:line="65" w:lineRule="exact"/>
        <w:rPr>
          <w:sz w:val="20"/>
          <w:szCs w:val="20"/>
          <w:color w:val="auto"/>
        </w:rPr>
      </w:pPr>
    </w:p>
    <w:p>
      <w:pPr>
        <w:ind w:right="100"/>
        <w:spacing w:after="0" w:line="276" w:lineRule="auto"/>
        <w:rPr>
          <w:sz w:val="20"/>
          <w:szCs w:val="20"/>
          <w:color w:val="auto"/>
        </w:rPr>
      </w:pPr>
      <w:r>
        <w:rPr>
          <w:rFonts w:ascii="Arial" w:cs="Arial" w:eastAsia="Arial" w:hAnsi="Arial"/>
          <w:sz w:val="19"/>
          <w:szCs w:val="19"/>
          <w:color w:val="auto"/>
        </w:rPr>
        <w:t>Represents general and administrative expenses incremental to those of PAA, which are not allocated to our reporting segments in determining Segment Adjusted EBITDA and are excluded in the non-GAAP financial performance measures utilized by management.</w:t>
      </w:r>
    </w:p>
    <w:p>
      <w:pPr>
        <w:spacing w:after="0" w:line="65" w:lineRule="exact"/>
        <w:rPr>
          <w:sz w:val="20"/>
          <w:szCs w:val="20"/>
          <w:color w:val="auto"/>
        </w:rPr>
      </w:pPr>
    </w:p>
    <w:p>
      <w:pPr>
        <w:ind w:right="520"/>
        <w:spacing w:after="0" w:line="295" w:lineRule="auto"/>
        <w:rPr>
          <w:sz w:val="20"/>
          <w:szCs w:val="20"/>
          <w:color w:val="auto"/>
        </w:rPr>
      </w:pPr>
      <w:r>
        <w:rPr>
          <w:rFonts w:ascii="Arial" w:cs="Arial" w:eastAsia="Arial" w:hAnsi="Arial"/>
          <w:sz w:val="19"/>
          <w:szCs w:val="19"/>
          <w:color w:val="auto"/>
        </w:rPr>
        <w:t>For a more detailed discussion of these selected items impacting comparability, see the footnotes to the Segment Adjusted EBITDA Reconciliation table in Note 19 to our Consolidated Financial Statements.</w:t>
      </w:r>
    </w:p>
    <w:p>
      <w:pPr>
        <w:spacing w:after="0" w:line="48" w:lineRule="exact"/>
        <w:rPr>
          <w:sz w:val="20"/>
          <w:szCs w:val="20"/>
          <w:color w:val="auto"/>
        </w:rPr>
      </w:pPr>
    </w:p>
    <w:p>
      <w:pPr>
        <w:ind w:right="60"/>
        <w:spacing w:after="0" w:line="311" w:lineRule="auto"/>
        <w:rPr>
          <w:sz w:val="20"/>
          <w:szCs w:val="20"/>
          <w:color w:val="auto"/>
        </w:rPr>
      </w:pPr>
      <w:r>
        <w:rPr>
          <w:rFonts w:ascii="Arial" w:cs="Arial" w:eastAsia="Arial" w:hAnsi="Arial"/>
          <w:sz w:val="17"/>
          <w:szCs w:val="17"/>
          <w:color w:val="auto"/>
        </w:rPr>
        <w:t>The Preferred Distribution Rate Reset Option of PAA’s Series A preferred units was accounted for as an embedded derivative and recorded at fair value in our Consolidated Financial Statements. The associated gains and losses are not integral to our results and were thus classified as a selected item impacting comparability. See Note 12 to our Consolidated Financial Statements for additional information regarding the Preferred Distribution Rate Reset Option.</w:t>
      </w:r>
    </w:p>
    <w:p>
      <w:pPr>
        <w:spacing w:after="0" w:line="40" w:lineRule="exact"/>
        <w:rPr>
          <w:sz w:val="20"/>
          <w:szCs w:val="20"/>
          <w:color w:val="auto"/>
        </w:rPr>
      </w:pPr>
    </w:p>
    <w:p>
      <w:pPr>
        <w:ind w:right="220"/>
        <w:spacing w:after="0" w:line="289" w:lineRule="auto"/>
        <w:rPr>
          <w:sz w:val="20"/>
          <w:szCs w:val="20"/>
          <w:color w:val="auto"/>
        </w:rPr>
      </w:pPr>
      <w:r>
        <w:rPr>
          <w:rFonts w:ascii="Arial" w:cs="Arial" w:eastAsia="Arial" w:hAnsi="Arial"/>
          <w:sz w:val="18"/>
          <w:szCs w:val="18"/>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200" w:lineRule="exact"/>
        <w:rPr>
          <w:sz w:val="20"/>
          <w:szCs w:val="20"/>
          <w:color w:val="auto"/>
        </w:rPr>
      </w:pPr>
    </w:p>
    <w:p>
      <w:pPr>
        <w:sectPr>
          <w:pgSz w:w="11880" w:h="15480" w:orient="portrait"/>
          <w:cols w:equalWidth="0" w:num="2">
            <w:col w:w="140" w:space="560"/>
            <w:col w:w="9280"/>
          </w:cols>
          <w:pgMar w:left="940" w:top="676" w:right="960" w:bottom="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ectPr>
          <w:pgSz w:w="11880" w:h="15480" w:orient="portrait"/>
          <w:cols w:equalWidth="0" w:num="1">
            <w:col w:w="9980"/>
          </w:cols>
          <w:pgMar w:left="940" w:top="676" w:right="960" w:bottom="0" w:gutter="0" w:footer="0" w:header="0"/>
          <w:type w:val="continuous"/>
        </w:sectPr>
      </w:pPr>
    </w:p>
    <w:bookmarkStart w:id="77" w:name="page78"/>
    <w:bookmarkEnd w:id="77"/>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ind w:right="80"/>
        <w:spacing w:after="0" w:line="276" w:lineRule="auto"/>
        <w:rPr>
          <w:sz w:val="20"/>
          <w:szCs w:val="20"/>
          <w:color w:val="auto"/>
        </w:rPr>
      </w:pPr>
      <w:r>
        <w:rPr>
          <w:rFonts w:ascii="Arial" w:cs="Arial" w:eastAsia="Arial" w:hAnsi="Arial"/>
          <w:sz w:val="19"/>
          <w:szCs w:val="19"/>
          <w:color w:val="auto"/>
        </w:rPr>
        <w:t>Other income/(expense), net on our Consolidated Statements of Operations, adjusted for selected items impacting comparability (“Adjusted other income/(expense), net”) is included in Adjusted EBITDA and excluded from Segment Adjusted EBITDA.</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Reflects amounts attributable to noncontrolling interests in the Permian JV, Cactus II and Red River.</w:t>
      </w:r>
    </w:p>
    <w:p>
      <w:pPr>
        <w:spacing w:after="0" w:line="200" w:lineRule="exact"/>
        <w:rPr>
          <w:sz w:val="20"/>
          <w:szCs w:val="20"/>
          <w:color w:val="auto"/>
        </w:rPr>
      </w:pPr>
    </w:p>
    <w:p>
      <w:pPr>
        <w:sectPr>
          <w:pgSz w:w="11880" w:h="15480" w:orient="portrait"/>
          <w:cols w:equalWidth="0" w:num="2">
            <w:col w:w="140" w:space="560"/>
            <w:col w:w="9280"/>
          </w:cols>
          <w:pgMar w:left="940" w:top="658" w:right="960" w:bottom="0" w:gutter="0" w:footer="0" w:header="0"/>
        </w:sectPr>
      </w:pP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Analysis of Operating Segments</w:t>
      </w:r>
    </w:p>
    <w:p>
      <w:pPr>
        <w:spacing w:after="0" w:line="257" w:lineRule="exact"/>
        <w:rPr>
          <w:sz w:val="20"/>
          <w:szCs w:val="20"/>
          <w:color w:val="auto"/>
        </w:rPr>
      </w:pPr>
    </w:p>
    <w:p>
      <w:pPr>
        <w:ind w:right="260" w:firstLine="702"/>
        <w:spacing w:after="0" w:line="276" w:lineRule="auto"/>
        <w:rPr>
          <w:sz w:val="20"/>
          <w:szCs w:val="20"/>
          <w:color w:val="auto"/>
        </w:rPr>
      </w:pPr>
      <w:r>
        <w:rPr>
          <w:rFonts w:ascii="Arial" w:cs="Arial" w:eastAsia="Arial" w:hAnsi="Arial"/>
          <w:sz w:val="19"/>
          <w:szCs w:val="19"/>
          <w:color w:val="auto"/>
        </w:rPr>
        <w:t>We manage our operations through two operating segments: Crude Oil and NGL. Our CODM (our Chief Executive Officer) evaluates segment performance based on a variety of measures including Segment Adjusted EBITDA, segment volumes and maintenance capital investment.</w:t>
      </w:r>
    </w:p>
    <w:p>
      <w:pPr>
        <w:spacing w:after="0" w:line="182" w:lineRule="exact"/>
        <w:rPr>
          <w:sz w:val="20"/>
          <w:szCs w:val="20"/>
          <w:color w:val="auto"/>
        </w:rPr>
      </w:pPr>
    </w:p>
    <w:p>
      <w:pPr>
        <w:ind w:firstLine="702"/>
        <w:spacing w:after="0" w:line="275" w:lineRule="auto"/>
        <w:rPr>
          <w:sz w:val="20"/>
          <w:szCs w:val="20"/>
          <w:color w:val="auto"/>
        </w:rPr>
      </w:pPr>
      <w:r>
        <w:rPr>
          <w:rFonts w:ascii="Arial" w:cs="Arial" w:eastAsia="Arial" w:hAnsi="Arial"/>
          <w:sz w:val="18"/>
          <w:szCs w:val="18"/>
          <w:color w:val="auto"/>
        </w:rPr>
        <w:t>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in consolidated joint venture entities (“Segment amounts attributable to noncontrolling interests in consolidated joint ventures”). See Note 19 to our Consolidated Financial Statements for a reconciliation of Segment Adjusted EBITDA to Net income attributable to PAGP.</w:t>
      </w:r>
    </w:p>
    <w:p>
      <w:pPr>
        <w:spacing w:after="0" w:line="192" w:lineRule="exact"/>
        <w:rPr>
          <w:sz w:val="20"/>
          <w:szCs w:val="20"/>
          <w:color w:val="auto"/>
        </w:rPr>
      </w:pPr>
    </w:p>
    <w:p>
      <w:pPr>
        <w:ind w:right="40" w:firstLine="702"/>
        <w:spacing w:after="0" w:line="296" w:lineRule="auto"/>
        <w:rPr>
          <w:sz w:val="20"/>
          <w:szCs w:val="20"/>
          <w:color w:val="auto"/>
        </w:rPr>
      </w:pPr>
      <w:r>
        <w:rPr>
          <w:rFonts w:ascii="Arial" w:cs="Arial" w:eastAsia="Arial" w:hAnsi="Arial"/>
          <w:sz w:val="17"/>
          <w:szCs w:val="17"/>
          <w:color w:val="auto"/>
        </w:rPr>
        <w:t>In connection with our merchant activities, our Crude Oil and NGL segments may enter into intersegment transactions for the purchase or sale of products, along with services such as the transportation, terminalling or storage of products. Intersegment transactions are conducted at rates similar to those charged to third parties or rates that we believe approximate market.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170" w:lineRule="exact"/>
        <w:rPr>
          <w:sz w:val="20"/>
          <w:szCs w:val="20"/>
          <w:color w:val="auto"/>
        </w:rPr>
      </w:pPr>
    </w:p>
    <w:p>
      <w:pPr>
        <w:ind w:right="600" w:firstLine="702"/>
        <w:spacing w:after="0" w:line="295" w:lineRule="auto"/>
        <w:rPr>
          <w:sz w:val="20"/>
          <w:szCs w:val="20"/>
          <w:color w:val="auto"/>
        </w:rPr>
      </w:pPr>
      <w:r>
        <w:rPr>
          <w:rFonts w:ascii="Arial" w:cs="Arial" w:eastAsia="Arial" w:hAnsi="Arial"/>
          <w:sz w:val="19"/>
          <w:szCs w:val="19"/>
          <w:color w:val="auto"/>
        </w:rPr>
        <w:t>Revenues and expenses from our Canadian based subsidiaries, which use CAD as their functional currency, are translated at the prevailing average exchange rates for the month.</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Crude Oil Segment</w:t>
      </w:r>
    </w:p>
    <w:p>
      <w:pPr>
        <w:spacing w:after="0" w:line="257" w:lineRule="exact"/>
        <w:rPr>
          <w:sz w:val="20"/>
          <w:szCs w:val="20"/>
          <w:color w:val="auto"/>
        </w:rPr>
      </w:pPr>
    </w:p>
    <w:p>
      <w:pPr>
        <w:ind w:right="120" w:firstLine="702"/>
        <w:spacing w:after="0" w:line="280" w:lineRule="auto"/>
        <w:rPr>
          <w:sz w:val="20"/>
          <w:szCs w:val="20"/>
          <w:color w:val="auto"/>
        </w:rPr>
      </w:pPr>
      <w:r>
        <w:rPr>
          <w:rFonts w:ascii="Arial" w:cs="Arial" w:eastAsia="Arial" w:hAnsi="Arial"/>
          <w:sz w:val="18"/>
          <w:szCs w:val="18"/>
          <w:color w:val="auto"/>
        </w:rPr>
        <w:t>Our Crude Oil segment operations generally consist of gathering and transporting crude oil using pipelines, gathering systems, trucks and at times on barges or railcars, in addition to providing terminalling, storage and other related services utilizing our integrated assets across the United States and Canada. Our assets serve third parties and are also supported by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subject to our risk management policies and may include the use of derivative instruments to manage exposure to commodity price risk and, at times, to provide upside opportunities.</w:t>
      </w:r>
    </w:p>
    <w:p>
      <w:pPr>
        <w:spacing w:after="0" w:line="181" w:lineRule="exact"/>
        <w:rPr>
          <w:sz w:val="20"/>
          <w:szCs w:val="20"/>
          <w:color w:val="auto"/>
        </w:rPr>
      </w:pPr>
    </w:p>
    <w:p>
      <w:pPr>
        <w:ind w:right="80" w:firstLine="702"/>
        <w:spacing w:after="0" w:line="262" w:lineRule="auto"/>
        <w:rPr>
          <w:sz w:val="20"/>
          <w:szCs w:val="20"/>
          <w:color w:val="auto"/>
        </w:rPr>
      </w:pPr>
      <w:r>
        <w:rPr>
          <w:rFonts w:ascii="Arial" w:cs="Arial" w:eastAsia="Arial" w:hAnsi="Arial"/>
          <w:sz w:val="19"/>
          <w:szCs w:val="19"/>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prices, as well as grade and regional differentials and time spreads. The segment results also include the direct fixed and variable field costs of operating the crude oil assets, as well as an allocation of indirect operating costs.</w:t>
      </w:r>
    </w:p>
    <w:p>
      <w:pPr>
        <w:sectPr>
          <w:pgSz w:w="11880" w:h="15480" w:orient="portrait"/>
          <w:cols w:equalWidth="0" w:num="1">
            <w:col w:w="9980"/>
          </w:cols>
          <w:pgMar w:left="940" w:top="658"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880" w:h="15480" w:orient="portrait"/>
          <w:cols w:equalWidth="0" w:num="1">
            <w:col w:w="9980"/>
          </w:cols>
          <w:pgMar w:left="940" w:top="658" w:right="960" w:bottom="0" w:gutter="0" w:footer="0" w:header="0"/>
          <w:type w:val="continuous"/>
        </w:sectPr>
      </w:pPr>
    </w:p>
    <w:bookmarkStart w:id="78" w:name="page79"/>
    <w:bookmarkEnd w:id="78"/>
    <w:p>
      <w:pPr>
        <w:ind w:left="701"/>
        <w:spacing w:after="0"/>
        <w:rPr>
          <w:sz w:val="20"/>
          <w:szCs w:val="20"/>
          <w:color w:val="auto"/>
        </w:rPr>
      </w:pPr>
      <w:r>
        <w:rPr>
          <w:rFonts w:ascii="Arial" w:cs="Arial" w:eastAsia="Arial" w:hAnsi="Arial"/>
          <w:sz w:val="19"/>
          <w:szCs w:val="19"/>
          <w:color w:val="auto"/>
        </w:rPr>
        <w:t>The following tables set forth our operating results from our Crude Oil segment:</w:t>
      </w:r>
    </w:p>
    <w:p>
      <w:pPr>
        <w:spacing w:after="0" w:line="319"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360" w:type="dxa"/>
            <w:vAlign w:val="bottom"/>
            <w:gridSpan w:val="5"/>
          </w:tcPr>
          <w:p>
            <w:pPr>
              <w:spacing w:after="0"/>
              <w:rPr>
                <w:sz w:val="20"/>
                <w:szCs w:val="20"/>
                <w:color w:val="auto"/>
              </w:rPr>
            </w:pPr>
            <w:r>
              <w:rPr>
                <w:rFonts w:ascii="Arial" w:cs="Arial" w:eastAsia="Arial" w:hAnsi="Arial"/>
                <w:sz w:val="16"/>
                <w:szCs w:val="16"/>
                <w:b w:val="1"/>
                <w:bCs w:val="1"/>
                <w:color w:val="auto"/>
              </w:rPr>
              <w:t xml:space="preserve">Operating Results </w:t>
            </w:r>
            <w:r>
              <w:rPr>
                <w:rFonts w:ascii="Arial" w:cs="Arial" w:eastAsia="Arial" w:hAnsi="Arial"/>
                <w:sz w:val="20"/>
                <w:szCs w:val="20"/>
                <w:b w:val="1"/>
                <w:bCs w:val="1"/>
                <w:color w:val="auto"/>
                <w:vertAlign w:val="superscript"/>
              </w:rPr>
              <w:t>(1)</w:t>
            </w:r>
          </w:p>
        </w:tc>
        <w:tc>
          <w:tcPr>
            <w:tcW w:w="180" w:type="dxa"/>
            <w:vAlign w:val="bottom"/>
          </w:tcPr>
          <w:p>
            <w:pPr>
              <w:spacing w:after="0"/>
              <w:rPr>
                <w:sz w:val="19"/>
                <w:szCs w:val="19"/>
                <w:color w:val="auto"/>
              </w:rPr>
            </w:pPr>
          </w:p>
        </w:tc>
        <w:tc>
          <w:tcPr>
            <w:tcW w:w="2120" w:type="dxa"/>
            <w:vAlign w:val="bottom"/>
            <w:gridSpan w:val="9"/>
          </w:tcPr>
          <w:p>
            <w:pPr>
              <w:ind w:left="60"/>
              <w:spacing w:after="0"/>
              <w:rPr>
                <w:sz w:val="20"/>
                <w:szCs w:val="20"/>
                <w:color w:val="auto"/>
              </w:rPr>
            </w:pPr>
            <w:r>
              <w:rPr>
                <w:rFonts w:ascii="Arial" w:cs="Arial" w:eastAsia="Arial" w:hAnsi="Arial"/>
                <w:sz w:val="16"/>
                <w:szCs w:val="16"/>
                <w:b w:val="1"/>
                <w:bCs w:val="1"/>
                <w:color w:val="auto"/>
              </w:rPr>
              <w:t>Year Ended December 31,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5"/>
          </w:tcPr>
          <w:p>
            <w:pPr>
              <w:ind w:left="620"/>
              <w:spacing w:after="0"/>
              <w:rPr>
                <w:sz w:val="20"/>
                <w:szCs w:val="20"/>
                <w:color w:val="auto"/>
              </w:rPr>
            </w:pPr>
            <w:r>
              <w:rPr>
                <w:rFonts w:ascii="Arial" w:cs="Arial" w:eastAsia="Arial" w:hAnsi="Arial"/>
                <w:sz w:val="16"/>
                <w:szCs w:val="16"/>
                <w:b w:val="1"/>
                <w:bCs w:val="1"/>
                <w:color w:val="auto"/>
                <w:w w:val="98"/>
              </w:rPr>
              <w:t>Variance</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3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(in millions)</w:t>
            </w:r>
          </w:p>
        </w:tc>
        <w:tc>
          <w:tcPr>
            <w:tcW w:w="6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6"/>
                <w:szCs w:val="16"/>
                <w:b w:val="1"/>
                <w:bCs w:val="1"/>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6"/>
                <w:szCs w:val="16"/>
                <w:b w:val="1"/>
                <w:bCs w:val="1"/>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360" w:type="dxa"/>
            <w:vAlign w:val="bottom"/>
            <w:gridSpan w:val="5"/>
          </w:tcPr>
          <w:p>
            <w:pPr>
              <w:spacing w:after="0"/>
              <w:rPr>
                <w:sz w:val="20"/>
                <w:szCs w:val="20"/>
                <w:color w:val="auto"/>
              </w:rPr>
            </w:pPr>
            <w:r>
              <w:rPr>
                <w:rFonts w:ascii="Arial" w:cs="Arial" w:eastAsia="Arial" w:hAnsi="Arial"/>
                <w:sz w:val="19"/>
                <w:szCs w:val="19"/>
                <w:color w:val="auto"/>
              </w:rPr>
              <w:t>Revenues</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47,174</w:t>
            </w:r>
          </w:p>
        </w:tc>
        <w:tc>
          <w:tcPr>
            <w:tcW w:w="60" w:type="dxa"/>
            <w:vAlign w:val="bottom"/>
          </w:tcPr>
          <w:p>
            <w:pPr>
              <w:spacing w:after="0"/>
              <w:rPr>
                <w:sz w:val="23"/>
                <w:szCs w:val="23"/>
                <w:color w:val="auto"/>
              </w:rPr>
            </w:pPr>
          </w:p>
        </w:tc>
        <w:tc>
          <w:tcPr>
            <w:tcW w:w="30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55,080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24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(7,906)</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(14)%</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60" w:type="dxa"/>
            <w:vAlign w:val="bottom"/>
            <w:gridSpan w:val="5"/>
          </w:tcPr>
          <w:p>
            <w:pPr>
              <w:spacing w:after="0"/>
              <w:rPr>
                <w:sz w:val="20"/>
                <w:szCs w:val="20"/>
                <w:color w:val="auto"/>
              </w:rPr>
            </w:pPr>
            <w:r>
              <w:rPr>
                <w:rFonts w:ascii="Arial" w:cs="Arial" w:eastAsia="Arial" w:hAnsi="Arial"/>
                <w:sz w:val="19"/>
                <w:szCs w:val="19"/>
                <w:color w:val="auto"/>
              </w:rPr>
              <w:t>Purchases and related costs</w:t>
            </w: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9"/>
                <w:szCs w:val="19"/>
                <w:color w:val="auto"/>
              </w:rPr>
              <w:t>(43,805)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9"/>
                <w:szCs w:val="19"/>
                <w:color w:val="auto"/>
              </w:rPr>
              <w:t>(52,088)</w:t>
            </w: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8,283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16 %</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60" w:type="dxa"/>
            <w:vAlign w:val="bottom"/>
            <w:gridSpan w:val="5"/>
          </w:tcPr>
          <w:p>
            <w:pPr>
              <w:spacing w:after="0"/>
              <w:rPr>
                <w:sz w:val="20"/>
                <w:szCs w:val="20"/>
                <w:color w:val="auto"/>
              </w:rPr>
            </w:pPr>
            <w:r>
              <w:rPr>
                <w:rFonts w:ascii="Arial" w:cs="Arial" w:eastAsia="Arial" w:hAnsi="Arial"/>
                <w:sz w:val="19"/>
                <w:szCs w:val="19"/>
                <w:color w:val="auto"/>
              </w:rPr>
              <w:t>Field operating costs</w:t>
            </w: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9"/>
                <w:szCs w:val="19"/>
                <w:color w:val="auto"/>
              </w:rPr>
              <w:t>(1,053)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9"/>
                <w:szCs w:val="19"/>
                <w:color w:val="auto"/>
              </w:rPr>
              <w:t>(1,003)</w:t>
            </w: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(50)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60" w:type="dxa"/>
            <w:vAlign w:val="bottom"/>
            <w:gridSpan w:val="5"/>
          </w:tcPr>
          <w:p>
            <w:pPr>
              <w:spacing w:after="0"/>
              <w:rPr>
                <w:sz w:val="20"/>
                <w:szCs w:val="20"/>
                <w:color w:val="auto"/>
              </w:rPr>
            </w:pPr>
            <w:r>
              <w:rPr>
                <w:rFonts w:ascii="Arial" w:cs="Arial" w:eastAsia="Arial" w:hAnsi="Arial"/>
                <w:sz w:val="19"/>
                <w:szCs w:val="19"/>
                <w:color w:val="auto"/>
              </w:rPr>
              <w:t xml:space="preserve">Segment general and administrative expenses </w:t>
            </w:r>
            <w:r>
              <w:rPr>
                <w:rFonts w:ascii="Arial" w:cs="Arial" w:eastAsia="Arial" w:hAnsi="Arial"/>
                <w:sz w:val="25"/>
                <w:szCs w:val="25"/>
                <w:color w:val="auto"/>
                <w:vertAlign w:val="superscript"/>
              </w:rPr>
              <w:t>(2)</w:t>
            </w: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9"/>
                <w:szCs w:val="19"/>
                <w:color w:val="auto"/>
              </w:rPr>
              <w:t>(271)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9"/>
                <w:szCs w:val="19"/>
                <w:color w:val="auto"/>
              </w:rPr>
              <w:t>(250)</w:t>
            </w: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(21)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360" w:type="dxa"/>
            <w:vAlign w:val="bottom"/>
            <w:gridSpan w:val="5"/>
          </w:tcPr>
          <w:p>
            <w:pPr>
              <w:spacing w:after="0"/>
              <w:rPr>
                <w:sz w:val="20"/>
                <w:szCs w:val="20"/>
                <w:color w:val="auto"/>
              </w:rPr>
            </w:pPr>
            <w:r>
              <w:rPr>
                <w:rFonts w:ascii="Arial" w:cs="Arial" w:eastAsia="Arial" w:hAnsi="Arial"/>
                <w:sz w:val="19"/>
                <w:szCs w:val="19"/>
                <w:color w:val="auto"/>
              </w:rPr>
              <w:t>Equity earnings in unconsolidated entities</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369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403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(34)</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624"/>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60" w:type="dxa"/>
            <w:vAlign w:val="bottom"/>
            <w:gridSpan w:val="5"/>
          </w:tcPr>
          <w:p>
            <w:pPr>
              <w:spacing w:after="0"/>
              <w:rPr>
                <w:sz w:val="20"/>
                <w:szCs w:val="20"/>
                <w:color w:val="auto"/>
              </w:rPr>
            </w:pPr>
            <w:r>
              <w:rPr>
                <w:rFonts w:ascii="Arial" w:cs="Arial" w:eastAsia="Arial" w:hAnsi="Arial"/>
                <w:sz w:val="19"/>
                <w:szCs w:val="19"/>
                <w:color w:val="auto"/>
              </w:rPr>
              <w:t xml:space="preserve">Adjustments </w:t>
            </w:r>
            <w:r>
              <w:rPr>
                <w:rFonts w:ascii="Arial" w:cs="Arial" w:eastAsia="Arial" w:hAnsi="Arial"/>
                <w:sz w:val="25"/>
                <w:szCs w:val="25"/>
                <w:color w:val="auto"/>
                <w:vertAlign w:val="superscript"/>
              </w:rPr>
              <w:t>(3)</w:t>
            </w: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360" w:type="dxa"/>
            <w:vAlign w:val="bottom"/>
            <w:gridSpan w:val="5"/>
          </w:tcPr>
          <w:p>
            <w:pPr>
              <w:ind w:left="180"/>
              <w:spacing w:after="0"/>
              <w:rPr>
                <w:sz w:val="20"/>
                <w:szCs w:val="20"/>
                <w:color w:val="auto"/>
              </w:rPr>
            </w:pPr>
            <w:r>
              <w:rPr>
                <w:rFonts w:ascii="Arial" w:cs="Arial" w:eastAsia="Arial" w:hAnsi="Arial"/>
                <w:sz w:val="19"/>
                <w:szCs w:val="19"/>
                <w:color w:val="auto"/>
              </w:rPr>
              <w:t>Depreciation and amortization of unconsolidated entities</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87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85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2</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2 %</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60" w:type="dxa"/>
            <w:vAlign w:val="bottom"/>
            <w:gridSpan w:val="5"/>
          </w:tcPr>
          <w:p>
            <w:pPr>
              <w:ind w:left="180"/>
              <w:spacing w:after="0"/>
              <w:rPr>
                <w:sz w:val="20"/>
                <w:szCs w:val="20"/>
                <w:color w:val="auto"/>
              </w:rPr>
            </w:pPr>
            <w:r>
              <w:rPr>
                <w:rFonts w:ascii="Arial" w:cs="Arial" w:eastAsia="Arial" w:hAnsi="Arial"/>
                <w:sz w:val="19"/>
                <w:szCs w:val="19"/>
                <w:color w:val="auto"/>
              </w:rPr>
              <w:t>Derivative activities and inventory valuation adjustments</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9"/>
                <w:szCs w:val="19"/>
                <w:color w:val="auto"/>
              </w:rPr>
              <w:t>(11)</w:t>
            </w: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28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60" w:type="dxa"/>
            <w:vAlign w:val="bottom"/>
            <w:gridSpan w:val="5"/>
          </w:tcPr>
          <w:p>
            <w:pPr>
              <w:ind w:left="180"/>
              <w:spacing w:after="0"/>
              <w:rPr>
                <w:sz w:val="20"/>
                <w:szCs w:val="20"/>
                <w:color w:val="auto"/>
              </w:rPr>
            </w:pPr>
            <w:r>
              <w:rPr>
                <w:rFonts w:ascii="Arial" w:cs="Arial" w:eastAsia="Arial" w:hAnsi="Arial"/>
                <w:sz w:val="19"/>
                <w:szCs w:val="19"/>
                <w:color w:val="auto"/>
              </w:rPr>
              <w:t>Long-term inventory costing adjustments</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22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9"/>
                <w:szCs w:val="19"/>
                <w:color w:val="auto"/>
              </w:rPr>
              <w:t>(3)</w:t>
            </w: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25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60" w:type="dxa"/>
            <w:vAlign w:val="bottom"/>
            <w:gridSpan w:val="5"/>
          </w:tcPr>
          <w:p>
            <w:pPr>
              <w:ind w:left="180"/>
              <w:spacing w:after="0"/>
              <w:rPr>
                <w:sz w:val="20"/>
                <w:szCs w:val="20"/>
                <w:color w:val="auto"/>
              </w:rPr>
            </w:pPr>
            <w:r>
              <w:rPr>
                <w:rFonts w:ascii="Arial" w:cs="Arial" w:eastAsia="Arial" w:hAnsi="Arial"/>
                <w:sz w:val="19"/>
                <w:szCs w:val="19"/>
                <w:color w:val="auto"/>
              </w:rPr>
              <w:t>Deficiencies under minimum volume commitments, net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60" w:type="dxa"/>
            <w:vAlign w:val="bottom"/>
            <w:gridSpan w:val="5"/>
          </w:tcPr>
          <w:p>
            <w:pPr>
              <w:ind w:left="180"/>
              <w:spacing w:after="0"/>
              <w:rPr>
                <w:sz w:val="20"/>
                <w:szCs w:val="20"/>
                <w:color w:val="auto"/>
              </w:rPr>
            </w:pPr>
            <w:r>
              <w:rPr>
                <w:rFonts w:ascii="Arial" w:cs="Arial" w:eastAsia="Arial" w:hAnsi="Arial"/>
                <w:sz w:val="19"/>
                <w:szCs w:val="19"/>
                <w:color w:val="auto"/>
              </w:rPr>
              <w:t>Equity-indexed compensation expense</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32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60" w:type="dxa"/>
            <w:vAlign w:val="bottom"/>
            <w:gridSpan w:val="5"/>
          </w:tcPr>
          <w:p>
            <w:pPr>
              <w:ind w:left="180"/>
              <w:spacing w:after="0"/>
              <w:rPr>
                <w:sz w:val="20"/>
                <w:szCs w:val="20"/>
                <w:color w:val="auto"/>
              </w:rPr>
            </w:pPr>
            <w:r>
              <w:rPr>
                <w:rFonts w:ascii="Arial" w:cs="Arial" w:eastAsia="Arial" w:hAnsi="Arial"/>
                <w:sz w:val="19"/>
                <w:szCs w:val="19"/>
                <w:color w:val="auto"/>
              </w:rPr>
              <w:t>Foreign currency revaluation</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60" w:type="dxa"/>
            <w:vAlign w:val="bottom"/>
            <w:gridSpan w:val="5"/>
          </w:tcPr>
          <w:p>
            <w:pPr>
              <w:ind w:left="180"/>
              <w:spacing w:after="0"/>
              <w:rPr>
                <w:sz w:val="20"/>
                <w:szCs w:val="20"/>
                <w:color w:val="auto"/>
              </w:rPr>
            </w:pPr>
            <w:r>
              <w:rPr>
                <w:rFonts w:ascii="Arial" w:cs="Arial" w:eastAsia="Arial" w:hAnsi="Arial"/>
                <w:sz w:val="19"/>
                <w:szCs w:val="19"/>
                <w:color w:val="auto"/>
              </w:rPr>
              <w:t>Line 901 incident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95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(85)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360" w:type="dxa"/>
            <w:vAlign w:val="bottom"/>
            <w:gridSpan w:val="5"/>
          </w:tcPr>
          <w:p>
            <w:pPr>
              <w:ind w:left="180"/>
              <w:spacing w:after="0"/>
              <w:rPr>
                <w:sz w:val="20"/>
                <w:szCs w:val="20"/>
                <w:color w:val="auto"/>
              </w:rPr>
            </w:pPr>
            <w:r>
              <w:rPr>
                <w:rFonts w:ascii="Arial" w:cs="Arial" w:eastAsia="Arial" w:hAnsi="Arial"/>
                <w:sz w:val="19"/>
                <w:szCs w:val="19"/>
                <w:color w:val="auto"/>
              </w:rPr>
              <w:t>Transaction-related expenses</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Borders>
              <w:right w:val="single" w:sz="8" w:color="auto"/>
            </w:tcBorders>
            <w:gridSpan w:val="4"/>
          </w:tcPr>
          <w:p>
            <w:pPr>
              <w:jc w:val="right"/>
              <w:ind w:right="16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60" w:type="dxa"/>
            <w:vAlign w:val="bottom"/>
            <w:gridSpan w:val="5"/>
          </w:tcPr>
          <w:p>
            <w:pPr>
              <w:ind w:left="180"/>
              <w:spacing w:after="0" w:line="195" w:lineRule="exact"/>
              <w:rPr>
                <w:sz w:val="20"/>
                <w:szCs w:val="20"/>
                <w:color w:val="auto"/>
              </w:rPr>
            </w:pPr>
            <w:r>
              <w:rPr>
                <w:rFonts w:ascii="Arial" w:cs="Arial" w:eastAsia="Arial" w:hAnsi="Arial"/>
                <w:sz w:val="19"/>
                <w:szCs w:val="19"/>
                <w:color w:val="auto"/>
              </w:rPr>
              <w:t>Segment amounts attributable to noncontrolling interests in</w:t>
            </w:r>
          </w:p>
        </w:tc>
        <w:tc>
          <w:tcPr>
            <w:tcW w:w="180" w:type="dxa"/>
            <w:vAlign w:val="bottom"/>
          </w:tcPr>
          <w:p>
            <w:pPr>
              <w:spacing w:after="0"/>
              <w:rPr>
                <w:sz w:val="17"/>
                <w:szCs w:val="17"/>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9"/>
                <w:szCs w:val="19"/>
                <w:color w:val="auto"/>
              </w:rPr>
              <w:t>(454)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9"/>
                <w:szCs w:val="19"/>
                <w:color w:val="auto"/>
              </w:rPr>
              <w:t>(364)</w:t>
            </w:r>
          </w:p>
        </w:tc>
        <w:tc>
          <w:tcPr>
            <w:tcW w:w="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9"/>
                <w:szCs w:val="19"/>
                <w:color w:val="auto"/>
              </w:rPr>
              <w:t>(90)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360" w:type="dxa"/>
            <w:vAlign w:val="bottom"/>
            <w:gridSpan w:val="5"/>
          </w:tcPr>
          <w:p>
            <w:pPr>
              <w:ind w:left="260"/>
              <w:spacing w:after="0"/>
              <w:rPr>
                <w:sz w:val="20"/>
                <w:szCs w:val="20"/>
                <w:color w:val="auto"/>
              </w:rPr>
            </w:pPr>
            <w:r>
              <w:rPr>
                <w:rFonts w:ascii="Arial" w:cs="Arial" w:eastAsia="Arial" w:hAnsi="Arial"/>
                <w:sz w:val="19"/>
                <w:szCs w:val="19"/>
                <w:color w:val="auto"/>
              </w:rPr>
              <w:t>consolidated joint ventures</w:t>
            </w: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360" w:type="dxa"/>
            <w:vAlign w:val="bottom"/>
            <w:gridSpan w:val="5"/>
          </w:tcPr>
          <w:p>
            <w:pPr>
              <w:spacing w:after="0"/>
              <w:rPr>
                <w:sz w:val="20"/>
                <w:szCs w:val="20"/>
                <w:color w:val="auto"/>
              </w:rPr>
            </w:pPr>
            <w:r>
              <w:rPr>
                <w:rFonts w:ascii="Arial" w:cs="Arial" w:eastAsia="Arial" w:hAnsi="Arial"/>
                <w:sz w:val="19"/>
                <w:szCs w:val="19"/>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2,163</w:t>
            </w:r>
          </w:p>
        </w:tc>
        <w:tc>
          <w:tcPr>
            <w:tcW w:w="60" w:type="dxa"/>
            <w:vAlign w:val="bottom"/>
            <w:tcBorders>
              <w:bottom w:val="single" w:sz="8" w:color="auto"/>
            </w:tcBorders>
          </w:tcPr>
          <w:p>
            <w:pPr>
              <w:spacing w:after="0"/>
              <w:rPr>
                <w:sz w:val="21"/>
                <w:szCs w:val="21"/>
                <w:color w:val="auto"/>
              </w:rPr>
            </w:pPr>
          </w:p>
        </w:tc>
        <w:tc>
          <w:tcPr>
            <w:tcW w:w="60" w:type="dxa"/>
            <w:vAlign w:val="bottom"/>
            <w:gridSpan w:val="2"/>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1,986</w:t>
            </w:r>
          </w:p>
        </w:tc>
        <w:tc>
          <w:tcPr>
            <w:tcW w:w="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60" w:type="dxa"/>
            <w:vAlign w:val="bottom"/>
            <w:gridSpan w:val="2"/>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177</w:t>
            </w:r>
          </w:p>
        </w:tc>
        <w:tc>
          <w:tcPr>
            <w:tcW w:w="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60" w:type="dxa"/>
            <w:vAlign w:val="bottom"/>
            <w:gridSpan w:val="5"/>
          </w:tcPr>
          <w:p>
            <w:pPr>
              <w:spacing w:after="0"/>
              <w:rPr>
                <w:sz w:val="20"/>
                <w:szCs w:val="20"/>
                <w:color w:val="auto"/>
              </w:rPr>
            </w:pPr>
            <w:r>
              <w:rPr>
                <w:rFonts w:ascii="Arial" w:cs="Arial" w:eastAsia="Arial" w:hAnsi="Arial"/>
                <w:sz w:val="19"/>
                <w:szCs w:val="19"/>
                <w:color w:val="auto"/>
              </w:rPr>
              <w:t>Maintenance capital expenditures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145</w:t>
            </w:r>
          </w:p>
        </w:tc>
        <w:tc>
          <w:tcPr>
            <w:tcW w:w="60" w:type="dxa"/>
            <w:vAlign w:val="bottom"/>
            <w:tcBorders>
              <w:bottom w:val="single" w:sz="8" w:color="auto"/>
            </w:tcBorders>
          </w:tcPr>
          <w:p>
            <w:pPr>
              <w:spacing w:after="0"/>
              <w:rPr>
                <w:sz w:val="24"/>
                <w:szCs w:val="24"/>
                <w:color w:val="auto"/>
              </w:rPr>
            </w:pPr>
          </w:p>
        </w:tc>
        <w:tc>
          <w:tcPr>
            <w:tcW w:w="60" w:type="dxa"/>
            <w:vAlign w:val="bottom"/>
            <w:gridSpan w:val="2"/>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112</w:t>
            </w: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0" w:type="dxa"/>
            <w:vAlign w:val="bottom"/>
            <w:gridSpan w:val="2"/>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29 %</w:t>
            </w:r>
          </w:p>
        </w:tc>
        <w:tc>
          <w:tcPr>
            <w:tcW w:w="0" w:type="dxa"/>
            <w:vAlign w:val="bottom"/>
          </w:tcPr>
          <w:p>
            <w:pPr>
              <w:spacing w:after="0"/>
              <w:rPr>
                <w:sz w:val="1"/>
                <w:szCs w:val="1"/>
                <w:color w:val="auto"/>
              </w:rPr>
            </w:pPr>
          </w:p>
        </w:tc>
      </w:tr>
      <w:tr>
        <w:trPr>
          <w:trHeight w:val="541"/>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jc w:val="right"/>
              <w:ind w:right="124"/>
              <w:spacing w:after="0"/>
              <w:rPr>
                <w:sz w:val="20"/>
                <w:szCs w:val="20"/>
                <w:color w:val="auto"/>
              </w:rPr>
            </w:pPr>
            <w:r>
              <w:rPr>
                <w:rFonts w:ascii="Arial" w:cs="Arial" w:eastAsia="Arial" w:hAnsi="Arial"/>
                <w:sz w:val="16"/>
                <w:szCs w:val="16"/>
                <w:b w:val="1"/>
                <w:bCs w:val="1"/>
                <w:color w:val="auto"/>
                <w:w w:val="88"/>
              </w:rPr>
              <w:t>Year Ended December 31,</w:t>
            </w:r>
          </w:p>
        </w:tc>
        <w:tc>
          <w:tcPr>
            <w:tcW w:w="1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ind w:left="580"/>
              <w:spacing w:after="0"/>
              <w:rPr>
                <w:sz w:val="20"/>
                <w:szCs w:val="20"/>
                <w:color w:val="auto"/>
              </w:rPr>
            </w:pPr>
            <w:r>
              <w:rPr>
                <w:rFonts w:ascii="Arial" w:cs="Arial" w:eastAsia="Arial" w:hAnsi="Arial"/>
                <w:sz w:val="16"/>
                <w:szCs w:val="16"/>
                <w:b w:val="1"/>
                <w:bCs w:val="1"/>
                <w:color w:val="auto"/>
              </w:rPr>
              <w:t>Variance</w:t>
            </w:r>
          </w:p>
        </w:tc>
        <w:tc>
          <w:tcPr>
            <w:tcW w:w="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360" w:type="dxa"/>
            <w:vAlign w:val="bottom"/>
            <w:gridSpan w:val="5"/>
          </w:tcPr>
          <w:p>
            <w:pPr>
              <w:ind w:left="40"/>
              <w:spacing w:after="0"/>
              <w:rPr>
                <w:sz w:val="20"/>
                <w:szCs w:val="20"/>
                <w:color w:val="auto"/>
              </w:rPr>
            </w:pPr>
            <w:r>
              <w:rPr>
                <w:rFonts w:ascii="Arial" w:cs="Arial" w:eastAsia="Arial" w:hAnsi="Arial"/>
                <w:sz w:val="16"/>
                <w:szCs w:val="16"/>
                <w:b w:val="1"/>
                <w:bCs w:val="1"/>
                <w:color w:val="auto"/>
              </w:rPr>
              <w:t>Average Volumes</w:t>
            </w:r>
          </w:p>
        </w:tc>
        <w:tc>
          <w:tcPr>
            <w:tcW w:w="180" w:type="dxa"/>
            <w:vAlign w:val="bottom"/>
          </w:tcPr>
          <w:p>
            <w:pPr>
              <w:spacing w:after="0"/>
              <w:rPr>
                <w:sz w:val="19"/>
                <w:szCs w:val="19"/>
                <w:color w:val="auto"/>
              </w:rPr>
            </w:pPr>
          </w:p>
        </w:tc>
        <w:tc>
          <w:tcPr>
            <w:tcW w:w="840" w:type="dxa"/>
            <w:vAlign w:val="bottom"/>
          </w:tcPr>
          <w:p>
            <w:pPr>
              <w:jc w:val="right"/>
              <w:ind w:right="266"/>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64"/>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5"/>
          </w:tcPr>
          <w:p>
            <w:pPr>
              <w:ind w:left="20"/>
              <w:spacing w:after="0"/>
              <w:rPr>
                <w:sz w:val="20"/>
                <w:szCs w:val="20"/>
                <w:color w:val="auto"/>
              </w:rPr>
            </w:pPr>
            <w:r>
              <w:rPr>
                <w:rFonts w:ascii="Arial" w:cs="Arial" w:eastAsia="Arial" w:hAnsi="Arial"/>
                <w:sz w:val="16"/>
                <w:szCs w:val="16"/>
                <w:b w:val="1"/>
                <w:bCs w:val="1"/>
                <w:color w:val="auto"/>
              </w:rPr>
              <w:t>Volumes</w:t>
            </w:r>
          </w:p>
        </w:tc>
        <w:tc>
          <w:tcPr>
            <w:tcW w:w="680" w:type="dxa"/>
            <w:vAlign w:val="bottom"/>
          </w:tcPr>
          <w:p>
            <w:pPr>
              <w:jc w:val="right"/>
              <w:ind w:right="364"/>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40" w:type="dxa"/>
            <w:vAlign w:val="bottom"/>
            <w:tcBorders>
              <w:top w:val="single" w:sz="8" w:color="auto"/>
            </w:tcBorders>
            <w:gridSpan w:val="2"/>
          </w:tcPr>
          <w:p>
            <w:pPr>
              <w:ind w:left="60"/>
              <w:spacing w:after="0"/>
              <w:rPr>
                <w:sz w:val="20"/>
                <w:szCs w:val="20"/>
                <w:color w:val="auto"/>
              </w:rPr>
            </w:pPr>
            <w:r>
              <w:rPr>
                <w:rFonts w:ascii="Arial" w:cs="Arial" w:eastAsia="Arial" w:hAnsi="Arial"/>
                <w:sz w:val="19"/>
                <w:szCs w:val="19"/>
                <w:color w:val="auto"/>
              </w:rPr>
              <w:t xml:space="preserve">Crude oil pipeline tariff (by region) </w:t>
            </w:r>
            <w:r>
              <w:rPr>
                <w:rFonts w:ascii="Arial" w:cs="Arial" w:eastAsia="Arial" w:hAnsi="Arial"/>
                <w:sz w:val="25"/>
                <w:szCs w:val="25"/>
                <w:color w:val="auto"/>
                <w:vertAlign w:val="superscript"/>
              </w:rPr>
              <w:t>(4)</w:t>
            </w:r>
          </w:p>
        </w:tc>
        <w:tc>
          <w:tcPr>
            <w:tcW w:w="80" w:type="dxa"/>
            <w:vAlign w:val="bottom"/>
            <w:gridSpan w:val="2"/>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60" w:type="dxa"/>
            <w:vAlign w:val="bottom"/>
            <w:gridSpan w:val="5"/>
          </w:tcPr>
          <w:p>
            <w:pPr>
              <w:ind w:left="160"/>
              <w:spacing w:after="0"/>
              <w:rPr>
                <w:sz w:val="20"/>
                <w:szCs w:val="20"/>
                <w:color w:val="auto"/>
              </w:rPr>
            </w:pPr>
            <w:r>
              <w:rPr>
                <w:rFonts w:ascii="Arial" w:cs="Arial" w:eastAsia="Arial" w:hAnsi="Arial"/>
                <w:sz w:val="19"/>
                <w:szCs w:val="19"/>
                <w:color w:val="auto"/>
              </w:rPr>
              <w:t xml:space="preserve">Permian Basin </w:t>
            </w:r>
            <w:r>
              <w:rPr>
                <w:rFonts w:ascii="Arial" w:cs="Arial" w:eastAsia="Arial" w:hAnsi="Arial"/>
                <w:sz w:val="25"/>
                <w:szCs w:val="25"/>
                <w:color w:val="auto"/>
                <w:vertAlign w:val="superscript"/>
              </w:rPr>
              <w:t>(5)</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6,356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5,638</w:t>
            </w:r>
          </w:p>
        </w:tc>
        <w:tc>
          <w:tcPr>
            <w:tcW w:w="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718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13 %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320" w:type="dxa"/>
            <w:vAlign w:val="bottom"/>
            <w:gridSpan w:val="4"/>
          </w:tcPr>
          <w:p>
            <w:pPr>
              <w:ind w:left="160"/>
              <w:spacing w:after="0" w:line="275" w:lineRule="exact"/>
              <w:rPr>
                <w:sz w:val="20"/>
                <w:szCs w:val="20"/>
                <w:color w:val="auto"/>
              </w:rPr>
            </w:pPr>
            <w:r>
              <w:rPr>
                <w:rFonts w:ascii="Arial" w:cs="Arial" w:eastAsia="Arial" w:hAnsi="Arial"/>
                <w:sz w:val="19"/>
                <w:szCs w:val="19"/>
                <w:color w:val="auto"/>
              </w:rPr>
              <w:t xml:space="preserve">Other </w:t>
            </w:r>
            <w:r>
              <w:rPr>
                <w:rFonts w:ascii="Arial" w:cs="Arial" w:eastAsia="Arial" w:hAnsi="Arial"/>
                <w:sz w:val="25"/>
                <w:szCs w:val="25"/>
                <w:color w:val="auto"/>
                <w:vertAlign w:val="superscript"/>
              </w:rPr>
              <w:t>(5)</w:t>
            </w: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2,104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1,927</w:t>
            </w:r>
          </w:p>
        </w:tc>
        <w:tc>
          <w:tcPr>
            <w:tcW w:w="6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177</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360" w:type="dxa"/>
            <w:vAlign w:val="bottom"/>
            <w:gridSpan w:val="5"/>
          </w:tcPr>
          <w:p>
            <w:pPr>
              <w:ind w:left="180"/>
              <w:spacing w:after="0"/>
              <w:rPr>
                <w:sz w:val="20"/>
                <w:szCs w:val="20"/>
                <w:color w:val="auto"/>
              </w:rPr>
            </w:pPr>
            <w:r>
              <w:rPr>
                <w:rFonts w:ascii="Arial" w:cs="Arial" w:eastAsia="Arial" w:hAnsi="Arial"/>
                <w:sz w:val="19"/>
                <w:szCs w:val="19"/>
                <w:color w:val="auto"/>
              </w:rPr>
              <w:t>Total crude oil pipeline tariff</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8,460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7,565</w:t>
            </w:r>
          </w:p>
        </w:tc>
        <w:tc>
          <w:tcPr>
            <w:tcW w:w="6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895</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12 %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60" w:type="dxa"/>
            <w:vAlign w:val="bottom"/>
            <w:gridSpan w:val="5"/>
          </w:tcPr>
          <w:p>
            <w:pPr>
              <w:ind w:left="40"/>
              <w:spacing w:after="0"/>
              <w:rPr>
                <w:sz w:val="20"/>
                <w:szCs w:val="20"/>
                <w:color w:val="auto"/>
              </w:rPr>
            </w:pPr>
            <w:r>
              <w:rPr>
                <w:rFonts w:ascii="Arial" w:cs="Arial" w:eastAsia="Arial" w:hAnsi="Arial"/>
                <w:sz w:val="19"/>
                <w:szCs w:val="19"/>
                <w:color w:val="auto"/>
              </w:rPr>
              <w:t xml:space="preserve">Commercial crude oil storage capacity </w:t>
            </w:r>
            <w:r>
              <w:rPr>
                <w:rFonts w:ascii="Arial" w:cs="Arial" w:eastAsia="Arial" w:hAnsi="Arial"/>
                <w:sz w:val="25"/>
                <w:szCs w:val="25"/>
                <w:color w:val="auto"/>
                <w:vertAlign w:val="superscript"/>
              </w:rPr>
              <w:t>(5) (6)</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72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72</w:t>
            </w:r>
          </w:p>
        </w:tc>
        <w:tc>
          <w:tcPr>
            <w:tcW w:w="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5"/>
          </w:tcPr>
          <w:p>
            <w:pPr>
              <w:jc w:val="right"/>
              <w:ind w:right="540"/>
              <w:spacing w:after="0"/>
              <w:rPr>
                <w:sz w:val="20"/>
                <w:szCs w:val="20"/>
                <w:color w:val="auto"/>
              </w:rPr>
            </w:pPr>
            <w:r>
              <w:rPr>
                <w:rFonts w:ascii="Arial" w:cs="Arial" w:eastAsia="Arial" w:hAnsi="Arial"/>
                <w:sz w:val="19"/>
                <w:szCs w:val="19"/>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9"/>
                <w:szCs w:val="19"/>
                <w:color w:val="auto"/>
              </w:rPr>
              <w:t>— %</w:t>
            </w: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60" w:type="dxa"/>
            <w:vAlign w:val="bottom"/>
            <w:gridSpan w:val="5"/>
          </w:tcPr>
          <w:p>
            <w:pPr>
              <w:ind w:left="40"/>
              <w:spacing w:after="0"/>
              <w:rPr>
                <w:sz w:val="20"/>
                <w:szCs w:val="20"/>
                <w:color w:val="auto"/>
              </w:rPr>
            </w:pPr>
            <w:r>
              <w:rPr>
                <w:rFonts w:ascii="Arial" w:cs="Arial" w:eastAsia="Arial" w:hAnsi="Arial"/>
                <w:sz w:val="19"/>
                <w:szCs w:val="19"/>
                <w:color w:val="auto"/>
              </w:rPr>
              <w:t xml:space="preserve">Crude oil lease gathering purchases </w:t>
            </w:r>
            <w:r>
              <w:rPr>
                <w:rFonts w:ascii="Arial" w:cs="Arial" w:eastAsia="Arial" w:hAnsi="Arial"/>
                <w:sz w:val="25"/>
                <w:szCs w:val="25"/>
                <w:color w:val="auto"/>
                <w:vertAlign w:val="superscript"/>
              </w:rPr>
              <w:t>(4) (7)</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1,452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1,382</w:t>
            </w:r>
          </w:p>
        </w:tc>
        <w:tc>
          <w:tcPr>
            <w:tcW w:w="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70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5 %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tcPr>
          <w:p>
            <w:pPr>
              <w:spacing w:after="0"/>
              <w:rPr>
                <w:sz w:val="13"/>
                <w:szCs w:val="13"/>
                <w:color w:val="auto"/>
              </w:rPr>
            </w:pPr>
          </w:p>
        </w:tc>
        <w:tc>
          <w:tcPr>
            <w:tcW w:w="1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4893310</wp:posOffset>
                </wp:positionH>
                <wp:positionV relativeFrom="paragraph">
                  <wp:posOffset>-5738495</wp:posOffset>
                </wp:positionV>
                <wp:extent cx="0" cy="361251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12515"/>
                        </a:xfrm>
                        <a:prstGeom prst="line">
                          <a:avLst/>
                        </a:prstGeom>
                        <a:solidFill>
                          <a:srgbClr val="FFFFFF"/>
                        </a:solidFill>
                        <a:ln w="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3pt,-451.8499pt" to="385.3pt,-167.3999pt" o:allowincell="f" strokecolor="#000000" strokeweight="0pt"/>
            </w:pict>
          </mc:Fallback>
        </mc:AlternateContent>
        <w:drawing>
          <wp:anchor simplePos="0" relativeHeight="251657728" behindDoc="1" locked="0" layoutInCell="0" allowOverlap="1">
            <wp:simplePos x="0" y="0"/>
            <wp:positionH relativeFrom="column">
              <wp:posOffset>-2540</wp:posOffset>
            </wp:positionH>
            <wp:positionV relativeFrom="paragraph">
              <wp:posOffset>-5750560</wp:posOffset>
            </wp:positionV>
            <wp:extent cx="6358255" cy="5649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extLst>
                        <a:ext uri="{28A0092B-C50C-407E-A947-70E740481C1C}"/>
                      </a:extLst>
                    </a:blip>
                    <a:srcRect/>
                    <a:stretch>
                      <a:fillRect/>
                    </a:stretch>
                  </pic:blipFill>
                  <pic:spPr bwMode="auto">
                    <a:xfrm>
                      <a:off x="0" y="0"/>
                      <a:ext cx="6358255" cy="564959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4865370</wp:posOffset>
                </wp:positionH>
                <wp:positionV relativeFrom="paragraph">
                  <wp:posOffset>-1600200</wp:posOffset>
                </wp:positionV>
                <wp:extent cx="0" cy="148590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85900"/>
                        </a:xfrm>
                        <a:prstGeom prst="line">
                          <a:avLst/>
                        </a:prstGeom>
                        <a:solidFill>
                          <a:srgbClr val="FFFFFF"/>
                        </a:solidFill>
                        <a:ln w="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1pt,-126pt" to="383.1pt,-9pt" o:allowincell="f" strokecolor="#000000" strokeweight="0pt"/>
            </w:pict>
          </mc:Fallback>
        </mc:AlternateContent>
      </w:r>
    </w:p>
    <w:p>
      <w:pPr>
        <w:spacing w:after="0" w:line="124" w:lineRule="exact"/>
        <w:rPr>
          <w:sz w:val="20"/>
          <w:szCs w:val="20"/>
          <w:color w:val="auto"/>
        </w:rPr>
      </w:pPr>
    </w:p>
    <w:p>
      <w:pPr>
        <w:ind w:left="701" w:hanging="701"/>
        <w:spacing w:after="0"/>
        <w:tabs>
          <w:tab w:leader="none" w:pos="701" w:val="left"/>
        </w:tabs>
        <w:numPr>
          <w:ilvl w:val="0"/>
          <w:numId w:val="43"/>
        </w:numPr>
        <w:rPr>
          <w:rFonts w:ascii="Arial" w:cs="Arial" w:eastAsia="Arial" w:hAnsi="Arial"/>
          <w:sz w:val="19"/>
          <w:szCs w:val="19"/>
          <w:color w:val="auto"/>
        </w:rPr>
      </w:pPr>
      <w:r>
        <w:rPr>
          <w:rFonts w:ascii="Arial" w:cs="Arial" w:eastAsia="Arial" w:hAnsi="Arial"/>
          <w:sz w:val="19"/>
          <w:szCs w:val="19"/>
          <w:color w:val="auto"/>
        </w:rPr>
        <w:t>Indicates that variance as a percentage is not meaningful.</w:t>
      </w:r>
    </w:p>
    <w:p>
      <w:pPr>
        <w:sectPr>
          <w:pgSz w:w="11880" w:h="15480" w:orient="portrait"/>
          <w:cols w:equalWidth="0" w:num="1">
            <w:col w:w="9981"/>
          </w:cols>
          <w:pgMar w:left="939" w:top="676" w:right="960" w:bottom="0" w:gutter="0" w:footer="0" w:header="0"/>
        </w:sectPr>
      </w:pPr>
    </w:p>
    <w:p>
      <w:pPr>
        <w:spacing w:after="0" w:line="114" w:lineRule="exact"/>
        <w:rPr>
          <w:sz w:val="20"/>
          <w:szCs w:val="20"/>
          <w:color w:val="auto"/>
        </w:rPr>
      </w:pPr>
    </w:p>
    <w:p>
      <w:pPr>
        <w:ind w:left="1"/>
        <w:spacing w:after="0"/>
        <w:rPr>
          <w:sz w:val="20"/>
          <w:szCs w:val="20"/>
          <w:color w:val="auto"/>
        </w:rPr>
      </w:pPr>
      <w:r>
        <w:rPr>
          <w:rFonts w:ascii="Arial" w:cs="Arial" w:eastAsia="Arial" w:hAnsi="Arial"/>
          <w:sz w:val="11"/>
          <w:szCs w:val="11"/>
          <w:color w:val="auto"/>
        </w:rPr>
        <w:t>(1)</w:t>
      </w:r>
    </w:p>
    <w:p>
      <w:pPr>
        <w:spacing w:after="0" w:line="224" w:lineRule="exact"/>
        <w:rPr>
          <w:sz w:val="20"/>
          <w:szCs w:val="20"/>
          <w:color w:val="auto"/>
        </w:rPr>
      </w:pPr>
    </w:p>
    <w:p>
      <w:pPr>
        <w:ind w:left="1"/>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color w:val="auto"/>
        </w:rPr>
        <w:t>Revenues and costs and expenses include intersegment amounts.</w:t>
      </w:r>
    </w:p>
    <w:p>
      <w:pPr>
        <w:spacing w:after="0" w:line="132" w:lineRule="exact"/>
        <w:rPr>
          <w:sz w:val="20"/>
          <w:szCs w:val="20"/>
          <w:color w:val="auto"/>
        </w:rPr>
      </w:pPr>
    </w:p>
    <w:p>
      <w:pPr>
        <w:jc w:val="both"/>
        <w:ind w:right="340"/>
        <w:spacing w:after="0" w:line="276" w:lineRule="auto"/>
        <w:rPr>
          <w:sz w:val="20"/>
          <w:szCs w:val="20"/>
          <w:color w:val="auto"/>
        </w:rPr>
      </w:pPr>
      <w:r>
        <w:rPr>
          <w:rFonts w:ascii="Arial" w:cs="Arial" w:eastAsia="Arial" w:hAnsi="Arial"/>
          <w:sz w:val="19"/>
          <w:szCs w:val="19"/>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47" w:lineRule="exact"/>
        <w:rPr>
          <w:sz w:val="20"/>
          <w:szCs w:val="20"/>
          <w:color w:val="auto"/>
        </w:rPr>
      </w:pPr>
    </w:p>
    <w:p>
      <w:pPr>
        <w:sectPr>
          <w:pgSz w:w="11880" w:h="15480" w:orient="portrait"/>
          <w:cols w:equalWidth="0" w:num="2">
            <w:col w:w="141" w:space="560"/>
            <w:col w:w="9280"/>
          </w:cols>
          <w:pgMar w:left="939" w:top="676" w:right="960" w:bottom="0" w:gutter="0" w:footer="0" w:header="0"/>
          <w:type w:val="continuous"/>
        </w:sectPr>
      </w:pPr>
    </w:p>
    <w:p>
      <w:pPr>
        <w:ind w:left="1"/>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58" w:lineRule="exact"/>
        <w:rPr>
          <w:sz w:val="20"/>
          <w:szCs w:val="20"/>
          <w:color w:val="auto"/>
        </w:rPr>
      </w:pPr>
    </w:p>
    <w:p>
      <w:pPr>
        <w:ind w:left="1"/>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ind w:right="440"/>
        <w:spacing w:after="0" w:line="358" w:lineRule="auto"/>
        <w:rPr>
          <w:sz w:val="20"/>
          <w:szCs w:val="20"/>
          <w:color w:val="auto"/>
        </w:rPr>
      </w:pPr>
      <w:r>
        <w:rPr>
          <w:rFonts w:ascii="Arial" w:cs="Arial" w:eastAsia="Arial" w:hAnsi="Arial"/>
          <w:sz w:val="17"/>
          <w:szCs w:val="17"/>
          <w:color w:val="auto"/>
        </w:rPr>
        <w:t>Represents adjustments included in the performance measure utilized by our CODM in the evaluation of segment results. See Note 19 to our Consolidated Financial Statements for additional discussion of such adjustments.</w:t>
      </w:r>
    </w:p>
    <w:p>
      <w:pPr>
        <w:spacing w:after="0" w:line="2" w:lineRule="exact"/>
        <w:rPr>
          <w:sz w:val="20"/>
          <w:szCs w:val="20"/>
          <w:color w:val="auto"/>
        </w:rPr>
      </w:pPr>
    </w:p>
    <w:p>
      <w:pPr>
        <w:ind w:right="180"/>
        <w:spacing w:after="0" w:line="269" w:lineRule="auto"/>
        <w:rPr>
          <w:sz w:val="20"/>
          <w:szCs w:val="20"/>
          <w:color w:val="auto"/>
        </w:rPr>
      </w:pPr>
      <w:r>
        <w:rPr>
          <w:rFonts w:ascii="Arial" w:cs="Arial" w:eastAsia="Arial" w:hAnsi="Arial"/>
          <w:sz w:val="19"/>
          <w:szCs w:val="19"/>
          <w:color w:val="auto"/>
        </w:rPr>
        <w:t>Average daily volumes in thousands of barrels per day calculated as the total volumes (attributable to our interest for assets owned by unconsolidated entities or through undivided joint interests) for the year divided by the number of days in the year. Volumes associated with acquisitions represent total volumes for the number of days we actually owned the assets divided by the number of days in the period.</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color w:val="auto"/>
        </w:rPr>
        <w:t>Includes volumes (attributable to our interest) from assets owned by unconsolidated entities.</w:t>
      </w:r>
    </w:p>
    <w:p>
      <w:pPr>
        <w:spacing w:after="0" w:line="200" w:lineRule="exact"/>
        <w:rPr>
          <w:sz w:val="20"/>
          <w:szCs w:val="20"/>
          <w:color w:val="auto"/>
        </w:rPr>
      </w:pPr>
    </w:p>
    <w:p>
      <w:pPr>
        <w:sectPr>
          <w:pgSz w:w="11880" w:h="15480" w:orient="portrait"/>
          <w:cols w:equalWidth="0" w:num="2">
            <w:col w:w="141" w:space="560"/>
            <w:col w:w="9280"/>
          </w:cols>
          <w:pgMar w:left="939" w:top="676" w:right="960" w:bottom="0" w:gutter="0" w:footer="0" w:header="0"/>
          <w:type w:val="continuous"/>
        </w:sect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79</w:t>
      </w:r>
    </w:p>
    <w:p>
      <w:pPr>
        <w:sectPr>
          <w:pgSz w:w="11880" w:h="15480" w:orient="portrait"/>
          <w:cols w:equalWidth="0" w:num="1">
            <w:col w:w="9981"/>
          </w:cols>
          <w:pgMar w:left="939" w:top="676" w:right="960" w:bottom="0" w:gutter="0" w:footer="0" w:header="0"/>
          <w:type w:val="continuous"/>
        </w:sectPr>
      </w:pPr>
    </w:p>
    <w:bookmarkStart w:id="79" w:name="page80"/>
    <w:bookmarkEnd w:id="79"/>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ind w:right="40"/>
        <w:spacing w:after="0" w:line="295" w:lineRule="auto"/>
        <w:rPr>
          <w:sz w:val="20"/>
          <w:szCs w:val="20"/>
          <w:color w:val="auto"/>
        </w:rPr>
      </w:pPr>
      <w:r>
        <w:rPr>
          <w:rFonts w:ascii="Arial" w:cs="Arial" w:eastAsia="Arial" w:hAnsi="Arial"/>
          <w:sz w:val="19"/>
          <w:szCs w:val="19"/>
          <w:color w:val="auto"/>
        </w:rPr>
        <w:t>Average monthly capacity in millions of barrels per day calculated as total volumes for the year divided by the number of months in the year.</w:t>
      </w:r>
    </w:p>
    <w:p>
      <w:pPr>
        <w:spacing w:after="0" w:line="48" w:lineRule="exact"/>
        <w:rPr>
          <w:sz w:val="20"/>
          <w:szCs w:val="20"/>
          <w:color w:val="auto"/>
        </w:rPr>
      </w:pPr>
    </w:p>
    <w:p>
      <w:pPr>
        <w:ind w:right="140"/>
        <w:spacing w:after="0" w:line="295" w:lineRule="auto"/>
        <w:rPr>
          <w:sz w:val="20"/>
          <w:szCs w:val="20"/>
          <w:color w:val="auto"/>
        </w:rPr>
      </w:pPr>
      <w:r>
        <w:rPr>
          <w:rFonts w:ascii="Arial" w:cs="Arial" w:eastAsia="Arial" w:hAnsi="Arial"/>
          <w:sz w:val="19"/>
          <w:szCs w:val="19"/>
          <w:color w:val="auto"/>
        </w:rPr>
        <w:t>Of this amount, approximately 1,147 and 1,073 thousand barrels per day were purchased in the Permian Basin for the years ended December 31, 2023 and 2022,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Segment Adjusted EBITDA</w:t>
      </w:r>
    </w:p>
    <w:p>
      <w:pPr>
        <w:spacing w:after="0" w:line="200" w:lineRule="exact"/>
        <w:rPr>
          <w:sz w:val="20"/>
          <w:szCs w:val="20"/>
          <w:color w:val="auto"/>
        </w:rPr>
      </w:pPr>
    </w:p>
    <w:p>
      <w:pPr>
        <w:sectPr>
          <w:pgSz w:w="11880" w:h="15480" w:orient="portrait"/>
          <w:cols w:equalWidth="0" w:num="2">
            <w:col w:w="140" w:space="560"/>
            <w:col w:w="9300"/>
          </w:cols>
          <w:pgMar w:left="940" w:top="658" w:right="940" w:bottom="0" w:gutter="0" w:footer="0" w:header="0"/>
        </w:sectPr>
      </w:pPr>
    </w:p>
    <w:p>
      <w:pPr>
        <w:spacing w:after="0" w:line="42" w:lineRule="exact"/>
        <w:rPr>
          <w:sz w:val="20"/>
          <w:szCs w:val="20"/>
          <w:color w:val="auto"/>
        </w:rPr>
      </w:pPr>
    </w:p>
    <w:p>
      <w:pPr>
        <w:jc w:val="both"/>
        <w:ind w:right="240" w:firstLine="702"/>
        <w:spacing w:after="0" w:line="276" w:lineRule="auto"/>
        <w:rPr>
          <w:sz w:val="20"/>
          <w:szCs w:val="20"/>
          <w:color w:val="auto"/>
        </w:rPr>
      </w:pPr>
      <w:r>
        <w:rPr>
          <w:rFonts w:ascii="Arial" w:cs="Arial" w:eastAsia="Arial" w:hAnsi="Arial"/>
          <w:sz w:val="19"/>
          <w:szCs w:val="19"/>
          <w:color w:val="auto"/>
        </w:rPr>
        <w:t>Crude Oil Segment Adjusted EBITDA increased for the year ended December 31, 2023 compared to the year ended December 31, 2022 primarily due to higher tariff volumes, tariff escalations and contributions from acquisitions. These items were partially offset by fewer market-based opportunities for our merchant activities.</w:t>
      </w:r>
    </w:p>
    <w:p>
      <w:pPr>
        <w:spacing w:after="0" w:line="182" w:lineRule="exact"/>
        <w:rPr>
          <w:sz w:val="20"/>
          <w:szCs w:val="20"/>
          <w:color w:val="auto"/>
        </w:rPr>
      </w:pPr>
    </w:p>
    <w:p>
      <w:pPr>
        <w:ind w:right="320" w:firstLine="702"/>
        <w:spacing w:after="0" w:line="295" w:lineRule="auto"/>
        <w:rPr>
          <w:sz w:val="20"/>
          <w:szCs w:val="20"/>
          <w:color w:val="auto"/>
        </w:rPr>
      </w:pPr>
      <w:r>
        <w:rPr>
          <w:rFonts w:ascii="Arial" w:cs="Arial" w:eastAsia="Arial" w:hAnsi="Arial"/>
          <w:sz w:val="19"/>
          <w:szCs w:val="19"/>
          <w:color w:val="auto"/>
        </w:rPr>
        <w:t>The following is a more detailed discussion of the significant factors impacting Segment Adjusted EBITDA for the year ended December 31, 2023 compared to the year ended December 31, 2022.</w:t>
      </w:r>
    </w:p>
    <w:p>
      <w:pPr>
        <w:spacing w:after="0" w:line="163" w:lineRule="exact"/>
        <w:rPr>
          <w:sz w:val="20"/>
          <w:szCs w:val="20"/>
          <w:color w:val="auto"/>
        </w:rPr>
      </w:pPr>
    </w:p>
    <w:p>
      <w:pPr>
        <w:ind w:right="80" w:firstLine="702"/>
        <w:spacing w:after="0" w:line="270" w:lineRule="auto"/>
        <w:rPr>
          <w:sz w:val="20"/>
          <w:szCs w:val="20"/>
          <w:color w:val="auto"/>
        </w:rPr>
      </w:pPr>
      <w:r>
        <w:rPr>
          <w:rFonts w:ascii="Arial" w:cs="Arial" w:eastAsia="Arial" w:hAnsi="Arial"/>
          <w:sz w:val="19"/>
          <w:szCs w:val="19"/>
          <w:b w:val="1"/>
          <w:bCs w:val="1"/>
          <w:i w:val="1"/>
          <w:iCs w:val="1"/>
          <w:color w:val="auto"/>
        </w:rPr>
        <w:t xml:space="preserve">Net Revenues and Equity Earnings. </w:t>
      </w:r>
      <w:r>
        <w:rPr>
          <w:rFonts w:ascii="Arial" w:cs="Arial" w:eastAsia="Arial" w:hAnsi="Arial"/>
          <w:sz w:val="19"/>
          <w:szCs w:val="19"/>
          <w:color w:val="auto"/>
        </w:rPr>
        <w:t>Our results were favorably impacted by (i) higher volumes across our pipeline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systems, primarily driven by increased production and new well connections, (ii) tariff escalations and (iii) contributions from acquisitions. These benefits were partially offset by the impact of minimum volume commitment deficiency payments received in 2022.</w:t>
      </w:r>
    </w:p>
    <w:p>
      <w:pPr>
        <w:spacing w:after="0" w:line="188" w:lineRule="exact"/>
        <w:rPr>
          <w:sz w:val="20"/>
          <w:szCs w:val="20"/>
          <w:color w:val="auto"/>
        </w:rPr>
      </w:pPr>
    </w:p>
    <w:p>
      <w:pPr>
        <w:ind w:right="40" w:firstLine="702"/>
        <w:spacing w:after="0" w:line="276" w:lineRule="auto"/>
        <w:rPr>
          <w:sz w:val="20"/>
          <w:szCs w:val="20"/>
          <w:color w:val="auto"/>
        </w:rPr>
      </w:pPr>
      <w:r>
        <w:rPr>
          <w:rFonts w:ascii="Arial" w:cs="Arial" w:eastAsia="Arial" w:hAnsi="Arial"/>
          <w:sz w:val="19"/>
          <w:szCs w:val="19"/>
          <w:color w:val="auto"/>
        </w:rPr>
        <w:t>Additionally, our results for the year ended December 31, 2023 reflect net fewer market-based opportunities compared to 2022 as the 2022 period includes the benefit of the sale of excess linefill and inventory in a higher crude oil price environment.</w:t>
      </w:r>
    </w:p>
    <w:p>
      <w:pPr>
        <w:spacing w:after="0" w:line="180" w:lineRule="exact"/>
        <w:rPr>
          <w:sz w:val="20"/>
          <w:szCs w:val="20"/>
          <w:color w:val="auto"/>
        </w:rPr>
      </w:pPr>
    </w:p>
    <w:p>
      <w:pPr>
        <w:ind w:right="60" w:firstLine="702"/>
        <w:spacing w:after="0" w:line="262" w:lineRule="auto"/>
        <w:rPr>
          <w:sz w:val="20"/>
          <w:szCs w:val="20"/>
          <w:color w:val="auto"/>
        </w:rPr>
      </w:pPr>
      <w:r>
        <w:rPr>
          <w:rFonts w:ascii="Arial" w:cs="Arial" w:eastAsia="Arial" w:hAnsi="Arial"/>
          <w:sz w:val="19"/>
          <w:szCs w:val="19"/>
          <w:b w:val="1"/>
          <w:bCs w:val="1"/>
          <w:i w:val="1"/>
          <w:iCs w:val="1"/>
          <w:color w:val="auto"/>
        </w:rPr>
        <w:t xml:space="preserve">Field Operating Costs. </w:t>
      </w:r>
      <w:r>
        <w:rPr>
          <w:rFonts w:ascii="Arial" w:cs="Arial" w:eastAsia="Arial" w:hAnsi="Arial"/>
          <w:sz w:val="19"/>
          <w:szCs w:val="19"/>
          <w:color w:val="auto"/>
        </w:rPr>
        <w:t>For the year ended December 31, 2023 compared to the year ended December 31, 2022, we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had higher expenses associated with (i) utilities costs due to a combination of higher volumes and prices and an increase in the amount of drag reducing agents used, (ii) incremental consolidated operating costs in connection with acquisitions, (iii) employee-related costs primarily resulting from higher average headcount and salaries and (iv) unrealized mark-to-market losses on power hedges (which impact our field operating costs but are excluded from Segment Adjusted EBITDA and thus are reflected as an “Adjustment” in the table above). The unfavorable variance for the year ended December 31, 2023 compared to 2022 was partially offset by a decrease in additional estimated costs recognized associated with the Line 901 incident (which impact field operating costs but are excluded from Segment Adjusted EBITDA and thus are reflected as an “Adjustment” in the table above).</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Maintenance Capital</w:t>
      </w:r>
    </w:p>
    <w:p>
      <w:pPr>
        <w:spacing w:after="0" w:line="251" w:lineRule="exact"/>
        <w:rPr>
          <w:sz w:val="20"/>
          <w:szCs w:val="20"/>
          <w:color w:val="auto"/>
        </w:rPr>
      </w:pPr>
    </w:p>
    <w:p>
      <w:pPr>
        <w:ind w:right="460" w:firstLine="702"/>
        <w:spacing w:after="0" w:line="311" w:lineRule="auto"/>
        <w:rPr>
          <w:sz w:val="20"/>
          <w:szCs w:val="20"/>
          <w:color w:val="auto"/>
        </w:rPr>
      </w:pPr>
      <w:r>
        <w:rPr>
          <w:rFonts w:ascii="Arial" w:cs="Arial" w:eastAsia="Arial" w:hAnsi="Arial"/>
          <w:sz w:val="17"/>
          <w:szCs w:val="17"/>
          <w:color w:val="auto"/>
        </w:rPr>
        <w:t>Maintenance capital consists of capital expenditures for the replacement and/or refurbishment of partially or fully depreciated assets in order to maintain the operating and/or earnings capacity of our existing assets. The increase in maintenance capital spending for the year ended December 31, 2023 compared to the year ended December 31, 2022 was primarily due to ongoing facility maintenance investments, tractor trailer leases, integrity projects and tank maintenance.</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NGL Segment</w:t>
      </w:r>
    </w:p>
    <w:p>
      <w:pPr>
        <w:spacing w:after="0" w:line="257" w:lineRule="exact"/>
        <w:rPr>
          <w:sz w:val="20"/>
          <w:szCs w:val="20"/>
          <w:color w:val="auto"/>
        </w:rPr>
      </w:pPr>
    </w:p>
    <w:p>
      <w:pPr>
        <w:ind w:firstLine="702"/>
        <w:spacing w:after="0" w:line="263" w:lineRule="auto"/>
        <w:rPr>
          <w:sz w:val="20"/>
          <w:szCs w:val="20"/>
          <w:color w:val="auto"/>
        </w:rPr>
      </w:pPr>
      <w:r>
        <w:rPr>
          <w:rFonts w:ascii="Arial" w:cs="Arial" w:eastAsia="Arial" w:hAnsi="Arial"/>
          <w:sz w:val="19"/>
          <w:szCs w:val="19"/>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extracting NGL mix from the gas stream processed at our Empress straddle plant facility as well as acquiring NGL mix, which is then transported, stored and fractionated into finished products and sold to customers. Our management of our commodity exposure is subject to our risk management policies and may include the use of derivative instruments to mitigate the risk of such exposure and, at times, to provide upside opportunities.</w:t>
      </w:r>
    </w:p>
    <w:p>
      <w:pPr>
        <w:spacing w:after="0" w:line="196" w:lineRule="exact"/>
        <w:rPr>
          <w:sz w:val="20"/>
          <w:szCs w:val="20"/>
          <w:color w:val="auto"/>
        </w:rPr>
      </w:pPr>
    </w:p>
    <w:p>
      <w:pPr>
        <w:ind w:right="60" w:firstLine="702"/>
        <w:spacing w:after="0" w:line="269" w:lineRule="auto"/>
        <w:rPr>
          <w:sz w:val="20"/>
          <w:szCs w:val="20"/>
          <w:color w:val="auto"/>
        </w:rPr>
      </w:pPr>
      <w:r>
        <w:rPr>
          <w:rFonts w:ascii="Arial" w:cs="Arial" w:eastAsia="Arial" w:hAnsi="Arial"/>
          <w:sz w:val="19"/>
          <w:szCs w:val="19"/>
          <w:color w:val="auto"/>
        </w:rPr>
        <w:t>Generally, our segment results are impacted by (i) increases or decreases in our NGL sales volumes, (ii) volatility in commodity prices, the differential between the price of natural gas and the extracted NGL (“frac spread”), as well as location differentials and time spreads, and (iii) the volume of natural gas transported on third-party assets through our Empress straddle plant.</w:t>
      </w:r>
    </w:p>
    <w:p>
      <w:pPr>
        <w:sectPr>
          <w:pgSz w:w="11880" w:h="15480" w:orient="portrait"/>
          <w:cols w:equalWidth="0" w:num="1">
            <w:col w:w="10000"/>
          </w:cols>
          <w:pgMar w:left="940" w:top="658"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880" w:h="15480" w:orient="portrait"/>
          <w:cols w:equalWidth="0" w:num="1">
            <w:col w:w="10000"/>
          </w:cols>
          <w:pgMar w:left="940" w:top="658" w:right="940" w:bottom="0" w:gutter="0" w:footer="0" w:header="0"/>
          <w:type w:val="continuous"/>
        </w:sectPr>
      </w:pPr>
    </w:p>
    <w:bookmarkStart w:id="80" w:name="page81"/>
    <w:bookmarkEnd w:id="80"/>
    <w:p>
      <w:pPr>
        <w:ind w:left="1" w:right="180" w:firstLine="702"/>
        <w:spacing w:after="0" w:line="269" w:lineRule="auto"/>
        <w:rPr>
          <w:sz w:val="20"/>
          <w:szCs w:val="20"/>
          <w:color w:val="auto"/>
        </w:rPr>
      </w:pPr>
      <w:r>
        <w:rPr>
          <w:rFonts w:ascii="Arial" w:cs="Arial" w:eastAsia="Arial" w:hAnsi="Arial"/>
          <w:sz w:val="19"/>
          <w:szCs w:val="19"/>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spacing w:after="0" w:line="190" w:lineRule="exact"/>
        <w:rPr>
          <w:sz w:val="20"/>
          <w:szCs w:val="20"/>
          <w:color w:val="auto"/>
        </w:rPr>
      </w:pPr>
    </w:p>
    <w:p>
      <w:pPr>
        <w:ind w:left="701"/>
        <w:spacing w:after="0"/>
        <w:rPr>
          <w:sz w:val="20"/>
          <w:szCs w:val="20"/>
          <w:color w:val="auto"/>
        </w:rPr>
      </w:pPr>
      <w:r>
        <w:rPr>
          <w:rFonts w:ascii="Arial" w:cs="Arial" w:eastAsia="Arial" w:hAnsi="Arial"/>
          <w:sz w:val="19"/>
          <w:szCs w:val="19"/>
          <w:color w:val="auto"/>
        </w:rPr>
        <w:t>The following tables set forth our operating results from our NGL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184150</wp:posOffset>
            </wp:positionV>
            <wp:extent cx="6302375" cy="2823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a:extLst>
                        <a:ext uri="{28A0092B-C50C-407E-A947-70E740481C1C}"/>
                      </a:extLst>
                    </a:blip>
                    <a:srcRect/>
                    <a:stretch>
                      <a:fillRect/>
                    </a:stretch>
                  </pic:blipFill>
                  <pic:spPr bwMode="auto">
                    <a:xfrm>
                      <a:off x="0" y="0"/>
                      <a:ext cx="6302375" cy="2823210"/>
                    </a:xfrm>
                    <a:prstGeom prst="rect">
                      <a:avLst/>
                    </a:prstGeom>
                    <a:noFill/>
                  </pic:spPr>
                </pic:pic>
              </a:graphicData>
            </a:graphic>
          </wp:anchor>
        </w:drawing>
      </w:r>
    </w:p>
    <w:p>
      <w:pPr>
        <w:spacing w:after="0" w:line="361"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60" w:type="dxa"/>
            <w:vAlign w:val="bottom"/>
          </w:tcPr>
          <w:p>
            <w:pPr>
              <w:spacing w:after="0"/>
              <w:rPr>
                <w:sz w:val="18"/>
                <w:szCs w:val="18"/>
                <w:color w:val="auto"/>
              </w:rPr>
            </w:pPr>
          </w:p>
        </w:tc>
        <w:tc>
          <w:tcPr>
            <w:tcW w:w="53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 xml:space="preserve">Operating Results </w:t>
            </w:r>
            <w:r>
              <w:rPr>
                <w:rFonts w:ascii="Arial" w:cs="Arial" w:eastAsia="Arial" w:hAnsi="Arial"/>
                <w:sz w:val="20"/>
                <w:szCs w:val="20"/>
                <w:b w:val="1"/>
                <w:bCs w:val="1"/>
                <w:color w:val="auto"/>
                <w:vertAlign w:val="superscript"/>
              </w:rPr>
              <w:t>(1)</w:t>
            </w:r>
          </w:p>
        </w:tc>
        <w:tc>
          <w:tcPr>
            <w:tcW w:w="180" w:type="dxa"/>
            <w:vAlign w:val="bottom"/>
          </w:tcPr>
          <w:p>
            <w:pPr>
              <w:spacing w:after="0"/>
              <w:rPr>
                <w:sz w:val="18"/>
                <w:szCs w:val="18"/>
                <w:color w:val="auto"/>
              </w:rPr>
            </w:pPr>
          </w:p>
        </w:tc>
        <w:tc>
          <w:tcPr>
            <w:tcW w:w="2120" w:type="dxa"/>
            <w:vAlign w:val="bottom"/>
            <w:gridSpan w:val="5"/>
          </w:tcPr>
          <w:p>
            <w:pPr>
              <w:ind w:left="60"/>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ind w:left="600"/>
              <w:spacing w:after="0"/>
              <w:rPr>
                <w:sz w:val="20"/>
                <w:szCs w:val="20"/>
                <w:color w:val="auto"/>
              </w:rPr>
            </w:pPr>
            <w:r>
              <w:rPr>
                <w:rFonts w:ascii="Arial" w:cs="Arial" w:eastAsia="Arial" w:hAnsi="Arial"/>
                <w:sz w:val="16"/>
                <w:szCs w:val="16"/>
                <w:b w:val="1"/>
                <w:bCs w:val="1"/>
                <w:color w:val="auto"/>
              </w:rPr>
              <w:t>Variance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60" w:type="dxa"/>
            <w:vAlign w:val="bottom"/>
          </w:tcPr>
          <w:p>
            <w:pPr>
              <w:spacing w:after="0"/>
              <w:rPr>
                <w:sz w:val="5"/>
                <w:szCs w:val="5"/>
                <w:color w:val="auto"/>
              </w:rPr>
            </w:pPr>
          </w:p>
        </w:tc>
        <w:tc>
          <w:tcPr>
            <w:tcW w:w="5320" w:type="dxa"/>
            <w:vAlign w:val="bottom"/>
            <w:gridSpan w:val="3"/>
            <w:vMerge w:val="continue"/>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880" w:type="dxa"/>
            <w:vAlign w:val="bottom"/>
            <w:tcBorders>
              <w:top w:val="single" w:sz="8" w:color="auto"/>
            </w:tcBorders>
            <w:vMerge w:val="restart"/>
          </w:tcPr>
          <w:p>
            <w:pPr>
              <w:jc w:val="right"/>
              <w:ind w:right="267"/>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800" w:type="dxa"/>
            <w:vAlign w:val="bottom"/>
            <w:tcBorders>
              <w:top w:val="single" w:sz="8" w:color="auto"/>
            </w:tcBorders>
            <w:vMerge w:val="restart"/>
          </w:tcPr>
          <w:p>
            <w:pPr>
              <w:jc w:val="right"/>
              <w:ind w:right="26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60" w:type="dxa"/>
            <w:vAlign w:val="bottom"/>
            <w:tcBorders>
              <w:top w:val="single" w:sz="8" w:color="auto"/>
            </w:tcBorders>
            <w:vMerge w:val="restart"/>
          </w:tcPr>
          <w:p>
            <w:pPr>
              <w:jc w:val="right"/>
              <w:ind w:right="407"/>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00" w:type="dxa"/>
            <w:vAlign w:val="bottom"/>
            <w:tcBorders>
              <w:top w:val="single" w:sz="8" w:color="auto"/>
            </w:tcBorders>
            <w:vMerge w:val="restart"/>
          </w:tcPr>
          <w:p>
            <w:pPr>
              <w:jc w:val="right"/>
              <w:ind w:right="36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2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5320" w:type="dxa"/>
            <w:vAlign w:val="bottom"/>
            <w:gridSpan w:val="3"/>
          </w:tcPr>
          <w:p>
            <w:pPr>
              <w:ind w:left="40"/>
              <w:spacing w:after="0"/>
              <w:rPr>
                <w:sz w:val="20"/>
                <w:szCs w:val="20"/>
                <w:color w:val="auto"/>
              </w:rPr>
            </w:pPr>
            <w:r>
              <w:rPr>
                <w:rFonts w:ascii="Arial" w:cs="Arial" w:eastAsia="Arial" w:hAnsi="Arial"/>
                <w:sz w:val="19"/>
                <w:szCs w:val="19"/>
                <w:color w:val="auto"/>
              </w:rPr>
              <w:t>Revenues</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1,935</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2,761</w:t>
            </w:r>
          </w:p>
        </w:tc>
        <w:tc>
          <w:tcPr>
            <w:tcW w:w="100" w:type="dxa"/>
            <w:vAlign w:val="bottom"/>
            <w:tcBorders>
              <w:right w:val="single" w:sz="8" w:color="auto"/>
            </w:tcBorders>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(826)</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(30)%</w:t>
            </w: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5320" w:type="dxa"/>
            <w:vAlign w:val="bottom"/>
            <w:gridSpan w:val="3"/>
          </w:tcPr>
          <w:p>
            <w:pPr>
              <w:ind w:left="40"/>
              <w:spacing w:after="0"/>
              <w:rPr>
                <w:sz w:val="20"/>
                <w:szCs w:val="20"/>
                <w:color w:val="auto"/>
              </w:rPr>
            </w:pPr>
            <w:r>
              <w:rPr>
                <w:rFonts w:ascii="Arial" w:cs="Arial" w:eastAsia="Arial" w:hAnsi="Arial"/>
                <w:sz w:val="19"/>
                <w:szCs w:val="19"/>
                <w:color w:val="auto"/>
              </w:rPr>
              <w:t>Purchases and related costs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(1,123)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(1,587)</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464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29 %</w:t>
            </w: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5320" w:type="dxa"/>
            <w:vAlign w:val="bottom"/>
            <w:gridSpan w:val="3"/>
          </w:tcPr>
          <w:p>
            <w:pPr>
              <w:ind w:left="40"/>
              <w:spacing w:after="0"/>
              <w:rPr>
                <w:sz w:val="20"/>
                <w:szCs w:val="20"/>
                <w:color w:val="auto"/>
              </w:rPr>
            </w:pPr>
            <w:r>
              <w:rPr>
                <w:rFonts w:ascii="Arial" w:cs="Arial" w:eastAsia="Arial" w:hAnsi="Arial"/>
                <w:sz w:val="19"/>
                <w:szCs w:val="19"/>
                <w:color w:val="auto"/>
              </w:rPr>
              <w:t>Field operating costs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(372)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(312)</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(60)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(19)%</w:t>
            </w:r>
          </w:p>
        </w:tc>
        <w:tc>
          <w:tcPr>
            <w:tcW w:w="0" w:type="dxa"/>
            <w:vAlign w:val="bottom"/>
          </w:tcPr>
          <w:p>
            <w:pPr>
              <w:spacing w:after="0"/>
              <w:rPr>
                <w:sz w:val="1"/>
                <w:szCs w:val="1"/>
                <w:color w:val="auto"/>
              </w:rPr>
            </w:pPr>
          </w:p>
        </w:tc>
      </w:tr>
      <w:tr>
        <w:trPr>
          <w:trHeight w:val="355"/>
        </w:trPr>
        <w:tc>
          <w:tcPr>
            <w:tcW w:w="60" w:type="dxa"/>
            <w:vAlign w:val="bottom"/>
          </w:tcPr>
          <w:p>
            <w:pPr>
              <w:spacing w:after="0"/>
              <w:rPr>
                <w:sz w:val="24"/>
                <w:szCs w:val="24"/>
                <w:color w:val="auto"/>
              </w:rPr>
            </w:pPr>
          </w:p>
        </w:tc>
        <w:tc>
          <w:tcPr>
            <w:tcW w:w="5320" w:type="dxa"/>
            <w:vAlign w:val="bottom"/>
            <w:gridSpan w:val="3"/>
          </w:tcPr>
          <w:p>
            <w:pPr>
              <w:ind w:left="60"/>
              <w:spacing w:after="0"/>
              <w:rPr>
                <w:sz w:val="20"/>
                <w:szCs w:val="20"/>
                <w:color w:val="auto"/>
              </w:rPr>
            </w:pPr>
            <w:r>
              <w:rPr>
                <w:rFonts w:ascii="Arial" w:cs="Arial" w:eastAsia="Arial" w:hAnsi="Arial"/>
                <w:sz w:val="19"/>
                <w:szCs w:val="19"/>
                <w:color w:val="auto"/>
              </w:rPr>
              <w:t xml:space="preserve">Segment general and administrative expenses </w:t>
            </w:r>
            <w:r>
              <w:rPr>
                <w:rFonts w:ascii="Arial" w:cs="Arial" w:eastAsia="Arial" w:hAnsi="Arial"/>
                <w:sz w:val="25"/>
                <w:szCs w:val="25"/>
                <w:color w:val="auto"/>
                <w:vertAlign w:val="superscript"/>
              </w:rPr>
              <w:t>(2)</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(79)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(75)</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561"/>
        </w:trPr>
        <w:tc>
          <w:tcPr>
            <w:tcW w:w="60" w:type="dxa"/>
            <w:vAlign w:val="bottom"/>
          </w:tcPr>
          <w:p>
            <w:pPr>
              <w:spacing w:after="0"/>
              <w:rPr>
                <w:sz w:val="24"/>
                <w:szCs w:val="24"/>
                <w:color w:val="auto"/>
              </w:rPr>
            </w:pPr>
          </w:p>
        </w:tc>
        <w:tc>
          <w:tcPr>
            <w:tcW w:w="5320" w:type="dxa"/>
            <w:vAlign w:val="bottom"/>
            <w:gridSpan w:val="3"/>
          </w:tcPr>
          <w:p>
            <w:pPr>
              <w:ind w:left="40"/>
              <w:spacing w:after="0"/>
              <w:rPr>
                <w:sz w:val="20"/>
                <w:szCs w:val="20"/>
                <w:color w:val="auto"/>
              </w:rPr>
            </w:pPr>
            <w:r>
              <w:rPr>
                <w:rFonts w:ascii="Arial" w:cs="Arial" w:eastAsia="Arial" w:hAnsi="Arial"/>
                <w:sz w:val="19"/>
                <w:szCs w:val="19"/>
                <w:color w:val="auto"/>
              </w:rPr>
              <w:t xml:space="preserve">Adjustments </w:t>
            </w:r>
            <w:r>
              <w:rPr>
                <w:rFonts w:ascii="Arial" w:cs="Arial" w:eastAsia="Arial" w:hAnsi="Arial"/>
                <w:sz w:val="25"/>
                <w:szCs w:val="25"/>
                <w:color w:val="auto"/>
                <w:vertAlign w:val="superscript"/>
              </w:rPr>
              <w:t>(3)</w:t>
            </w:r>
            <w:r>
              <w:rPr>
                <w:rFonts w:ascii="Arial" w:cs="Arial" w:eastAsia="Arial" w:hAnsi="Arial"/>
                <w:sz w:val="19"/>
                <w:szCs w:val="19"/>
                <w:color w:val="auto"/>
              </w:rPr>
              <w:t>:</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0" w:type="dxa"/>
            <w:vAlign w:val="bottom"/>
          </w:tcPr>
          <w:p>
            <w:pPr>
              <w:spacing w:after="0"/>
              <w:rPr>
                <w:sz w:val="22"/>
                <w:szCs w:val="22"/>
                <w:color w:val="auto"/>
              </w:rPr>
            </w:pPr>
          </w:p>
        </w:tc>
        <w:tc>
          <w:tcPr>
            <w:tcW w:w="5320" w:type="dxa"/>
            <w:vAlign w:val="bottom"/>
            <w:gridSpan w:val="3"/>
          </w:tcPr>
          <w:p>
            <w:pPr>
              <w:ind w:left="180"/>
              <w:spacing w:after="0"/>
              <w:rPr>
                <w:sz w:val="20"/>
                <w:szCs w:val="20"/>
                <w:color w:val="auto"/>
              </w:rPr>
            </w:pPr>
            <w:r>
              <w:rPr>
                <w:rFonts w:ascii="Arial" w:cs="Arial" w:eastAsia="Arial" w:hAnsi="Arial"/>
                <w:sz w:val="19"/>
                <w:szCs w:val="19"/>
                <w:color w:val="auto"/>
              </w:rPr>
              <w:t>Derivative activities</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142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(269)</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411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5320" w:type="dxa"/>
            <w:vAlign w:val="bottom"/>
            <w:gridSpan w:val="3"/>
          </w:tcPr>
          <w:p>
            <w:pPr>
              <w:ind w:left="180"/>
              <w:spacing w:after="0"/>
              <w:rPr>
                <w:sz w:val="20"/>
                <w:szCs w:val="20"/>
                <w:color w:val="auto"/>
              </w:rPr>
            </w:pPr>
            <w:r>
              <w:rPr>
                <w:rFonts w:ascii="Arial" w:cs="Arial" w:eastAsia="Arial" w:hAnsi="Arial"/>
                <w:sz w:val="19"/>
                <w:szCs w:val="19"/>
                <w:color w:val="auto"/>
              </w:rPr>
              <w:t>Long-term inventory costing adjustments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5320" w:type="dxa"/>
            <w:vAlign w:val="bottom"/>
            <w:gridSpan w:val="3"/>
          </w:tcPr>
          <w:p>
            <w:pPr>
              <w:ind w:left="180"/>
              <w:spacing w:after="0"/>
              <w:rPr>
                <w:sz w:val="20"/>
                <w:szCs w:val="20"/>
                <w:color w:val="auto"/>
              </w:rPr>
            </w:pPr>
            <w:r>
              <w:rPr>
                <w:rFonts w:ascii="Arial" w:cs="Arial" w:eastAsia="Arial" w:hAnsi="Arial"/>
                <w:sz w:val="19"/>
                <w:szCs w:val="19"/>
                <w:color w:val="auto"/>
              </w:rPr>
              <w:t>Equity-indexed compensation expense</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5"/>
        </w:trPr>
        <w:tc>
          <w:tcPr>
            <w:tcW w:w="60" w:type="dxa"/>
            <w:vAlign w:val="bottom"/>
          </w:tcPr>
          <w:p>
            <w:pPr>
              <w:spacing w:after="0"/>
              <w:rPr>
                <w:sz w:val="24"/>
                <w:szCs w:val="24"/>
                <w:color w:val="auto"/>
              </w:rPr>
            </w:pPr>
          </w:p>
        </w:tc>
        <w:tc>
          <w:tcPr>
            <w:tcW w:w="5320" w:type="dxa"/>
            <w:vAlign w:val="bottom"/>
            <w:gridSpan w:val="3"/>
          </w:tcPr>
          <w:p>
            <w:pPr>
              <w:ind w:left="180"/>
              <w:spacing w:after="0"/>
              <w:rPr>
                <w:sz w:val="20"/>
                <w:szCs w:val="20"/>
                <w:color w:val="auto"/>
              </w:rPr>
            </w:pPr>
            <w:r>
              <w:rPr>
                <w:rFonts w:ascii="Arial" w:cs="Arial" w:eastAsia="Arial" w:hAnsi="Arial"/>
                <w:sz w:val="19"/>
                <w:szCs w:val="19"/>
                <w:color w:val="auto"/>
              </w:rPr>
              <w:t>Foreign currency revaluation</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53"/>
        </w:trPr>
        <w:tc>
          <w:tcPr>
            <w:tcW w:w="60" w:type="dxa"/>
            <w:vAlign w:val="bottom"/>
          </w:tcPr>
          <w:p>
            <w:pPr>
              <w:spacing w:after="0"/>
              <w:rPr>
                <w:sz w:val="21"/>
                <w:szCs w:val="21"/>
                <w:color w:val="auto"/>
              </w:rPr>
            </w:pPr>
          </w:p>
        </w:tc>
        <w:tc>
          <w:tcPr>
            <w:tcW w:w="5320" w:type="dxa"/>
            <w:vAlign w:val="bottom"/>
            <w:gridSpan w:val="3"/>
          </w:tcPr>
          <w:p>
            <w:pPr>
              <w:ind w:left="220"/>
              <w:spacing w:after="0"/>
              <w:rPr>
                <w:sz w:val="20"/>
                <w:szCs w:val="20"/>
                <w:color w:val="auto"/>
              </w:rPr>
            </w:pPr>
            <w:r>
              <w:rPr>
                <w:rFonts w:ascii="Arial" w:cs="Arial" w:eastAsia="Arial" w:hAnsi="Arial"/>
                <w:sz w:val="19"/>
                <w:szCs w:val="19"/>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522</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518</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60" w:type="dxa"/>
            <w:vAlign w:val="bottom"/>
          </w:tcPr>
          <w:p>
            <w:pPr>
              <w:spacing w:after="0"/>
              <w:rPr>
                <w:sz w:val="24"/>
                <w:szCs w:val="24"/>
                <w:color w:val="auto"/>
              </w:rPr>
            </w:pPr>
          </w:p>
        </w:tc>
        <w:tc>
          <w:tcPr>
            <w:tcW w:w="5320" w:type="dxa"/>
            <w:vAlign w:val="bottom"/>
            <w:gridSpan w:val="3"/>
          </w:tcPr>
          <w:p>
            <w:pPr>
              <w:ind w:left="220"/>
              <w:spacing w:after="0"/>
              <w:rPr>
                <w:sz w:val="20"/>
                <w:szCs w:val="20"/>
                <w:color w:val="auto"/>
              </w:rPr>
            </w:pPr>
            <w:r>
              <w:rPr>
                <w:rFonts w:ascii="Arial" w:cs="Arial" w:eastAsia="Arial" w:hAnsi="Arial"/>
                <w:sz w:val="19"/>
                <w:szCs w:val="19"/>
                <w:color w:val="auto"/>
              </w:rPr>
              <w:t>Maintenance capital expenditures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86</w:t>
            </w: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99</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541"/>
        </w:trPr>
        <w:tc>
          <w:tcPr>
            <w:tcW w:w="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5"/>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ind w:left="600"/>
              <w:spacing w:after="0"/>
              <w:rPr>
                <w:sz w:val="20"/>
                <w:szCs w:val="20"/>
                <w:color w:val="auto"/>
              </w:rPr>
            </w:pPr>
            <w:r>
              <w:rPr>
                <w:rFonts w:ascii="Arial" w:cs="Arial" w:eastAsia="Arial" w:hAnsi="Arial"/>
                <w:sz w:val="16"/>
                <w:szCs w:val="16"/>
                <w:b w:val="1"/>
                <w:bCs w:val="1"/>
                <w:color w:val="auto"/>
              </w:rPr>
              <w:t>Variance</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240" w:type="dxa"/>
            <w:vAlign w:val="bottom"/>
            <w:tcBorders>
              <w:bottom w:val="single" w:sz="8" w:color="auto"/>
            </w:tcBorders>
            <w:gridSpan w:val="2"/>
          </w:tcPr>
          <w:p>
            <w:pPr>
              <w:ind w:left="40"/>
              <w:spacing w:after="0" w:line="229" w:lineRule="exact"/>
              <w:rPr>
                <w:sz w:val="20"/>
                <w:szCs w:val="20"/>
                <w:color w:val="auto"/>
              </w:rPr>
            </w:pPr>
            <w:r>
              <w:rPr>
                <w:rFonts w:ascii="Arial" w:cs="Arial" w:eastAsia="Arial" w:hAnsi="Arial"/>
                <w:sz w:val="16"/>
                <w:szCs w:val="16"/>
                <w:b w:val="1"/>
                <w:bCs w:val="1"/>
                <w:color w:val="auto"/>
              </w:rPr>
              <w:t xml:space="preserve">Average Volumes (in thousands of barrels per day) </w:t>
            </w:r>
            <w:r>
              <w:rPr>
                <w:rFonts w:ascii="Arial" w:cs="Arial" w:eastAsia="Arial" w:hAnsi="Arial"/>
                <w:sz w:val="20"/>
                <w:szCs w:val="20"/>
                <w:b w:val="1"/>
                <w:bCs w:val="1"/>
                <w:color w:val="auto"/>
                <w:vertAlign w:val="superscript"/>
              </w:rPr>
              <w:t>(4)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w w:val="89"/>
              </w:rPr>
              <w:t>Volumes</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5320" w:type="dxa"/>
            <w:vAlign w:val="bottom"/>
            <w:gridSpan w:val="3"/>
          </w:tcPr>
          <w:p>
            <w:pPr>
              <w:ind w:left="40"/>
              <w:spacing w:after="0"/>
              <w:rPr>
                <w:sz w:val="20"/>
                <w:szCs w:val="20"/>
                <w:color w:val="auto"/>
              </w:rPr>
            </w:pPr>
            <w:r>
              <w:rPr>
                <w:rFonts w:ascii="Arial" w:cs="Arial" w:eastAsia="Arial" w:hAnsi="Arial"/>
                <w:sz w:val="19"/>
                <w:szCs w:val="19"/>
                <w:color w:val="auto"/>
              </w:rPr>
              <w:t>NGL fractionation</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115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137</w:t>
            </w:r>
          </w:p>
        </w:tc>
        <w:tc>
          <w:tcPr>
            <w:tcW w:w="10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(22)</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(16)%</w:t>
            </w:r>
          </w:p>
        </w:tc>
        <w:tc>
          <w:tcPr>
            <w:tcW w:w="0" w:type="dxa"/>
            <w:vAlign w:val="bottom"/>
          </w:tcPr>
          <w:p>
            <w:pPr>
              <w:spacing w:after="0"/>
              <w:rPr>
                <w:sz w:val="1"/>
                <w:szCs w:val="1"/>
                <w:color w:val="auto"/>
              </w:rPr>
            </w:pPr>
          </w:p>
        </w:tc>
      </w:tr>
      <w:tr>
        <w:trPr>
          <w:trHeight w:val="585"/>
        </w:trPr>
        <w:tc>
          <w:tcPr>
            <w:tcW w:w="60" w:type="dxa"/>
            <w:vAlign w:val="bottom"/>
          </w:tcPr>
          <w:p>
            <w:pPr>
              <w:spacing w:after="0"/>
              <w:rPr>
                <w:sz w:val="24"/>
                <w:szCs w:val="24"/>
                <w:color w:val="auto"/>
              </w:rPr>
            </w:pPr>
          </w:p>
        </w:tc>
        <w:tc>
          <w:tcPr>
            <w:tcW w:w="5320" w:type="dxa"/>
            <w:vAlign w:val="bottom"/>
            <w:gridSpan w:val="3"/>
          </w:tcPr>
          <w:p>
            <w:pPr>
              <w:ind w:left="60"/>
              <w:spacing w:after="0"/>
              <w:rPr>
                <w:sz w:val="20"/>
                <w:szCs w:val="20"/>
                <w:color w:val="auto"/>
              </w:rPr>
            </w:pPr>
            <w:r>
              <w:rPr>
                <w:rFonts w:ascii="Arial" w:cs="Arial" w:eastAsia="Arial" w:hAnsi="Arial"/>
                <w:sz w:val="19"/>
                <w:szCs w:val="19"/>
                <w:color w:val="auto"/>
              </w:rPr>
              <w:t>NGL pipeline tariff</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180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192</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598"/>
        </w:trPr>
        <w:tc>
          <w:tcPr>
            <w:tcW w:w="60" w:type="dxa"/>
            <w:vAlign w:val="bottom"/>
          </w:tcPr>
          <w:p>
            <w:pPr>
              <w:spacing w:after="0"/>
              <w:rPr>
                <w:sz w:val="24"/>
                <w:szCs w:val="24"/>
                <w:color w:val="auto"/>
              </w:rPr>
            </w:pPr>
          </w:p>
        </w:tc>
        <w:tc>
          <w:tcPr>
            <w:tcW w:w="5320" w:type="dxa"/>
            <w:vAlign w:val="bottom"/>
            <w:gridSpan w:val="3"/>
          </w:tcPr>
          <w:p>
            <w:pPr>
              <w:ind w:left="40"/>
              <w:spacing w:after="0"/>
              <w:rPr>
                <w:sz w:val="20"/>
                <w:szCs w:val="20"/>
                <w:color w:val="auto"/>
              </w:rPr>
            </w:pPr>
            <w:r>
              <w:rPr>
                <w:rFonts w:ascii="Arial" w:cs="Arial" w:eastAsia="Arial" w:hAnsi="Arial"/>
                <w:sz w:val="19"/>
                <w:szCs w:val="19"/>
                <w:color w:val="auto"/>
              </w:rPr>
              <w:t>Propane and butane sales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86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94</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161"/>
        </w:trPr>
        <w:tc>
          <w:tcPr>
            <w:tcW w:w="6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4865370</wp:posOffset>
                </wp:positionH>
                <wp:positionV relativeFrom="paragraph">
                  <wp:posOffset>-3983355</wp:posOffset>
                </wp:positionV>
                <wp:extent cx="0" cy="241427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14270"/>
                        </a:xfrm>
                        <a:prstGeom prst="line">
                          <a:avLst/>
                        </a:prstGeom>
                        <a:solidFill>
                          <a:srgbClr val="FFFFFF"/>
                        </a:solidFill>
                        <a:ln w="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1pt,-313.6499pt" to="383.1pt,-123.5499pt" o:allowincell="f" strokecolor="#000000" strokeweight="0pt"/>
            </w:pict>
          </mc:Fallback>
        </mc:AlternateContent>
        <w:drawing>
          <wp:anchor simplePos="0" relativeHeight="251657728" behindDoc="1" locked="0" layoutInCell="0" allowOverlap="1">
            <wp:simplePos x="0" y="0"/>
            <wp:positionH relativeFrom="column">
              <wp:posOffset>24765</wp:posOffset>
            </wp:positionH>
            <wp:positionV relativeFrom="paragraph">
              <wp:posOffset>-1055370</wp:posOffset>
            </wp:positionV>
            <wp:extent cx="6302375" cy="953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
                      <a:extLst>
                        <a:ext uri="{28A0092B-C50C-407E-A947-70E740481C1C}"/>
                      </a:extLst>
                    </a:blip>
                    <a:srcRect/>
                    <a:stretch>
                      <a:fillRect/>
                    </a:stretch>
                  </pic:blipFill>
                  <pic:spPr bwMode="auto">
                    <a:xfrm>
                      <a:off x="0" y="0"/>
                      <a:ext cx="6302375" cy="95377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4865370</wp:posOffset>
                </wp:positionH>
                <wp:positionV relativeFrom="paragraph">
                  <wp:posOffset>-1042670</wp:posOffset>
                </wp:positionV>
                <wp:extent cx="0" cy="92837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28370"/>
                        </a:xfrm>
                        <a:prstGeom prst="line">
                          <a:avLst/>
                        </a:prstGeom>
                        <a:solidFill>
                          <a:srgbClr val="FFFFFF"/>
                        </a:solidFill>
                        <a:ln w="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1pt,-82.0999pt" to="383.1pt,-9pt" o:allowincell="f" strokecolor="#000000" strokeweight="0pt"/>
            </w:pict>
          </mc:Fallback>
        </mc:AlternateContent>
      </w:r>
    </w:p>
    <w:p>
      <w:pPr>
        <w:spacing w:after="0" w:line="124" w:lineRule="exact"/>
        <w:rPr>
          <w:sz w:val="20"/>
          <w:szCs w:val="20"/>
          <w:color w:val="auto"/>
        </w:rPr>
      </w:pPr>
    </w:p>
    <w:p>
      <w:pPr>
        <w:ind w:left="701" w:hanging="701"/>
        <w:spacing w:after="0"/>
        <w:tabs>
          <w:tab w:leader="none" w:pos="701" w:val="left"/>
        </w:tabs>
        <w:numPr>
          <w:ilvl w:val="0"/>
          <w:numId w:val="44"/>
        </w:numPr>
        <w:rPr>
          <w:rFonts w:ascii="Arial" w:cs="Arial" w:eastAsia="Arial" w:hAnsi="Arial"/>
          <w:sz w:val="19"/>
          <w:szCs w:val="19"/>
          <w:color w:val="auto"/>
        </w:rPr>
      </w:pPr>
      <w:r>
        <w:rPr>
          <w:rFonts w:ascii="Arial" w:cs="Arial" w:eastAsia="Arial" w:hAnsi="Arial"/>
          <w:sz w:val="19"/>
          <w:szCs w:val="19"/>
          <w:color w:val="auto"/>
        </w:rPr>
        <w:t>Indicates that variance as a percentage is not meaningful.</w:t>
      </w:r>
    </w:p>
    <w:p>
      <w:pPr>
        <w:sectPr>
          <w:pgSz w:w="11880" w:h="15480" w:orient="portrait"/>
          <w:cols w:equalWidth="0" w:num="1">
            <w:col w:w="9941"/>
          </w:cols>
          <w:pgMar w:left="939" w:top="676" w:right="1000" w:bottom="0" w:gutter="0" w:footer="0" w:header="0"/>
        </w:sectPr>
      </w:pPr>
    </w:p>
    <w:p>
      <w:pPr>
        <w:spacing w:after="0" w:line="114" w:lineRule="exact"/>
        <w:rPr>
          <w:sz w:val="20"/>
          <w:szCs w:val="20"/>
          <w:color w:val="auto"/>
        </w:rPr>
      </w:pPr>
    </w:p>
    <w:p>
      <w:pPr>
        <w:ind w:left="1"/>
        <w:spacing w:after="0"/>
        <w:rPr>
          <w:sz w:val="20"/>
          <w:szCs w:val="20"/>
          <w:color w:val="auto"/>
        </w:rPr>
      </w:pPr>
      <w:r>
        <w:rPr>
          <w:rFonts w:ascii="Arial" w:cs="Arial" w:eastAsia="Arial" w:hAnsi="Arial"/>
          <w:sz w:val="11"/>
          <w:szCs w:val="11"/>
          <w:color w:val="auto"/>
        </w:rPr>
        <w:t>(1)</w:t>
      </w:r>
    </w:p>
    <w:p>
      <w:pPr>
        <w:spacing w:after="0" w:line="224" w:lineRule="exact"/>
        <w:rPr>
          <w:sz w:val="20"/>
          <w:szCs w:val="20"/>
          <w:color w:val="auto"/>
        </w:rPr>
      </w:pPr>
    </w:p>
    <w:p>
      <w:pPr>
        <w:ind w:left="1"/>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color w:val="auto"/>
        </w:rPr>
        <w:t>Revenues and costs and expenses include intersegment amounts.</w:t>
      </w:r>
    </w:p>
    <w:p>
      <w:pPr>
        <w:spacing w:after="0" w:line="132" w:lineRule="exact"/>
        <w:rPr>
          <w:sz w:val="20"/>
          <w:szCs w:val="20"/>
          <w:color w:val="auto"/>
        </w:rPr>
      </w:pPr>
    </w:p>
    <w:p>
      <w:pPr>
        <w:jc w:val="both"/>
        <w:ind w:right="300"/>
        <w:spacing w:after="0" w:line="276" w:lineRule="auto"/>
        <w:rPr>
          <w:sz w:val="20"/>
          <w:szCs w:val="20"/>
          <w:color w:val="auto"/>
        </w:rPr>
      </w:pPr>
      <w:r>
        <w:rPr>
          <w:rFonts w:ascii="Arial" w:cs="Arial" w:eastAsia="Arial" w:hAnsi="Arial"/>
          <w:sz w:val="19"/>
          <w:szCs w:val="19"/>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47" w:lineRule="exact"/>
        <w:rPr>
          <w:sz w:val="20"/>
          <w:szCs w:val="20"/>
          <w:color w:val="auto"/>
        </w:rPr>
      </w:pPr>
    </w:p>
    <w:p>
      <w:pPr>
        <w:sectPr>
          <w:pgSz w:w="11880" w:h="15480" w:orient="portrait"/>
          <w:cols w:equalWidth="0" w:num="2">
            <w:col w:w="141" w:space="560"/>
            <w:col w:w="9240"/>
          </w:cols>
          <w:pgMar w:left="939" w:top="676" w:right="1000" w:bottom="0" w:gutter="0" w:footer="0" w:header="0"/>
          <w:type w:val="continuous"/>
        </w:sectPr>
      </w:pPr>
    </w:p>
    <w:p>
      <w:pPr>
        <w:ind w:left="1"/>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58" w:lineRule="exact"/>
        <w:rPr>
          <w:sz w:val="20"/>
          <w:szCs w:val="20"/>
          <w:color w:val="auto"/>
        </w:rPr>
      </w:pPr>
    </w:p>
    <w:p>
      <w:pPr>
        <w:ind w:left="1"/>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ind w:right="400"/>
        <w:spacing w:after="0" w:line="358" w:lineRule="auto"/>
        <w:rPr>
          <w:sz w:val="20"/>
          <w:szCs w:val="20"/>
          <w:color w:val="auto"/>
        </w:rPr>
      </w:pPr>
      <w:r>
        <w:rPr>
          <w:rFonts w:ascii="Arial" w:cs="Arial" w:eastAsia="Arial" w:hAnsi="Arial"/>
          <w:sz w:val="17"/>
          <w:szCs w:val="17"/>
          <w:color w:val="auto"/>
        </w:rPr>
        <w:t>Represents adjustments included in the performance measure utilized by our CODM in the evaluation of segment results. See Note 19 to our Consolidated Financial Statements for additional discussion of such adjustments.</w:t>
      </w:r>
    </w:p>
    <w:p>
      <w:pPr>
        <w:spacing w:after="0" w:line="2" w:lineRule="exact"/>
        <w:rPr>
          <w:sz w:val="20"/>
          <w:szCs w:val="20"/>
          <w:color w:val="auto"/>
        </w:rPr>
      </w:pPr>
    </w:p>
    <w:p>
      <w:pPr>
        <w:ind w:right="40"/>
        <w:spacing w:after="0" w:line="295" w:lineRule="auto"/>
        <w:rPr>
          <w:sz w:val="20"/>
          <w:szCs w:val="20"/>
          <w:color w:val="auto"/>
        </w:rPr>
      </w:pPr>
      <w:r>
        <w:rPr>
          <w:rFonts w:ascii="Arial" w:cs="Arial" w:eastAsia="Arial" w:hAnsi="Arial"/>
          <w:sz w:val="19"/>
          <w:szCs w:val="19"/>
          <w:color w:val="auto"/>
        </w:rPr>
        <w:t>Average daily volumes are calculated as total volumes (attributable to our interest for assets owned through undivided joint interests) for the year divided by the number of days in the year.</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Segment Adjusted EBITDA</w:t>
      </w:r>
    </w:p>
    <w:p>
      <w:pPr>
        <w:spacing w:after="0" w:line="200" w:lineRule="exact"/>
        <w:rPr>
          <w:sz w:val="20"/>
          <w:szCs w:val="20"/>
          <w:color w:val="auto"/>
        </w:rPr>
      </w:pPr>
    </w:p>
    <w:p>
      <w:pPr>
        <w:sectPr>
          <w:pgSz w:w="11880" w:h="15480" w:orient="portrait"/>
          <w:cols w:equalWidth="0" w:num="2">
            <w:col w:w="141" w:space="560"/>
            <w:col w:w="9240"/>
          </w:cols>
          <w:pgMar w:left="939" w:top="676" w:right="1000" w:bottom="0" w:gutter="0" w:footer="0" w:header="0"/>
          <w:type w:val="continuous"/>
        </w:sectPr>
      </w:pPr>
    </w:p>
    <w:p>
      <w:pPr>
        <w:spacing w:after="0" w:line="51" w:lineRule="exact"/>
        <w:rPr>
          <w:sz w:val="20"/>
          <w:szCs w:val="20"/>
          <w:color w:val="auto"/>
        </w:rPr>
      </w:pPr>
    </w:p>
    <w:p>
      <w:pPr>
        <w:ind w:left="1" w:right="240" w:firstLine="702"/>
        <w:spacing w:after="0" w:line="266" w:lineRule="auto"/>
        <w:rPr>
          <w:sz w:val="20"/>
          <w:szCs w:val="20"/>
          <w:color w:val="auto"/>
        </w:rPr>
      </w:pPr>
      <w:r>
        <w:rPr>
          <w:rFonts w:ascii="Arial" w:cs="Arial" w:eastAsia="Arial" w:hAnsi="Arial"/>
          <w:sz w:val="19"/>
          <w:szCs w:val="19"/>
          <w:color w:val="auto"/>
        </w:rPr>
        <w:t>NGL Segment Adjusted EBITDA for the year ended December 31, 2023 was in line with results for the year ended December 31, 2022, primarily due to (i) favorable NGL basis differentials and (ii) additional market-based opportunities, largely offset by (iii) lower straddle production driven by turnarounds at a third-party facility, (iv) increased field operating costs and (v) the impact of the sale of our ownership interest in the Keyera Fort Saskatchewan facility in the first quarter of 2023.</w:t>
      </w:r>
    </w:p>
    <w:p>
      <w:pPr>
        <w:spacing w:after="0" w:line="193" w:lineRule="exact"/>
        <w:rPr>
          <w:sz w:val="20"/>
          <w:szCs w:val="20"/>
          <w:color w:val="auto"/>
        </w:rPr>
      </w:pPr>
    </w:p>
    <w:p>
      <w:pPr>
        <w:ind w:left="701"/>
        <w:spacing w:after="0"/>
        <w:rPr>
          <w:sz w:val="20"/>
          <w:szCs w:val="20"/>
          <w:color w:val="auto"/>
        </w:rPr>
      </w:pPr>
      <w:r>
        <w:rPr>
          <w:rFonts w:ascii="Arial" w:cs="Arial" w:eastAsia="Arial" w:hAnsi="Arial"/>
          <w:sz w:val="19"/>
          <w:szCs w:val="19"/>
          <w:color w:val="auto"/>
        </w:rPr>
        <w:t>Significant variances in the components of Segment Adjusted EBITDA are discussed in more detail below:</w:t>
      </w:r>
    </w:p>
    <w:p>
      <w:pPr>
        <w:sectPr>
          <w:pgSz w:w="11880" w:h="15480" w:orient="portrait"/>
          <w:cols w:equalWidth="0" w:num="1">
            <w:col w:w="9941"/>
          </w:cols>
          <w:pgMar w:left="939" w:top="676" w:right="1000" w:bottom="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81</w:t>
      </w:r>
    </w:p>
    <w:p>
      <w:pPr>
        <w:sectPr>
          <w:pgSz w:w="11880" w:h="15480" w:orient="portrait"/>
          <w:cols w:equalWidth="0" w:num="1">
            <w:col w:w="9941"/>
          </w:cols>
          <w:pgMar w:left="939" w:top="676" w:right="1000" w:bottom="0" w:gutter="0" w:footer="0" w:header="0"/>
          <w:type w:val="continuous"/>
        </w:sectPr>
      </w:pPr>
    </w:p>
    <w:bookmarkStart w:id="81" w:name="page82"/>
    <w:bookmarkEnd w:id="81"/>
    <w:p>
      <w:pPr>
        <w:ind w:left="80" w:firstLine="702"/>
        <w:spacing w:after="0" w:line="279"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Net revenues include the impact of derivative activities and long-term inventory costing adjustments,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are excluded from Segment Adjusted EBITDA and thus are reflected as an “Adjustment” in the table above. Excluding such impacts, net revenues increased for the year ended December 31, 2023 compared to the year ended December 31, 2022 primarily due to (i) favorable NGL basis differentials, (ii) additional market-based opportunities and (iii) higher processing revenues at our Empress straddle plants resulting from a commercial agreement executed in conjunction with the increase in our Empress ownership in the fourth quarter of 2022. This was partially offset by (iv) lower straddle production driven by turnarounds at a third-party facility, (v) the impact of the sale of our ownership interest in the Keyera Fort Saskatchewan facility in the first quarter of 2023 and (vi) higher gains at certain of our NGL facilities in 2022.</w:t>
      </w:r>
    </w:p>
    <w:p>
      <w:pPr>
        <w:spacing w:after="0" w:line="181" w:lineRule="exact"/>
        <w:rPr>
          <w:sz w:val="20"/>
          <w:szCs w:val="20"/>
          <w:color w:val="auto"/>
        </w:rPr>
      </w:pPr>
    </w:p>
    <w:p>
      <w:pPr>
        <w:ind w:left="80" w:right="40" w:firstLine="702"/>
        <w:spacing w:after="0" w:line="282" w:lineRule="auto"/>
        <w:rPr>
          <w:sz w:val="20"/>
          <w:szCs w:val="20"/>
          <w:color w:val="auto"/>
        </w:rPr>
      </w:pPr>
      <w:r>
        <w:rPr>
          <w:rFonts w:ascii="Arial" w:cs="Arial" w:eastAsia="Arial" w:hAnsi="Arial"/>
          <w:sz w:val="18"/>
          <w:szCs w:val="18"/>
          <w:b w:val="1"/>
          <w:bCs w:val="1"/>
          <w:i w:val="1"/>
          <w:iCs w:val="1"/>
          <w:color w:val="auto"/>
        </w:rPr>
        <w:t xml:space="preserve">Field Operating Costs. </w:t>
      </w:r>
      <w:r>
        <w:rPr>
          <w:rFonts w:ascii="Arial" w:cs="Arial" w:eastAsia="Arial" w:hAnsi="Arial"/>
          <w:sz w:val="18"/>
          <w:szCs w:val="18"/>
          <w:color w:val="auto"/>
        </w:rPr>
        <w:t>The increase in field operating costs for the year ended December 31, 2023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2022 was primarily due to (i) an increase in unrealized mark-to-market losses on power hedges (which impact our field operating costs but are excluded from Segment Adjusted EBITDA and thus are reflected as an “Adjustment” in the table above) and (ii) increased utilities-related costs largely as a result of the increase in our Empress ownership in the fourth quarter of 2022 and higher prices. The increase in utilities-related costs was largely offset by the benefit to net revenues from operating cost recoveries realized through commercial agreements.</w:t>
      </w:r>
    </w:p>
    <w:p>
      <w:pPr>
        <w:spacing w:after="0" w:line="179" w:lineRule="exact"/>
        <w:rPr>
          <w:sz w:val="20"/>
          <w:szCs w:val="20"/>
          <w:color w:val="auto"/>
        </w:rPr>
      </w:pPr>
    </w:p>
    <w:p>
      <w:pPr>
        <w:ind w:left="780"/>
        <w:spacing w:after="0"/>
        <w:rPr>
          <w:sz w:val="20"/>
          <w:szCs w:val="20"/>
          <w:color w:val="auto"/>
        </w:rPr>
      </w:pPr>
      <w:r>
        <w:rPr>
          <w:rFonts w:ascii="Arial" w:cs="Arial" w:eastAsia="Arial" w:hAnsi="Arial"/>
          <w:sz w:val="19"/>
          <w:szCs w:val="19"/>
          <w:b w:val="1"/>
          <w:bCs w:val="1"/>
          <w:i w:val="1"/>
          <w:iCs w:val="1"/>
          <w:color w:val="auto"/>
        </w:rPr>
        <w:t>Maintenance Capital</w:t>
      </w:r>
    </w:p>
    <w:p>
      <w:pPr>
        <w:spacing w:after="0" w:line="251" w:lineRule="exact"/>
        <w:rPr>
          <w:sz w:val="20"/>
          <w:szCs w:val="20"/>
          <w:color w:val="auto"/>
        </w:rPr>
      </w:pPr>
    </w:p>
    <w:p>
      <w:pPr>
        <w:ind w:left="80" w:right="480" w:firstLine="702"/>
        <w:spacing w:after="0" w:line="276" w:lineRule="auto"/>
        <w:rPr>
          <w:sz w:val="20"/>
          <w:szCs w:val="20"/>
          <w:color w:val="auto"/>
        </w:rPr>
      </w:pPr>
      <w:r>
        <w:rPr>
          <w:rFonts w:ascii="Arial" w:cs="Arial" w:eastAsia="Arial" w:hAnsi="Arial"/>
          <w:sz w:val="19"/>
          <w:szCs w:val="19"/>
          <w:color w:val="auto"/>
        </w:rPr>
        <w:t>The decrease in maintenance capital spending for the year ended December 31, 2023 compared to the year ended December 31, 2022 was primarily due a scheduled turnaround at our Empress facility during 2022, partially offset by an increase in routine integrity activities.</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Liquidity and Capital Resources</w:t>
      </w:r>
    </w:p>
    <w:p>
      <w:pPr>
        <w:spacing w:after="0" w:line="249" w:lineRule="exact"/>
        <w:rPr>
          <w:sz w:val="20"/>
          <w:szCs w:val="20"/>
          <w:color w:val="auto"/>
        </w:rPr>
      </w:pPr>
    </w:p>
    <w:p>
      <w:pPr>
        <w:ind w:left="80"/>
        <w:spacing w:after="0"/>
        <w:rPr>
          <w:sz w:val="20"/>
          <w:szCs w:val="20"/>
          <w:color w:val="auto"/>
        </w:rPr>
      </w:pPr>
      <w:r>
        <w:rPr>
          <w:rFonts w:ascii="Arial" w:cs="Arial" w:eastAsia="Arial" w:hAnsi="Arial"/>
          <w:sz w:val="19"/>
          <w:szCs w:val="19"/>
          <w:b w:val="1"/>
          <w:bCs w:val="1"/>
          <w:i w:val="1"/>
          <w:iCs w:val="1"/>
          <w:color w:val="auto"/>
        </w:rPr>
        <w:t>General</w:t>
      </w:r>
    </w:p>
    <w:p>
      <w:pPr>
        <w:spacing w:after="0" w:line="257" w:lineRule="exact"/>
        <w:rPr>
          <w:sz w:val="20"/>
          <w:szCs w:val="20"/>
          <w:color w:val="auto"/>
        </w:rPr>
      </w:pPr>
    </w:p>
    <w:p>
      <w:pPr>
        <w:ind w:left="80" w:right="100" w:firstLine="702"/>
        <w:spacing w:after="0" w:line="291" w:lineRule="auto"/>
        <w:rPr>
          <w:sz w:val="20"/>
          <w:szCs w:val="20"/>
          <w:color w:val="auto"/>
        </w:rPr>
      </w:pPr>
      <w:r>
        <w:rPr>
          <w:rFonts w:ascii="Arial" w:cs="Arial" w:eastAsia="Arial" w:hAnsi="Arial"/>
          <w:sz w:val="17"/>
          <w:szCs w:val="17"/>
          <w:color w:val="auto"/>
        </w:rPr>
        <w:t>Our primary sources of liquidity are (i) cash flow from operating activities and (ii) borrowings under PAA’s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long-term debt and</w:t>
      </w:r>
    </w:p>
    <w:p>
      <w:pPr>
        <w:spacing w:after="0" w:line="2" w:lineRule="exact"/>
        <w:rPr>
          <w:sz w:val="20"/>
          <w:szCs w:val="20"/>
          <w:color w:val="auto"/>
        </w:rPr>
      </w:pPr>
    </w:p>
    <w:p>
      <w:pPr>
        <w:ind w:left="80" w:right="100" w:hanging="1"/>
        <w:spacing w:after="0" w:line="279" w:lineRule="auto"/>
        <w:tabs>
          <w:tab w:leader="none" w:pos="356"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distributions to our Class A shareholders and noncontrolling interests. In addition, we may use cash for repurchases of common equity. We generally expect to fund our short-term cash requirements through cash flow generated from operating activities and/or borrowings under credit facilities or PAA’s commercial paper program. In addition, we generally expect to fund our long-term needs, such as those resulting from investment capital activities, acquisitions or refinancing long-term debt, through a variety of sources, which may include any or a combination of the sources listed above.</w:t>
      </w:r>
    </w:p>
    <w:p>
      <w:pPr>
        <w:spacing w:after="0" w:line="181" w:lineRule="exact"/>
        <w:rPr>
          <w:sz w:val="20"/>
          <w:szCs w:val="20"/>
          <w:color w:val="auto"/>
        </w:rPr>
      </w:pPr>
    </w:p>
    <w:p>
      <w:pPr>
        <w:ind w:left="80" w:right="140" w:firstLine="702"/>
        <w:spacing w:after="0" w:line="276" w:lineRule="auto"/>
        <w:rPr>
          <w:sz w:val="20"/>
          <w:szCs w:val="20"/>
          <w:color w:val="auto"/>
        </w:rPr>
      </w:pPr>
      <w:r>
        <w:rPr>
          <w:rFonts w:ascii="Arial" w:cs="Arial" w:eastAsia="Arial" w:hAnsi="Arial"/>
          <w:sz w:val="19"/>
          <w:szCs w:val="19"/>
          <w:color w:val="auto"/>
        </w:rPr>
        <w:t>As of December 31, 2023, although we had a working capital deficit of $89 million, we had over $2.6 billion of liquidity available to meet our ongoing operating, investing and financing needs, subject to continued covenant compliance, as noted below (in millions):</w:t>
      </w:r>
    </w:p>
    <w:p>
      <w:pPr>
        <w:sectPr>
          <w:pgSz w:w="11880" w:h="15480" w:orient="portrait"/>
          <w:cols w:equalWidth="0" w:num="1">
            <w:col w:w="10080"/>
          </w:cols>
          <w:pgMar w:left="860" w:top="90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3"/>
          <w:szCs w:val="23"/>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-175260</wp:posOffset>
            </wp:positionV>
            <wp:extent cx="6376670" cy="10960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1">
                      <a:extLst>
                        <a:ext uri="{28A0092B-C50C-407E-A947-70E740481C1C}"/>
                      </a:extLst>
                    </a:blip>
                    <a:srcRect/>
                    <a:stretch>
                      <a:fillRect/>
                    </a:stretch>
                  </pic:blipFill>
                  <pic:spPr bwMode="auto">
                    <a:xfrm>
                      <a:off x="0" y="0"/>
                      <a:ext cx="6376670" cy="1096010"/>
                    </a:xfrm>
                    <a:prstGeom prst="rect">
                      <a:avLst/>
                    </a:prstGeom>
                    <a:noFill/>
                  </pic:spPr>
                </pic:pic>
              </a:graphicData>
            </a:graphic>
          </wp:anchor>
        </w:drawing>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3"/>
          <w:szCs w:val="23"/>
          <w:color w:val="auto"/>
          <w:vertAlign w:val="superscript"/>
        </w:rPr>
        <w:t>(1) (2)</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Amounts outstanding under PAA commercial paper program</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9"/>
          <w:szCs w:val="19"/>
          <w:color w:val="auto"/>
        </w:rPr>
        <w:t>Subtotal</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9"/>
          <w:szCs w:val="19"/>
          <w:color w:val="auto"/>
        </w:rPr>
        <w:t xml:space="preserve">Cash and cash equivalents </w:t>
      </w:r>
      <w:r>
        <w:rPr>
          <w:rFonts w:ascii="Arial" w:cs="Arial" w:eastAsia="Arial" w:hAnsi="Arial"/>
          <w:sz w:val="25"/>
          <w:szCs w:val="25"/>
          <w:color w:val="auto"/>
          <w:vertAlign w:val="superscript"/>
        </w:rPr>
        <w:t>(3)</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9"/>
          <w:szCs w:val="19"/>
          <w:color w:val="auto"/>
        </w:rPr>
        <w:t>Total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50165</wp:posOffset>
                </wp:positionH>
                <wp:positionV relativeFrom="paragraph">
                  <wp:posOffset>123825</wp:posOffset>
                </wp:positionV>
                <wp:extent cx="219075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07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5pt,9.75pt" to="176.45pt,9.75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As of</w:t>
      </w:r>
    </w:p>
    <w:p>
      <w:pPr>
        <w:jc w:val="center"/>
        <w:ind w:right="40"/>
        <w:spacing w:after="0"/>
        <w:rPr>
          <w:sz w:val="20"/>
          <w:szCs w:val="20"/>
          <w:color w:val="auto"/>
        </w:rPr>
      </w:pPr>
      <w:r>
        <w:rPr>
          <w:rFonts w:ascii="Arial" w:cs="Arial" w:eastAsia="Arial" w:hAnsi="Arial"/>
          <w:sz w:val="14"/>
          <w:szCs w:val="14"/>
          <w:b w:val="1"/>
          <w:bCs w:val="1"/>
          <w:u w:val="single" w:color="auto"/>
          <w:color w:val="auto"/>
        </w:rPr>
        <w:t>December 31, 2023</w:t>
      </w:r>
    </w:p>
    <w:p>
      <w:pPr>
        <w:spacing w:after="0" w:line="52" w:lineRule="exact"/>
        <w:rPr>
          <w:sz w:val="20"/>
          <w:szCs w:val="20"/>
          <w:color w:val="auto"/>
        </w:rPr>
      </w:pPr>
    </w:p>
    <w:p>
      <w:pPr>
        <w:ind w:left="820" w:hanging="817"/>
        <w:spacing w:after="0"/>
        <w:tabs>
          <w:tab w:leader="none" w:pos="8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1,350</w:t>
      </w:r>
    </w:p>
    <w:p>
      <w:pPr>
        <w:spacing w:after="0" w:line="59" w:lineRule="exact"/>
        <w:rPr>
          <w:rFonts w:ascii="Arial" w:cs="Arial" w:eastAsia="Arial" w:hAnsi="Arial"/>
          <w:sz w:val="19"/>
          <w:szCs w:val="19"/>
          <w:color w:val="auto"/>
        </w:rPr>
      </w:pPr>
    </w:p>
    <w:p>
      <w:pPr>
        <w:ind w:left="820"/>
        <w:spacing w:after="0"/>
        <w:rPr>
          <w:rFonts w:ascii="Arial" w:cs="Arial" w:eastAsia="Arial" w:hAnsi="Arial"/>
          <w:sz w:val="19"/>
          <w:szCs w:val="19"/>
          <w:color w:val="auto"/>
        </w:rPr>
      </w:pPr>
      <w:r>
        <w:rPr>
          <w:rFonts w:ascii="Arial" w:cs="Arial" w:eastAsia="Arial" w:hAnsi="Arial"/>
          <w:sz w:val="19"/>
          <w:szCs w:val="19"/>
          <w:color w:val="auto"/>
        </w:rPr>
        <w:t>1,279</w:t>
      </w:r>
    </w:p>
    <w:p>
      <w:pPr>
        <w:spacing w:after="0" w:line="59" w:lineRule="exact"/>
        <w:rPr>
          <w:rFonts w:ascii="Arial" w:cs="Arial" w:eastAsia="Arial" w:hAnsi="Arial"/>
          <w:sz w:val="19"/>
          <w:szCs w:val="19"/>
          <w:color w:val="auto"/>
        </w:rPr>
      </w:pPr>
    </w:p>
    <w:p>
      <w:pPr>
        <w:ind w:left="900"/>
        <w:spacing w:after="0"/>
        <w:rPr>
          <w:rFonts w:ascii="Arial" w:cs="Arial" w:eastAsia="Arial" w:hAnsi="Arial"/>
          <w:sz w:val="19"/>
          <w:szCs w:val="19"/>
          <w:color w:val="auto"/>
        </w:rPr>
      </w:pPr>
      <w:r>
        <w:rPr>
          <w:rFonts w:ascii="Arial" w:cs="Arial" w:eastAsia="Arial" w:hAnsi="Arial"/>
          <w:sz w:val="17"/>
          <w:szCs w:val="17"/>
          <w:color w:val="auto"/>
        </w:rPr>
        <w:t>(433)</w:t>
      </w:r>
    </w:p>
    <w:p>
      <w:pPr>
        <w:spacing w:after="0" w:line="82" w:lineRule="exact"/>
        <w:rPr>
          <w:rFonts w:ascii="Arial" w:cs="Arial" w:eastAsia="Arial" w:hAnsi="Arial"/>
          <w:sz w:val="19"/>
          <w:szCs w:val="19"/>
          <w:color w:val="auto"/>
        </w:rPr>
      </w:pPr>
    </w:p>
    <w:p>
      <w:pPr>
        <w:ind w:left="820"/>
        <w:spacing w:after="0"/>
        <w:rPr>
          <w:rFonts w:ascii="Arial" w:cs="Arial" w:eastAsia="Arial" w:hAnsi="Arial"/>
          <w:sz w:val="19"/>
          <w:szCs w:val="19"/>
          <w:color w:val="auto"/>
        </w:rPr>
      </w:pPr>
      <w:r>
        <w:rPr>
          <w:rFonts w:ascii="Arial" w:cs="Arial" w:eastAsia="Arial" w:hAnsi="Arial"/>
          <w:sz w:val="19"/>
          <w:szCs w:val="19"/>
          <w:color w:val="auto"/>
        </w:rPr>
        <w:t>2,196</w:t>
      </w:r>
    </w:p>
    <w:p>
      <w:pPr>
        <w:spacing w:after="0" w:line="59" w:lineRule="exact"/>
        <w:rPr>
          <w:rFonts w:ascii="Arial" w:cs="Arial" w:eastAsia="Arial" w:hAnsi="Arial"/>
          <w:sz w:val="19"/>
          <w:szCs w:val="19"/>
          <w:color w:val="auto"/>
        </w:rPr>
      </w:pPr>
    </w:p>
    <w:p>
      <w:pPr>
        <w:ind w:left="960"/>
        <w:spacing w:after="0"/>
        <w:rPr>
          <w:rFonts w:ascii="Arial" w:cs="Arial" w:eastAsia="Arial" w:hAnsi="Arial"/>
          <w:sz w:val="19"/>
          <w:szCs w:val="19"/>
          <w:color w:val="auto"/>
        </w:rPr>
      </w:pPr>
      <w:r>
        <w:rPr>
          <w:rFonts w:ascii="Arial" w:cs="Arial" w:eastAsia="Arial" w:hAnsi="Arial"/>
          <w:sz w:val="19"/>
          <w:szCs w:val="19"/>
          <w:color w:val="auto"/>
        </w:rPr>
        <w:t>447</w:t>
      </w:r>
    </w:p>
    <w:p>
      <w:pPr>
        <w:spacing w:after="0" w:line="59" w:lineRule="exact"/>
        <w:rPr>
          <w:sz w:val="20"/>
          <w:szCs w:val="20"/>
          <w:color w:val="auto"/>
        </w:rPr>
      </w:pPr>
    </w:p>
    <w:p>
      <w:pPr>
        <w:ind w:left="820" w:hanging="817"/>
        <w:spacing w:after="0"/>
        <w:tabs>
          <w:tab w:leader="none" w:pos="8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2,643</w:t>
      </w:r>
    </w:p>
    <w:p>
      <w:pPr>
        <w:spacing w:after="0" w:line="223" w:lineRule="exact"/>
        <w:rPr>
          <w:sz w:val="20"/>
          <w:szCs w:val="20"/>
          <w:color w:val="auto"/>
        </w:rPr>
      </w:pPr>
    </w:p>
    <w:p>
      <w:pPr>
        <w:sectPr>
          <w:pgSz w:w="11880" w:h="15480" w:orient="portrait"/>
          <w:cols w:equalWidth="0" w:num="2">
            <w:col w:w="8020" w:space="720"/>
            <w:col w:w="1340"/>
          </w:cols>
          <w:pgMar w:left="860" w:top="908" w:right="940" w:bottom="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340"/>
        <w:spacing w:after="0" w:line="295" w:lineRule="auto"/>
        <w:rPr>
          <w:sz w:val="20"/>
          <w:szCs w:val="20"/>
          <w:color w:val="auto"/>
        </w:rPr>
      </w:pPr>
      <w:r>
        <w:rPr>
          <w:rFonts w:ascii="Arial" w:cs="Arial" w:eastAsia="Arial" w:hAnsi="Arial"/>
          <w:sz w:val="19"/>
          <w:szCs w:val="19"/>
          <w:color w:val="auto"/>
        </w:rPr>
        <w:t>Represents availability prior to giving effect to borrowings outstanding under the PAA commercial paper program, which reduce available capacity under the facilities.</w:t>
      </w:r>
    </w:p>
    <w:p>
      <w:pPr>
        <w:spacing w:after="0" w:line="48" w:lineRule="exact"/>
        <w:rPr>
          <w:sz w:val="20"/>
          <w:szCs w:val="20"/>
          <w:color w:val="auto"/>
        </w:rPr>
      </w:pPr>
    </w:p>
    <w:p>
      <w:pPr>
        <w:ind w:right="180"/>
        <w:spacing w:after="0" w:line="276" w:lineRule="auto"/>
        <w:rPr>
          <w:sz w:val="20"/>
          <w:szCs w:val="20"/>
          <w:color w:val="auto"/>
        </w:rPr>
      </w:pPr>
      <w:r>
        <w:rPr>
          <w:rFonts w:ascii="Arial" w:cs="Arial" w:eastAsia="Arial" w:hAnsi="Arial"/>
          <w:sz w:val="19"/>
          <w:szCs w:val="19"/>
          <w:color w:val="auto"/>
        </w:rPr>
        <w:t>Available capacity under the PAA senior unsecured revolving credit facility and the PAA senior secured hedged inventory facility was reduced by outstanding letters of credit issued under these facilities of less than $1 million and $71 million, respectively.</w:t>
      </w:r>
    </w:p>
    <w:p>
      <w:pPr>
        <w:spacing w:after="0" w:line="200" w:lineRule="exact"/>
        <w:rPr>
          <w:sz w:val="20"/>
          <w:szCs w:val="20"/>
          <w:color w:val="auto"/>
        </w:rPr>
      </w:pPr>
    </w:p>
    <w:p>
      <w:pPr>
        <w:sectPr>
          <w:pgSz w:w="11880" w:h="15480" w:orient="portrait"/>
          <w:cols w:equalWidth="0" w:num="2">
            <w:col w:w="140" w:space="640"/>
            <w:col w:w="9300"/>
          </w:cols>
          <w:pgMar w:left="860" w:top="908" w:right="940" w:bottom="0" w:gutter="0" w:footer="0" w:header="0"/>
          <w:type w:val="continuous"/>
        </w:sectPr>
      </w:pP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82</w:t>
      </w:r>
    </w:p>
    <w:p>
      <w:pPr>
        <w:sectPr>
          <w:pgSz w:w="11880" w:h="15480" w:orient="portrait"/>
          <w:cols w:equalWidth="0" w:num="1">
            <w:col w:w="10080"/>
          </w:cols>
          <w:pgMar w:left="860" w:top="908" w:right="940" w:bottom="0" w:gutter="0" w:footer="0" w:header="0"/>
          <w:type w:val="continuous"/>
        </w:sectPr>
      </w:pPr>
    </w:p>
    <w:bookmarkStart w:id="82" w:name="page83"/>
    <w:bookmarkEnd w:id="82"/>
    <w:p>
      <w:pPr>
        <w:ind w:left="789" w:hanging="789"/>
        <w:spacing w:after="0"/>
        <w:tabs>
          <w:tab w:leader="none" w:pos="789" w:val="left"/>
        </w:tabs>
        <w:numPr>
          <w:ilvl w:val="0"/>
          <w:numId w:val="48"/>
        </w:numPr>
        <w:rPr>
          <w:rFonts w:ascii="Arial" w:cs="Arial" w:eastAsia="Arial" w:hAnsi="Arial"/>
          <w:sz w:val="25"/>
          <w:szCs w:val="25"/>
          <w:color w:val="auto"/>
          <w:vertAlign w:val="superscript"/>
        </w:rPr>
      </w:pPr>
      <w:r>
        <w:rPr>
          <w:rFonts w:ascii="Arial" w:cs="Arial" w:eastAsia="Arial" w:hAnsi="Arial"/>
          <w:sz w:val="19"/>
          <w:szCs w:val="19"/>
          <w:color w:val="auto"/>
        </w:rPr>
        <w:t>Excludes restricted cash of $6 million.</w:t>
      </w:r>
    </w:p>
    <w:p>
      <w:pPr>
        <w:spacing w:after="0" w:line="214" w:lineRule="exact"/>
        <w:rPr>
          <w:sz w:val="20"/>
          <w:szCs w:val="20"/>
          <w:color w:val="auto"/>
        </w:rPr>
      </w:pPr>
    </w:p>
    <w:p>
      <w:pPr>
        <w:ind w:left="89" w:right="60" w:firstLine="702"/>
        <w:spacing w:after="0" w:line="266" w:lineRule="auto"/>
        <w:rPr>
          <w:sz w:val="20"/>
          <w:szCs w:val="20"/>
          <w:color w:val="auto"/>
        </w:rPr>
      </w:pPr>
      <w:r>
        <w:rPr>
          <w:rFonts w:ascii="Arial" w:cs="Arial" w:eastAsia="Arial" w:hAnsi="Arial"/>
          <w:sz w:val="19"/>
          <w:szCs w:val="19"/>
          <w:color w:val="auto"/>
        </w:rPr>
        <w:t>Usage of PAA’s credit facilities, which provide the financial backstop for PAA’s commercial paper program, is subject to ongoing compliance with covenants, as discussed further below. PAA’s borrowing capacity and borrowing costs are also impacted by its credit rating. See Item 1A. “Risk Factors—Risks Related to PAA’s Business—Loss of PAA’s investment grade credit rating or the ability to receive open credit could negatively affect its borrowing costs, ability to purchase crude oil, NGL and natural gas supplies or to capitalize on market opportunities.”</w:t>
      </w:r>
    </w:p>
    <w:p>
      <w:pPr>
        <w:spacing w:after="0" w:line="193" w:lineRule="exact"/>
        <w:rPr>
          <w:sz w:val="20"/>
          <w:szCs w:val="20"/>
          <w:color w:val="auto"/>
        </w:rPr>
      </w:pPr>
    </w:p>
    <w:p>
      <w:pPr>
        <w:ind w:left="89" w:right="60" w:firstLine="702"/>
        <w:spacing w:after="0" w:line="261" w:lineRule="auto"/>
        <w:rPr>
          <w:sz w:val="20"/>
          <w:szCs w:val="20"/>
          <w:color w:val="auto"/>
        </w:rPr>
      </w:pPr>
      <w:r>
        <w:rPr>
          <w:rFonts w:ascii="Arial" w:cs="Arial" w:eastAsia="Arial" w:hAnsi="Arial"/>
          <w:sz w:val="19"/>
          <w:szCs w:val="19"/>
          <w:color w:val="auto"/>
        </w:rPr>
        <w:t>We believe that we have, and will continue to have, the ability to access PAA’s commercial paper program and credit facilities, which we use to meet our short-term cash needs. We believe that our financial position remains strong and we have sufficient liquid assets, cash flow from operating activities and borrowing capacity under PAA’s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OPEC. A prolonged material decrease in our cash flows would likely produce an adverse effect on our borrowing capacity and cost of borrowing. See Item 1A. “Risk Factors” for further discussion regarding risks that may impact our liquidity and capital resources.</w:t>
      </w:r>
    </w:p>
    <w:p>
      <w:pPr>
        <w:spacing w:after="0" w:line="194" w:lineRule="exact"/>
        <w:rPr>
          <w:sz w:val="20"/>
          <w:szCs w:val="20"/>
          <w:color w:val="auto"/>
        </w:rPr>
      </w:pPr>
    </w:p>
    <w:p>
      <w:pPr>
        <w:ind w:left="789"/>
        <w:spacing w:after="0"/>
        <w:rPr>
          <w:sz w:val="20"/>
          <w:szCs w:val="20"/>
          <w:color w:val="auto"/>
        </w:rPr>
      </w:pPr>
      <w:r>
        <w:rPr>
          <w:rFonts w:ascii="Arial" w:cs="Arial" w:eastAsia="Arial" w:hAnsi="Arial"/>
          <w:sz w:val="19"/>
          <w:szCs w:val="19"/>
          <w:b w:val="1"/>
          <w:bCs w:val="1"/>
          <w:color w:val="auto"/>
        </w:rPr>
        <w:t>Credit Agreements, Commercial Paper Program and Indentures</w:t>
      </w:r>
    </w:p>
    <w:p>
      <w:pPr>
        <w:spacing w:after="0" w:line="257" w:lineRule="exact"/>
        <w:rPr>
          <w:sz w:val="20"/>
          <w:szCs w:val="20"/>
          <w:color w:val="auto"/>
        </w:rPr>
      </w:pPr>
    </w:p>
    <w:p>
      <w:pPr>
        <w:ind w:left="89" w:right="40" w:firstLine="702"/>
        <w:spacing w:after="0" w:line="277" w:lineRule="auto"/>
        <w:rPr>
          <w:sz w:val="20"/>
          <w:szCs w:val="20"/>
          <w:color w:val="auto"/>
        </w:rPr>
      </w:pPr>
      <w:r>
        <w:rPr>
          <w:rFonts w:ascii="Arial" w:cs="Arial" w:eastAsia="Arial" w:hAnsi="Arial"/>
          <w:sz w:val="18"/>
          <w:szCs w:val="18"/>
          <w:color w:val="auto"/>
        </w:rPr>
        <w:t>PAA has three primary credit arrangements, which we use to meet our short-term cash needs. These include PAA’s $1.35 billion senior unsecured revolving credit facility maturing in 2028 (excluding a commitment of $64 million, which matures in 2027), $1.35 billion senior secured hedged inventory facility maturing in 2026 and $2.7 billion unsecured commercial paper program that is backstopped by PAA’s revolving credit facility and its hedged inventory facility. The credit agreements for PAA’s revolving credit facilities (which impact PAA’s ability to access its commercial paper program because they provide the financial backstop that supports PAA’s short-term credit ratings) and the indentures governing its senior notes contain cross-default provisions. A default under PAA’s credit agreements or indentures would permit the lenders to accelerate the maturity of the outstanding debt. As long as PAA is in compliance with the provisions in its credit agreements, its ability to make distributions of available cash is not restricted. PAA was in compliance with the covenants contained in its credit agreements and indentures as of December 31, 2023.</w:t>
      </w:r>
    </w:p>
    <w:p>
      <w:pPr>
        <w:spacing w:after="0" w:line="178" w:lineRule="exact"/>
        <w:rPr>
          <w:sz w:val="20"/>
          <w:szCs w:val="20"/>
          <w:color w:val="auto"/>
        </w:rPr>
      </w:pPr>
    </w:p>
    <w:p>
      <w:pPr>
        <w:ind w:left="89"/>
        <w:spacing w:after="0"/>
        <w:rPr>
          <w:sz w:val="20"/>
          <w:szCs w:val="20"/>
          <w:color w:val="auto"/>
        </w:rPr>
      </w:pPr>
      <w:r>
        <w:rPr>
          <w:rFonts w:ascii="Arial" w:cs="Arial" w:eastAsia="Arial" w:hAnsi="Arial"/>
          <w:sz w:val="19"/>
          <w:szCs w:val="19"/>
          <w:b w:val="1"/>
          <w:bCs w:val="1"/>
          <w:i w:val="1"/>
          <w:iCs w:val="1"/>
          <w:color w:val="auto"/>
        </w:rPr>
        <w:t>Cash Flow from Operating Activities</w:t>
      </w:r>
    </w:p>
    <w:p>
      <w:pPr>
        <w:spacing w:after="0" w:line="257" w:lineRule="exact"/>
        <w:rPr>
          <w:sz w:val="20"/>
          <w:szCs w:val="20"/>
          <w:color w:val="auto"/>
        </w:rPr>
      </w:pPr>
    </w:p>
    <w:p>
      <w:pPr>
        <w:ind w:left="89" w:firstLine="702"/>
        <w:spacing w:after="0" w:line="289" w:lineRule="auto"/>
        <w:rPr>
          <w:sz w:val="20"/>
          <w:szCs w:val="20"/>
          <w:color w:val="auto"/>
        </w:rPr>
      </w:pPr>
      <w:r>
        <w:rPr>
          <w:rFonts w:ascii="Arial" w:cs="Arial" w:eastAsia="Arial" w:hAnsi="Arial"/>
          <w:sz w:val="18"/>
          <w:szCs w:val="18"/>
          <w:color w:val="auto"/>
        </w:rPr>
        <w:t>The primary drivers of cash flow from operating activities are (i) the collection of amounts related to the sale of crude oil, NGL and other products, the transportation of crude oil and other products for a fee, and the provision of storage and terminalling services for a fee and (ii) the payment of amounts related to the purchase of crude oil, NGL and other products and other expenses, principally field operating costs, general and administrative expenses and interest expense.</w:t>
      </w:r>
    </w:p>
    <w:p>
      <w:pPr>
        <w:spacing w:after="0" w:line="173" w:lineRule="exact"/>
        <w:rPr>
          <w:sz w:val="20"/>
          <w:szCs w:val="20"/>
          <w:color w:val="auto"/>
        </w:rPr>
      </w:pPr>
    </w:p>
    <w:p>
      <w:pPr>
        <w:ind w:left="89" w:right="120" w:firstLine="702"/>
        <w:spacing w:after="0" w:line="282" w:lineRule="auto"/>
        <w:rPr>
          <w:sz w:val="20"/>
          <w:szCs w:val="20"/>
          <w:color w:val="auto"/>
        </w:rPr>
      </w:pPr>
      <w:r>
        <w:rPr>
          <w:rFonts w:ascii="Arial" w:cs="Arial" w:eastAsia="Arial" w:hAnsi="Arial"/>
          <w:sz w:val="18"/>
          <w:szCs w:val="18"/>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the PAA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179" w:lineRule="exact"/>
        <w:rPr>
          <w:sz w:val="20"/>
          <w:szCs w:val="20"/>
          <w:color w:val="auto"/>
        </w:rPr>
      </w:pPr>
    </w:p>
    <w:p>
      <w:pPr>
        <w:ind w:left="89" w:firstLine="702"/>
        <w:spacing w:after="0" w:line="278" w:lineRule="auto"/>
        <w:rPr>
          <w:sz w:val="20"/>
          <w:szCs w:val="20"/>
          <w:color w:val="auto"/>
        </w:rPr>
      </w:pPr>
      <w:r>
        <w:rPr>
          <w:rFonts w:ascii="Arial" w:cs="Arial" w:eastAsia="Arial" w:hAnsi="Arial"/>
          <w:sz w:val="18"/>
          <w:szCs w:val="18"/>
          <w:color w:val="auto"/>
        </w:rPr>
        <w:t>In periods when the market is not in contango, we typically sell our crude oil during the same month in which we purchase it and we do not rely on borrowings under the PAA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the PAA credit facilities or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12 to our Consolidated Financial Statements for a discussion regarding our derivatives and risk management activities.</w:t>
      </w:r>
    </w:p>
    <w:p>
      <w:pPr>
        <w:spacing w:after="0" w:line="182" w:lineRule="exact"/>
        <w:rPr>
          <w:sz w:val="20"/>
          <w:szCs w:val="20"/>
          <w:color w:val="auto"/>
        </w:rPr>
      </w:pPr>
    </w:p>
    <w:p>
      <w:pPr>
        <w:ind w:left="89" w:right="240" w:firstLine="702"/>
        <w:spacing w:after="0" w:line="269" w:lineRule="auto"/>
        <w:rPr>
          <w:sz w:val="20"/>
          <w:szCs w:val="20"/>
          <w:color w:val="auto"/>
        </w:rPr>
      </w:pPr>
      <w:r>
        <w:rPr>
          <w:rFonts w:ascii="Arial" w:cs="Arial" w:eastAsia="Arial" w:hAnsi="Arial"/>
          <w:sz w:val="19"/>
          <w:szCs w:val="19"/>
          <w:color w:val="auto"/>
        </w:rPr>
        <w:t>Net cash provided by operating activities for the years ended December 31, 2023 and 2022 was approximately $2.7 billion and $2.4 billion,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ectPr>
          <w:pgSz w:w="11880" w:h="15480" w:orient="portrait"/>
          <w:cols w:equalWidth="0" w:num="1">
            <w:col w:w="10029"/>
          </w:cols>
          <w:pgMar w:left="851" w:top="642" w:right="1000" w:bottom="0" w:gutter="0" w:footer="0" w:header="0"/>
        </w:sectPr>
      </w:pPr>
    </w:p>
    <w:p>
      <w:pPr>
        <w:spacing w:after="0" w:line="320" w:lineRule="exact"/>
        <w:rPr>
          <w:sz w:val="20"/>
          <w:szCs w:val="20"/>
          <w:color w:val="auto"/>
        </w:rPr>
      </w:pPr>
    </w:p>
    <w:p>
      <w:pPr>
        <w:jc w:val="center"/>
        <w:ind w:right="-148"/>
        <w:spacing w:after="0"/>
        <w:rPr>
          <w:sz w:val="20"/>
          <w:szCs w:val="20"/>
          <w:color w:val="auto"/>
        </w:rPr>
      </w:pPr>
      <w:r>
        <w:rPr>
          <w:rFonts w:ascii="Arial" w:cs="Arial" w:eastAsia="Arial" w:hAnsi="Arial"/>
          <w:sz w:val="17"/>
          <w:szCs w:val="17"/>
          <w:color w:val="auto"/>
        </w:rPr>
        <w:t>83</w:t>
      </w:r>
    </w:p>
    <w:p>
      <w:pPr>
        <w:sectPr>
          <w:pgSz w:w="11880" w:h="15480" w:orient="portrait"/>
          <w:cols w:equalWidth="0" w:num="1">
            <w:col w:w="10029"/>
          </w:cols>
          <w:pgMar w:left="851" w:top="642" w:right="1000" w:bottom="0" w:gutter="0" w:footer="0" w:header="0"/>
          <w:type w:val="continuous"/>
        </w:sectPr>
      </w:pPr>
    </w:p>
    <w:bookmarkStart w:id="83" w:name="page84"/>
    <w:bookmarkEnd w:id="83"/>
    <w:p>
      <w:pPr>
        <w:jc w:val="both"/>
        <w:ind w:right="40" w:firstLine="702"/>
        <w:spacing w:after="0" w:line="269" w:lineRule="auto"/>
        <w:rPr>
          <w:sz w:val="20"/>
          <w:szCs w:val="20"/>
          <w:color w:val="auto"/>
        </w:rPr>
      </w:pPr>
      <w:r>
        <w:rPr>
          <w:rFonts w:ascii="Arial" w:cs="Arial" w:eastAsia="Arial" w:hAnsi="Arial"/>
          <w:sz w:val="19"/>
          <w:szCs w:val="19"/>
          <w:color w:val="auto"/>
        </w:rPr>
        <w:t>The 2023 period was impacted by net positive changes in working capital items, largely associated with (i) lower NGL inventory driven by both the impact of the price environment and NGL supply volumes during the year, including the impact of changes in margin balances required as part of our hedging activities, and (ii) timing of payments associated with the settlement of certain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Investing Activities</w:t>
      </w:r>
    </w:p>
    <w:p>
      <w:pPr>
        <w:spacing w:after="0" w:line="249"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Capital Expenditures</w:t>
      </w:r>
    </w:p>
    <w:p>
      <w:pPr>
        <w:spacing w:after="0" w:line="257" w:lineRule="exact"/>
        <w:rPr>
          <w:sz w:val="20"/>
          <w:szCs w:val="20"/>
          <w:color w:val="auto"/>
        </w:rPr>
      </w:pPr>
    </w:p>
    <w:p>
      <w:pPr>
        <w:ind w:right="160" w:firstLine="702"/>
        <w:spacing w:after="0" w:line="311" w:lineRule="auto"/>
        <w:rPr>
          <w:sz w:val="20"/>
          <w:szCs w:val="20"/>
          <w:color w:val="auto"/>
        </w:rPr>
      </w:pPr>
      <w:r>
        <w:rPr>
          <w:rFonts w:ascii="Arial" w:cs="Arial" w:eastAsia="Arial" w:hAnsi="Arial"/>
          <w:sz w:val="17"/>
          <w:szCs w:val="17"/>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346"/>
              <w:spacing w:after="0"/>
              <w:rPr>
                <w:sz w:val="20"/>
                <w:szCs w:val="20"/>
                <w:color w:val="auto"/>
              </w:rPr>
            </w:pPr>
            <w:r>
              <w:rPr>
                <w:rFonts w:ascii="Arial" w:cs="Arial" w:eastAsia="Arial" w:hAnsi="Arial"/>
                <w:sz w:val="16"/>
                <w:szCs w:val="16"/>
                <w:b w:val="1"/>
                <w:bCs w:val="1"/>
                <w:color w:val="auto"/>
                <w:w w:val="94"/>
              </w:rPr>
              <w:t>Year Ended December 31,</w:t>
            </w:r>
          </w:p>
        </w:tc>
      </w:tr>
      <w:tr>
        <w:trPr>
          <w:trHeight w:val="229"/>
        </w:trPr>
        <w:tc>
          <w:tcPr>
            <w:tcW w:w="34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2022</w:t>
            </w:r>
          </w:p>
        </w:tc>
      </w:tr>
      <w:tr>
        <w:trPr>
          <w:trHeight w:val="290"/>
        </w:trPr>
        <w:tc>
          <w:tcPr>
            <w:tcW w:w="7380" w:type="dxa"/>
            <w:vAlign w:val="bottom"/>
            <w:gridSpan w:val="2"/>
          </w:tcPr>
          <w:p>
            <w:pPr>
              <w:ind w:left="40"/>
              <w:spacing w:after="0"/>
              <w:rPr>
                <w:sz w:val="20"/>
                <w:szCs w:val="20"/>
                <w:color w:val="auto"/>
              </w:rPr>
            </w:pPr>
            <w:r>
              <w:rPr>
                <w:rFonts w:ascii="Arial" w:cs="Arial" w:eastAsia="Arial" w:hAnsi="Arial"/>
                <w:sz w:val="19"/>
                <w:szCs w:val="19"/>
                <w:color w:val="auto"/>
              </w:rPr>
              <w:t xml:space="preserve">Investment capital </w:t>
            </w:r>
            <w:r>
              <w:rPr>
                <w:rFonts w:ascii="Arial" w:cs="Arial" w:eastAsia="Arial" w:hAnsi="Arial"/>
                <w:sz w:val="25"/>
                <w:szCs w:val="25"/>
                <w:color w:val="auto"/>
                <w:vertAlign w:val="superscript"/>
              </w:rPr>
              <w:t>(1) (2) (3)</w:t>
            </w:r>
          </w:p>
        </w:tc>
        <w:tc>
          <w:tcPr>
            <w:tcW w:w="30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399</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334</w:t>
            </w:r>
          </w:p>
        </w:tc>
      </w:tr>
      <w:tr>
        <w:trPr>
          <w:trHeight w:val="292"/>
        </w:trPr>
        <w:tc>
          <w:tcPr>
            <w:tcW w:w="7380" w:type="dxa"/>
            <w:vAlign w:val="bottom"/>
            <w:gridSpan w:val="2"/>
          </w:tcPr>
          <w:p>
            <w:pPr>
              <w:ind w:left="40"/>
              <w:spacing w:after="0"/>
              <w:rPr>
                <w:sz w:val="20"/>
                <w:szCs w:val="20"/>
                <w:color w:val="auto"/>
              </w:rPr>
            </w:pPr>
            <w:r>
              <w:rPr>
                <w:rFonts w:ascii="Arial" w:cs="Arial" w:eastAsia="Arial" w:hAnsi="Arial"/>
                <w:sz w:val="19"/>
                <w:szCs w:val="19"/>
                <w:color w:val="auto"/>
              </w:rPr>
              <w:t xml:space="preserve">Maintenance capital </w:t>
            </w:r>
            <w:r>
              <w:rPr>
                <w:rFonts w:ascii="Arial" w:cs="Arial" w:eastAsia="Arial" w:hAnsi="Arial"/>
                <w:sz w:val="25"/>
                <w:szCs w:val="25"/>
                <w:color w:val="auto"/>
                <w:vertAlign w:val="superscript"/>
              </w:rPr>
              <w:t>(1) (3)</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231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211</w:t>
            </w:r>
          </w:p>
        </w:tc>
      </w:tr>
      <w:tr>
        <w:trPr>
          <w:trHeight w:val="275"/>
        </w:trPr>
        <w:tc>
          <w:tcPr>
            <w:tcW w:w="7380" w:type="dxa"/>
            <w:vAlign w:val="bottom"/>
            <w:gridSpan w:val="2"/>
          </w:tcPr>
          <w:p>
            <w:pPr>
              <w:ind w:left="40"/>
              <w:spacing w:after="0" w:line="275" w:lineRule="exact"/>
              <w:rPr>
                <w:sz w:val="20"/>
                <w:szCs w:val="20"/>
                <w:color w:val="auto"/>
              </w:rPr>
            </w:pPr>
            <w:r>
              <w:rPr>
                <w:rFonts w:ascii="Arial" w:cs="Arial" w:eastAsia="Arial" w:hAnsi="Arial"/>
                <w:sz w:val="19"/>
                <w:szCs w:val="19"/>
                <w:color w:val="auto"/>
              </w:rPr>
              <w:t xml:space="preserve">Acquisition capital </w:t>
            </w:r>
            <w:r>
              <w:rPr>
                <w:rFonts w:ascii="Arial" w:cs="Arial" w:eastAsia="Arial" w:hAnsi="Arial"/>
                <w:sz w:val="25"/>
                <w:szCs w:val="25"/>
                <w:color w:val="auto"/>
                <w:vertAlign w:val="superscript"/>
              </w:rPr>
              <w:t>(2) (4)</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431</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284</w:t>
            </w:r>
          </w:p>
        </w:tc>
      </w:tr>
      <w:tr>
        <w:trPr>
          <w:trHeight w:val="253"/>
        </w:trPr>
        <w:tc>
          <w:tcPr>
            <w:tcW w:w="34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1,061</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829</w:t>
            </w:r>
          </w:p>
        </w:tc>
      </w:tr>
      <w:tr>
        <w:trPr>
          <w:trHeight w:val="20"/>
        </w:trPr>
        <w:tc>
          <w:tcPr>
            <w:tcW w:w="34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30"/>
        </w:trPr>
        <w:tc>
          <w:tcPr>
            <w:tcW w:w="3440" w:type="dxa"/>
            <w:vAlign w:val="bottom"/>
            <w:tcBorders>
              <w:bottom w:val="single" w:sz="8" w:color="auto"/>
            </w:tcBorders>
          </w:tcPr>
          <w:p>
            <w:pPr>
              <w:spacing w:after="0"/>
              <w:rPr>
                <w:sz w:val="11"/>
                <w:szCs w:val="11"/>
                <w:color w:val="auto"/>
              </w:rPr>
            </w:pPr>
          </w:p>
        </w:tc>
        <w:tc>
          <w:tcPr>
            <w:tcW w:w="3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-869315</wp:posOffset>
            </wp:positionV>
            <wp:extent cx="6376670" cy="780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2">
                      <a:extLst>
                        <a:ext uri="{28A0092B-C50C-407E-A947-70E740481C1C}"/>
                      </a:extLst>
                    </a:blip>
                    <a:srcRect/>
                    <a:stretch>
                      <a:fillRect/>
                    </a:stretch>
                  </pic:blipFill>
                  <pic:spPr bwMode="auto">
                    <a:xfrm>
                      <a:off x="0" y="0"/>
                      <a:ext cx="6376670" cy="780415"/>
                    </a:xfrm>
                    <a:prstGeom prst="rect">
                      <a:avLst/>
                    </a:prstGeom>
                    <a:noFill/>
                  </pic:spPr>
                </pic:pic>
              </a:graphicData>
            </a:graphic>
          </wp:anchor>
        </w:drawing>
      </w:r>
    </w:p>
    <w:p>
      <w:pPr>
        <w:sectPr>
          <w:pgSz w:w="11880" w:h="15480" w:orient="portrait"/>
          <w:cols w:equalWidth="0" w:num="1">
            <w:col w:w="10000"/>
          </w:cols>
          <w:pgMar w:left="940" w:top="910" w:right="940" w:bottom="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120"/>
        <w:spacing w:after="0" w:line="269" w:lineRule="auto"/>
        <w:rPr>
          <w:sz w:val="20"/>
          <w:szCs w:val="20"/>
          <w:color w:val="auto"/>
        </w:rPr>
      </w:pPr>
      <w:r>
        <w:rPr>
          <w:rFonts w:ascii="Arial" w:cs="Arial" w:eastAsia="Arial" w:hAnsi="Arial"/>
          <w:sz w:val="19"/>
          <w:szCs w:val="19"/>
          <w:color w:val="auto"/>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spacing w:after="0" w:line="73" w:lineRule="exact"/>
        <w:rPr>
          <w:sz w:val="20"/>
          <w:szCs w:val="20"/>
          <w:color w:val="auto"/>
        </w:rPr>
      </w:pPr>
    </w:p>
    <w:p>
      <w:pPr>
        <w:ind w:right="140"/>
        <w:spacing w:after="0" w:line="276" w:lineRule="auto"/>
        <w:rPr>
          <w:sz w:val="20"/>
          <w:szCs w:val="20"/>
          <w:color w:val="auto"/>
        </w:rPr>
      </w:pPr>
      <w:r>
        <w:rPr>
          <w:rFonts w:ascii="Arial" w:cs="Arial" w:eastAsia="Arial" w:hAnsi="Arial"/>
          <w:sz w:val="19"/>
          <w:szCs w:val="19"/>
          <w:color w:val="auto"/>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Investment capital and maintenance capital, net to our 65% interest in the Permian JV, was approximately</w:t>
      </w:r>
    </w:p>
    <w:p>
      <w:pPr>
        <w:spacing w:after="0" w:line="35"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$310 million and $214 million, respectively, for 2023, and approximately $265 million and $202 million, respectively, for 2022.</w:t>
      </w:r>
    </w:p>
    <w:p>
      <w:pPr>
        <w:spacing w:after="0" w:line="66"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Acquisition capital for 2023 primarily includes the acquisition by the Permian JV of (i) the remaining 43% interest in OMOG JV Holdings LLC and (ii) gathering assets in the Southern and Northern Delaware Basins. Acquisition capital for 2022 includes (i) an additional ownership interest in certain straddle plants included in our NGL segment, (ii) the purchase of an additional 5% interest in Cactus II and (iii) the remaining 50% interest in Advantage Pipeline Holdings LLC by the Permian JV. See Note 7 to our Consolidated Financial Statements for additional information. Acquisition capital, net to our 65% interest in the Permian JV, was approximately $281 million and $258 million for 2023 and 2022,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Investment Capital Projects</w:t>
      </w:r>
    </w:p>
    <w:p>
      <w:pPr>
        <w:spacing w:after="0" w:line="200" w:lineRule="exact"/>
        <w:rPr>
          <w:sz w:val="20"/>
          <w:szCs w:val="20"/>
          <w:color w:val="auto"/>
        </w:rPr>
      </w:pPr>
    </w:p>
    <w:p>
      <w:pPr>
        <w:sectPr>
          <w:pgSz w:w="11880" w:h="15480" w:orient="portrait"/>
          <w:cols w:equalWidth="0" w:num="2">
            <w:col w:w="140" w:space="560"/>
            <w:col w:w="9300"/>
          </w:cols>
          <w:pgMar w:left="940" w:top="910" w:right="940" w:bottom="0" w:gutter="0" w:footer="0" w:header="0"/>
          <w:type w:val="continuous"/>
        </w:sectPr>
      </w:pPr>
    </w:p>
    <w:p>
      <w:pPr>
        <w:spacing w:after="0" w:line="57" w:lineRule="exact"/>
        <w:rPr>
          <w:sz w:val="20"/>
          <w:szCs w:val="20"/>
          <w:color w:val="auto"/>
        </w:rPr>
      </w:pPr>
    </w:p>
    <w:p>
      <w:pPr>
        <w:ind w:right="200" w:firstLine="702"/>
        <w:spacing w:after="0" w:line="269" w:lineRule="auto"/>
        <w:rPr>
          <w:sz w:val="20"/>
          <w:szCs w:val="20"/>
          <w:color w:val="auto"/>
        </w:rPr>
      </w:pPr>
      <w:r>
        <w:rPr>
          <w:rFonts w:ascii="Arial" w:cs="Arial" w:eastAsia="Arial" w:hAnsi="Arial"/>
          <w:sz w:val="19"/>
          <w:szCs w:val="19"/>
          <w:color w:val="auto"/>
        </w:rPr>
        <w:t>Our investment capital programs consist of investments in midstream infrastructure projects that build upon our core assets and operations. The majority of this investment capital consists of highly-contracted projects that complement our broader system capabilities and support the long-term needs of the upstream and downstream sectors of the industry value chain. The following table summarizes our investment in capital projects (in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326"/>
              <w:spacing w:after="0"/>
              <w:rPr>
                <w:sz w:val="20"/>
                <w:szCs w:val="20"/>
                <w:color w:val="auto"/>
              </w:rPr>
            </w:pPr>
            <w:r>
              <w:rPr>
                <w:rFonts w:ascii="Arial" w:cs="Arial" w:eastAsia="Arial" w:hAnsi="Arial"/>
                <w:sz w:val="16"/>
                <w:szCs w:val="16"/>
                <w:b w:val="1"/>
                <w:bCs w:val="1"/>
                <w:color w:val="auto"/>
                <w:w w:val="95"/>
              </w:rPr>
              <w:t>Year Ended December 31,</w:t>
            </w:r>
          </w:p>
        </w:tc>
      </w:tr>
      <w:tr>
        <w:trPr>
          <w:trHeight w:val="214"/>
        </w:trPr>
        <w:tc>
          <w:tcPr>
            <w:tcW w:w="73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Projects</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2022</w:t>
            </w:r>
          </w:p>
        </w:tc>
      </w:tr>
      <w:tr>
        <w:trPr>
          <w:trHeight w:val="261"/>
        </w:trPr>
        <w:tc>
          <w:tcPr>
            <w:tcW w:w="7320" w:type="dxa"/>
            <w:vAlign w:val="bottom"/>
            <w:gridSpan w:val="2"/>
          </w:tcPr>
          <w:p>
            <w:pPr>
              <w:ind w:left="40"/>
              <w:spacing w:after="0" w:line="260" w:lineRule="exact"/>
              <w:rPr>
                <w:sz w:val="20"/>
                <w:szCs w:val="20"/>
                <w:color w:val="auto"/>
              </w:rPr>
            </w:pPr>
            <w:r>
              <w:rPr>
                <w:rFonts w:ascii="Arial" w:cs="Arial" w:eastAsia="Arial" w:hAnsi="Arial"/>
                <w:sz w:val="19"/>
                <w:szCs w:val="19"/>
                <w:color w:val="auto"/>
              </w:rPr>
              <w:t xml:space="preserve">Complementary Permian Basin Projects </w:t>
            </w:r>
            <w:r>
              <w:rPr>
                <w:rFonts w:ascii="Arial" w:cs="Arial" w:eastAsia="Arial" w:hAnsi="Arial"/>
                <w:sz w:val="25"/>
                <w:szCs w:val="25"/>
                <w:color w:val="auto"/>
                <w:vertAlign w:val="superscript"/>
              </w:rPr>
              <w:t>(1)</w:t>
            </w:r>
          </w:p>
        </w:tc>
        <w:tc>
          <w:tcPr>
            <w:tcW w:w="80" w:type="dxa"/>
            <w:vAlign w:val="bottom"/>
          </w:tcPr>
          <w:p>
            <w:pPr>
              <w:spacing w:after="0"/>
              <w:rPr>
                <w:sz w:val="22"/>
                <w:szCs w:val="22"/>
                <w:color w:val="auto"/>
              </w:rPr>
            </w:pP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266</w:t>
            </w:r>
          </w:p>
        </w:tc>
        <w:tc>
          <w:tcPr>
            <w:tcW w:w="36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191</w:t>
            </w:r>
          </w:p>
        </w:tc>
      </w:tr>
      <w:tr>
        <w:trPr>
          <w:trHeight w:val="278"/>
        </w:trPr>
        <w:tc>
          <w:tcPr>
            <w:tcW w:w="7400" w:type="dxa"/>
            <w:vAlign w:val="bottom"/>
            <w:gridSpan w:val="3"/>
          </w:tcPr>
          <w:p>
            <w:pPr>
              <w:ind w:left="40"/>
              <w:spacing w:after="0" w:line="277" w:lineRule="exact"/>
              <w:rPr>
                <w:sz w:val="20"/>
                <w:szCs w:val="20"/>
                <w:color w:val="auto"/>
              </w:rPr>
            </w:pPr>
            <w:r>
              <w:rPr>
                <w:rFonts w:ascii="Arial" w:cs="Arial" w:eastAsia="Arial" w:hAnsi="Arial"/>
                <w:sz w:val="19"/>
                <w:szCs w:val="19"/>
                <w:color w:val="auto"/>
              </w:rPr>
              <w:t xml:space="preserve">Permian Basin Takeaway Pipeline Projects </w:t>
            </w:r>
            <w:r>
              <w:rPr>
                <w:rFonts w:ascii="Arial" w:cs="Arial" w:eastAsia="Arial" w:hAnsi="Arial"/>
                <w:sz w:val="25"/>
                <w:szCs w:val="25"/>
                <w:color w:val="auto"/>
                <w:vertAlign w:val="superscript"/>
              </w:rPr>
              <w:t>(2)</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34</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96"/>
        </w:trPr>
        <w:tc>
          <w:tcPr>
            <w:tcW w:w="7400" w:type="dxa"/>
            <w:vAlign w:val="bottom"/>
            <w:gridSpan w:val="3"/>
          </w:tcPr>
          <w:p>
            <w:pPr>
              <w:ind w:left="40"/>
              <w:spacing w:after="0"/>
              <w:rPr>
                <w:sz w:val="20"/>
                <w:szCs w:val="20"/>
                <w:color w:val="auto"/>
              </w:rPr>
            </w:pPr>
            <w:r>
              <w:rPr>
                <w:rFonts w:ascii="Arial" w:cs="Arial" w:eastAsia="Arial" w:hAnsi="Arial"/>
                <w:sz w:val="19"/>
                <w:szCs w:val="19"/>
                <w:color w:val="auto"/>
              </w:rPr>
              <w:t xml:space="preserve">Selected Facilities/Downstream Projects </w:t>
            </w:r>
            <w:r>
              <w:rPr>
                <w:rFonts w:ascii="Arial" w:cs="Arial" w:eastAsia="Arial" w:hAnsi="Arial"/>
                <w:sz w:val="25"/>
                <w:szCs w:val="25"/>
                <w:color w:val="auto"/>
                <w:vertAlign w:val="superscript"/>
              </w:rPr>
              <w:t>(3)</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71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28</w:t>
            </w:r>
          </w:p>
        </w:tc>
      </w:tr>
      <w:tr>
        <w:trPr>
          <w:trHeight w:val="257"/>
        </w:trPr>
        <w:tc>
          <w:tcPr>
            <w:tcW w:w="7400" w:type="dxa"/>
            <w:vAlign w:val="bottom"/>
            <w:gridSpan w:val="3"/>
          </w:tcPr>
          <w:p>
            <w:pPr>
              <w:ind w:left="40"/>
              <w:spacing w:after="0"/>
              <w:rPr>
                <w:sz w:val="20"/>
                <w:szCs w:val="20"/>
                <w:color w:val="auto"/>
              </w:rPr>
            </w:pPr>
            <w:r>
              <w:rPr>
                <w:rFonts w:ascii="Arial" w:cs="Arial" w:eastAsia="Arial" w:hAnsi="Arial"/>
                <w:sz w:val="19"/>
                <w:szCs w:val="19"/>
                <w:color w:val="auto"/>
              </w:rPr>
              <w:t>Other Projects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w:t>
            </w:r>
          </w:p>
        </w:tc>
        <w:tc>
          <w:tcPr>
            <w:tcW w:w="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82</w:t>
            </w:r>
          </w:p>
        </w:tc>
      </w:tr>
      <w:tr>
        <w:trPr>
          <w:trHeight w:val="238"/>
        </w:trPr>
        <w:tc>
          <w:tcPr>
            <w:tcW w:w="7400" w:type="dxa"/>
            <w:vAlign w:val="bottom"/>
            <w:gridSpan w:val="3"/>
          </w:tcPr>
          <w:p>
            <w:pPr>
              <w:ind w:left="180"/>
              <w:spacing w:after="0"/>
              <w:rPr>
                <w:sz w:val="20"/>
                <w:szCs w:val="20"/>
                <w:color w:val="auto"/>
              </w:rPr>
            </w:pPr>
            <w:r>
              <w:rPr>
                <w:rFonts w:ascii="Arial" w:cs="Arial" w:eastAsia="Arial" w:hAnsi="Arial"/>
                <w:sz w:val="19"/>
                <w:szCs w:val="19"/>
                <w:color w:val="auto"/>
              </w:rPr>
              <w:t>Total</w:t>
            </w: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399</w:t>
            </w:r>
          </w:p>
        </w:tc>
        <w:tc>
          <w:tcPr>
            <w:tcW w:w="36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334</w:t>
            </w:r>
          </w:p>
        </w:tc>
      </w:tr>
      <w:tr>
        <w:trPr>
          <w:trHeight w:val="20"/>
        </w:trPr>
        <w:tc>
          <w:tcPr>
            <w:tcW w:w="34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30"/>
        </w:trPr>
        <w:tc>
          <w:tcPr>
            <w:tcW w:w="3440" w:type="dxa"/>
            <w:vAlign w:val="bottom"/>
            <w:tcBorders>
              <w:bottom w:val="single" w:sz="8" w:color="auto"/>
            </w:tcBorders>
          </w:tcPr>
          <w:p>
            <w:pPr>
              <w:spacing w:after="0"/>
              <w:rPr>
                <w:sz w:val="11"/>
                <w:szCs w:val="11"/>
                <w:color w:val="auto"/>
              </w:rPr>
            </w:pPr>
          </w:p>
        </w:tc>
        <w:tc>
          <w:tcPr>
            <w:tcW w:w="3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-1009015</wp:posOffset>
            </wp:positionV>
            <wp:extent cx="6376670" cy="9201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3">
                      <a:extLst>
                        <a:ext uri="{28A0092B-C50C-407E-A947-70E740481C1C}"/>
                      </a:extLst>
                    </a:blip>
                    <a:srcRect/>
                    <a:stretch>
                      <a:fillRect/>
                    </a:stretch>
                  </pic:blipFill>
                  <pic:spPr bwMode="auto">
                    <a:xfrm>
                      <a:off x="0" y="0"/>
                      <a:ext cx="6376670" cy="920115"/>
                    </a:xfrm>
                    <a:prstGeom prst="rect">
                      <a:avLst/>
                    </a:prstGeom>
                    <a:noFill/>
                  </pic:spPr>
                </pic:pic>
              </a:graphicData>
            </a:graphic>
          </wp:anchor>
        </w:drawing>
      </w:r>
    </w:p>
    <w:p>
      <w:pPr>
        <w:sectPr>
          <w:pgSz w:w="11880" w:h="15480" w:orient="portrait"/>
          <w:cols w:equalWidth="0" w:num="1">
            <w:col w:w="10000"/>
          </w:cols>
          <w:pgMar w:left="940" w:top="910" w:right="940" w:bottom="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880" w:h="15480" w:orient="portrait"/>
          <w:cols w:equalWidth="0" w:num="1">
            <w:col w:w="10000"/>
          </w:cols>
          <w:pgMar w:left="940" w:top="910" w:right="940" w:bottom="0" w:gutter="0" w:footer="0" w:header="0"/>
          <w:type w:val="continuous"/>
        </w:sectPr>
      </w:pPr>
    </w:p>
    <w:bookmarkStart w:id="84" w:name="page85"/>
    <w:bookmarkEnd w:id="84"/>
    <w:p>
      <w:pPr>
        <w:ind w:left="1"/>
        <w:spacing w:after="0"/>
        <w:rPr>
          <w:sz w:val="20"/>
          <w:szCs w:val="20"/>
          <w:color w:val="auto"/>
        </w:rPr>
      </w:pPr>
      <w:r>
        <w:rPr>
          <w:rFonts w:ascii="Arial" w:cs="Arial" w:eastAsia="Arial" w:hAnsi="Arial"/>
          <w:sz w:val="11"/>
          <w:szCs w:val="11"/>
          <w:color w:val="auto"/>
        </w:rPr>
        <w:t>(1)</w:t>
      </w:r>
    </w:p>
    <w:p>
      <w:pPr>
        <w:spacing w:after="0" w:line="224" w:lineRule="exact"/>
        <w:rPr>
          <w:sz w:val="20"/>
          <w:szCs w:val="20"/>
          <w:color w:val="auto"/>
        </w:rPr>
      </w:pPr>
    </w:p>
    <w:p>
      <w:pPr>
        <w:ind w:left="1"/>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58" w:lineRule="exact"/>
        <w:rPr>
          <w:sz w:val="20"/>
          <w:szCs w:val="20"/>
          <w:color w:val="auto"/>
        </w:rPr>
      </w:pPr>
    </w:p>
    <w:p>
      <w:pPr>
        <w:ind w:left="1"/>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Includes projects associated with assets included in the Permian JV.</w:t>
      </w:r>
    </w:p>
    <w:p>
      <w:pPr>
        <w:spacing w:after="0" w:line="132" w:lineRule="exact"/>
        <w:rPr>
          <w:sz w:val="20"/>
          <w:szCs w:val="20"/>
          <w:color w:val="auto"/>
        </w:rPr>
      </w:pPr>
    </w:p>
    <w:p>
      <w:pPr>
        <w:ind w:right="820"/>
        <w:spacing w:after="0" w:line="295" w:lineRule="auto"/>
        <w:rPr>
          <w:sz w:val="20"/>
          <w:szCs w:val="20"/>
          <w:color w:val="auto"/>
        </w:rPr>
      </w:pPr>
      <w:r>
        <w:rPr>
          <w:rFonts w:ascii="Arial" w:cs="Arial" w:eastAsia="Arial" w:hAnsi="Arial"/>
          <w:sz w:val="19"/>
          <w:szCs w:val="19"/>
          <w:color w:val="auto"/>
        </w:rPr>
        <w:t>Represents pipeline projects with takeaway capacity out of the Permian Basin, including investments for our proportionate share of the projects of Wink to Webster Pipeline and Cactus II Pipeline.</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Includes projects at our St. James and Fort Saskatchewan terminals.</w:t>
      </w:r>
    </w:p>
    <w:p>
      <w:pPr>
        <w:spacing w:after="0" w:line="200" w:lineRule="exact"/>
        <w:rPr>
          <w:sz w:val="20"/>
          <w:szCs w:val="20"/>
          <w:color w:val="auto"/>
        </w:rPr>
      </w:pPr>
    </w:p>
    <w:p>
      <w:pPr>
        <w:sectPr>
          <w:pgSz w:w="11880" w:h="15480" w:orient="portrait"/>
          <w:cols w:equalWidth="0" w:num="2">
            <w:col w:w="141" w:space="560"/>
            <w:col w:w="9280"/>
          </w:cols>
          <w:pgMar w:left="939" w:top="658" w:right="960" w:bottom="0" w:gutter="0" w:footer="0" w:header="0"/>
        </w:sectPr>
      </w:pPr>
    </w:p>
    <w:p>
      <w:pPr>
        <w:spacing w:after="0" w:line="48" w:lineRule="exact"/>
        <w:rPr>
          <w:sz w:val="20"/>
          <w:szCs w:val="20"/>
          <w:color w:val="auto"/>
        </w:rPr>
      </w:pPr>
    </w:p>
    <w:p>
      <w:pPr>
        <w:ind w:left="1" w:right="60" w:firstLine="702"/>
        <w:spacing w:after="0" w:line="267" w:lineRule="auto"/>
        <w:rPr>
          <w:sz w:val="20"/>
          <w:szCs w:val="20"/>
          <w:color w:val="auto"/>
        </w:rPr>
      </w:pPr>
      <w:r>
        <w:rPr>
          <w:rFonts w:ascii="Arial" w:cs="Arial" w:eastAsia="Arial" w:hAnsi="Arial"/>
          <w:sz w:val="19"/>
          <w:szCs w:val="19"/>
          <w:b w:val="1"/>
          <w:bCs w:val="1"/>
          <w:i w:val="1"/>
          <w:iCs w:val="1"/>
          <w:color w:val="auto"/>
        </w:rPr>
        <w:t xml:space="preserve">Projected 2024 Capital Expenditures. </w:t>
      </w:r>
      <w:r>
        <w:rPr>
          <w:rFonts w:ascii="Arial" w:cs="Arial" w:eastAsia="Arial" w:hAnsi="Arial"/>
          <w:sz w:val="19"/>
          <w:szCs w:val="19"/>
          <w:color w:val="auto"/>
        </w:rPr>
        <w:t>Total investment capital for the year ending December 31, 2024 is currently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projected to be approximately $465 million ($375 million net to our interest). Approximately half of our projected investment capital expenditures are expected to be invested in the Permian JV assets. Additionally, maintenance capital for 2024 is currently projected to be approximately $250 million ($230 million net to our interest). We expect to fund our 2024 investment and maintenance capital expenditures primarily with retained cash flow.</w:t>
      </w:r>
    </w:p>
    <w:p>
      <w:pPr>
        <w:spacing w:after="0" w:line="183" w:lineRule="exact"/>
        <w:rPr>
          <w:sz w:val="20"/>
          <w:szCs w:val="20"/>
          <w:color w:val="auto"/>
        </w:rPr>
      </w:pPr>
    </w:p>
    <w:p>
      <w:pPr>
        <w:ind w:left="701"/>
        <w:spacing w:after="0"/>
        <w:rPr>
          <w:sz w:val="20"/>
          <w:szCs w:val="20"/>
          <w:color w:val="auto"/>
        </w:rPr>
      </w:pPr>
      <w:r>
        <w:rPr>
          <w:rFonts w:ascii="Arial" w:cs="Arial" w:eastAsia="Arial" w:hAnsi="Arial"/>
          <w:sz w:val="19"/>
          <w:szCs w:val="19"/>
          <w:b w:val="1"/>
          <w:bCs w:val="1"/>
          <w:color w:val="auto"/>
        </w:rPr>
        <w:t>Divestitures</w:t>
      </w:r>
    </w:p>
    <w:p>
      <w:pPr>
        <w:spacing w:after="0" w:line="257" w:lineRule="exact"/>
        <w:rPr>
          <w:sz w:val="20"/>
          <w:szCs w:val="20"/>
          <w:color w:val="auto"/>
        </w:rPr>
      </w:pPr>
    </w:p>
    <w:p>
      <w:pPr>
        <w:ind w:left="1" w:right="400" w:firstLine="751"/>
        <w:spacing w:after="0" w:line="358" w:lineRule="auto"/>
        <w:rPr>
          <w:sz w:val="20"/>
          <w:szCs w:val="20"/>
          <w:color w:val="auto"/>
        </w:rPr>
      </w:pPr>
      <w:r>
        <w:rPr>
          <w:rFonts w:ascii="Arial" w:cs="Arial" w:eastAsia="Arial" w:hAnsi="Arial"/>
          <w:sz w:val="17"/>
          <w:szCs w:val="17"/>
          <w:color w:val="auto"/>
        </w:rPr>
        <w:t>Proceeds from the sale of assets have generally been used to fund our investment capital projects and reduce debt levels. The following table summarizes the proceeds received from divestitures during the last two years (in millions):</w:t>
      </w:r>
    </w:p>
    <w:p>
      <w:pPr>
        <w:spacing w:after="0" w:line="206" w:lineRule="exact"/>
        <w:rPr>
          <w:sz w:val="20"/>
          <w:szCs w:val="20"/>
          <w:color w:val="auto"/>
        </w:rPr>
      </w:pPr>
    </w:p>
    <w:p>
      <w:pPr>
        <w:ind w:left="7821"/>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4688840</wp:posOffset>
                </wp:positionH>
                <wp:positionV relativeFrom="paragraph">
                  <wp:posOffset>23495</wp:posOffset>
                </wp:positionV>
                <wp:extent cx="166179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17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2pt,1.85pt" to="500.05pt,1.85pt" o:allowincell="f" strokecolor="#000000" strokeweight="1pt"/>
            </w:pict>
          </mc:Fallback>
        </mc:AlternateContent>
      </w:r>
    </w:p>
    <w:p>
      <w:pPr>
        <w:spacing w:after="0" w:line="45" w:lineRule="exact"/>
        <w:rPr>
          <w:sz w:val="20"/>
          <w:szCs w:val="20"/>
          <w:color w:val="auto"/>
        </w:rPr>
      </w:pPr>
    </w:p>
    <w:p>
      <w:pPr>
        <w:ind w:left="7861"/>
        <w:spacing w:after="0"/>
        <w:tabs>
          <w:tab w:leader="none" w:pos="9181"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11430</wp:posOffset>
            </wp:positionV>
            <wp:extent cx="6376670" cy="2108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4">
                      <a:extLst>
                        <a:ext uri="{28A0092B-C50C-407E-A947-70E740481C1C}"/>
                      </a:extLst>
                    </a:blip>
                    <a:srcRect/>
                    <a:stretch>
                      <a:fillRect/>
                    </a:stretch>
                  </pic:blipFill>
                  <pic:spPr bwMode="auto">
                    <a:xfrm>
                      <a:off x="0" y="0"/>
                      <a:ext cx="6376670" cy="210820"/>
                    </a:xfrm>
                    <a:prstGeom prst="rect">
                      <a:avLst/>
                    </a:prstGeom>
                    <a:noFill/>
                  </pic:spPr>
                </pic:pic>
              </a:graphicData>
            </a:graphic>
          </wp:anchor>
        </w:drawing>
      </w:r>
    </w:p>
    <w:p>
      <w:pPr>
        <w:spacing w:after="0" w:line="25" w:lineRule="exact"/>
        <w:rPr>
          <w:sz w:val="20"/>
          <w:szCs w:val="20"/>
          <w:color w:val="auto"/>
        </w:rPr>
      </w:pPr>
    </w:p>
    <w:p>
      <w:pPr>
        <w:ind w:left="61"/>
        <w:spacing w:after="0"/>
        <w:tabs>
          <w:tab w:leader="none" w:pos="7421" w:val="left"/>
          <w:tab w:leader="none" w:pos="8261" w:val="left"/>
          <w:tab w:leader="none" w:pos="8761" w:val="left"/>
          <w:tab w:leader="none" w:pos="9701" w:val="left"/>
        </w:tabs>
        <w:rPr>
          <w:sz w:val="20"/>
          <w:szCs w:val="20"/>
          <w:color w:val="auto"/>
        </w:rPr>
      </w:pPr>
      <w:r>
        <w:rPr>
          <w:rFonts w:ascii="Arial" w:cs="Arial" w:eastAsia="Arial" w:hAnsi="Arial"/>
          <w:sz w:val="19"/>
          <w:szCs w:val="19"/>
          <w:color w:val="auto"/>
        </w:rPr>
        <w:t xml:space="preserve">Proceeds from divestitures </w:t>
      </w: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328</w:t>
        <w:tab/>
        <w:t>$</w:t>
      </w:r>
      <w:r>
        <w:rPr>
          <w:sz w:val="20"/>
          <w:szCs w:val="20"/>
          <w:color w:val="auto"/>
        </w:rPr>
        <w:tab/>
      </w: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106680</wp:posOffset>
                </wp:positionV>
                <wp:extent cx="219075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07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4pt" to="172.5pt,8.4pt" o:allowincell="f" strokecolor="#000000" strokeweight="1pt"/>
            </w:pict>
          </mc:Fallback>
        </mc:AlternateContent>
      </w:r>
    </w:p>
    <w:p>
      <w:pPr>
        <w:spacing w:after="0" w:line="302" w:lineRule="exact"/>
        <w:rPr>
          <w:sz w:val="20"/>
          <w:szCs w:val="20"/>
          <w:color w:val="auto"/>
        </w:rPr>
      </w:pPr>
    </w:p>
    <w:p>
      <w:pPr>
        <w:ind w:left="701" w:right="100" w:hanging="701"/>
        <w:spacing w:after="0" w:line="244" w:lineRule="auto"/>
        <w:tabs>
          <w:tab w:leader="none" w:pos="701" w:val="left"/>
        </w:tabs>
        <w:numPr>
          <w:ilvl w:val="0"/>
          <w:numId w:val="49"/>
        </w:numPr>
        <w:rPr>
          <w:rFonts w:ascii="Arial" w:cs="Arial" w:eastAsia="Arial" w:hAnsi="Arial"/>
          <w:sz w:val="25"/>
          <w:szCs w:val="25"/>
          <w:color w:val="auto"/>
          <w:vertAlign w:val="superscript"/>
        </w:rPr>
      </w:pPr>
      <w:r>
        <w:rPr>
          <w:rFonts w:ascii="Arial" w:cs="Arial" w:eastAsia="Arial" w:hAnsi="Arial"/>
          <w:sz w:val="19"/>
          <w:szCs w:val="19"/>
          <w:color w:val="auto"/>
        </w:rPr>
        <w:t>Represents proceeds, including working capital adjustments, net of transaction costs. The proceeds from divestitures for the year ended December 31, 2023 are primarily from the sale of our 21% non-operated/undivided joint interest in the Keyera Fort Saskatchewan facility in February 2023. See Note 7 to our Consolidated Financial Statements for additional information.</w:t>
      </w:r>
    </w:p>
    <w:p>
      <w:pPr>
        <w:spacing w:after="0" w:line="230" w:lineRule="exact"/>
        <w:rPr>
          <w:rFonts w:ascii="Arial" w:cs="Arial" w:eastAsia="Arial" w:hAnsi="Arial"/>
          <w:sz w:val="25"/>
          <w:szCs w:val="25"/>
          <w:color w:val="auto"/>
          <w:vertAlign w:val="superscript"/>
        </w:rPr>
      </w:pPr>
    </w:p>
    <w:p>
      <w:pPr>
        <w:ind w:left="701"/>
        <w:spacing w:after="0"/>
        <w:rPr>
          <w:rFonts w:ascii="Arial" w:cs="Arial" w:eastAsia="Arial" w:hAnsi="Arial"/>
          <w:sz w:val="25"/>
          <w:szCs w:val="25"/>
          <w:color w:val="auto"/>
          <w:vertAlign w:val="superscript"/>
        </w:rPr>
      </w:pPr>
      <w:r>
        <w:rPr>
          <w:rFonts w:ascii="Arial" w:cs="Arial" w:eastAsia="Arial" w:hAnsi="Arial"/>
          <w:sz w:val="19"/>
          <w:szCs w:val="19"/>
          <w:b w:val="1"/>
          <w:bCs w:val="1"/>
          <w:color w:val="auto"/>
        </w:rPr>
        <w:t>Ongoing Activities Related to Strategic Transactions</w:t>
      </w:r>
    </w:p>
    <w:p>
      <w:pPr>
        <w:spacing w:after="0" w:line="253" w:lineRule="exact"/>
        <w:rPr>
          <w:sz w:val="20"/>
          <w:szCs w:val="20"/>
          <w:color w:val="auto"/>
        </w:rPr>
      </w:pPr>
    </w:p>
    <w:p>
      <w:pPr>
        <w:ind w:left="1" w:right="20" w:firstLine="702"/>
        <w:spacing w:after="0" w:line="263" w:lineRule="auto"/>
        <w:rPr>
          <w:sz w:val="20"/>
          <w:szCs w:val="20"/>
          <w:color w:val="auto"/>
        </w:rPr>
      </w:pPr>
      <w:r>
        <w:rPr>
          <w:rFonts w:ascii="Arial" w:cs="Arial" w:eastAsia="Arial" w:hAnsi="Arial"/>
          <w:sz w:val="19"/>
          <w:szCs w:val="19"/>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196" w:lineRule="exact"/>
        <w:rPr>
          <w:sz w:val="20"/>
          <w:szCs w:val="20"/>
          <w:color w:val="auto"/>
        </w:rPr>
      </w:pPr>
    </w:p>
    <w:p>
      <w:pPr>
        <w:ind w:left="1" w:firstLine="702"/>
        <w:spacing w:after="0" w:line="261" w:lineRule="auto"/>
        <w:rPr>
          <w:sz w:val="20"/>
          <w:szCs w:val="20"/>
          <w:color w:val="auto"/>
        </w:rPr>
      </w:pPr>
      <w:r>
        <w:rPr>
          <w:rFonts w:ascii="Arial" w:cs="Arial" w:eastAsia="Arial" w:hAnsi="Arial"/>
          <w:sz w:val="19"/>
          <w:szCs w:val="19"/>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Business—Acquisitions and divestitures involve risks that may adversely affect PAA’s business.”</w:t>
      </w:r>
    </w:p>
    <w:p>
      <w:pPr>
        <w:spacing w:after="0" w:line="194"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Financing Activities</w:t>
      </w:r>
    </w:p>
    <w:p>
      <w:pPr>
        <w:spacing w:after="0" w:line="257" w:lineRule="exact"/>
        <w:rPr>
          <w:sz w:val="20"/>
          <w:szCs w:val="20"/>
          <w:color w:val="auto"/>
        </w:rPr>
      </w:pPr>
    </w:p>
    <w:p>
      <w:pPr>
        <w:ind w:left="1" w:right="300" w:firstLine="702"/>
        <w:spacing w:after="0" w:line="276" w:lineRule="auto"/>
        <w:rPr>
          <w:sz w:val="20"/>
          <w:szCs w:val="20"/>
          <w:color w:val="auto"/>
        </w:rPr>
      </w:pPr>
      <w:r>
        <w:rPr>
          <w:rFonts w:ascii="Arial" w:cs="Arial" w:eastAsia="Arial" w:hAnsi="Arial"/>
          <w:sz w:val="19"/>
          <w:szCs w:val="19"/>
          <w:color w:val="auto"/>
        </w:rPr>
        <w:t>Our financing activities primarily relate to funding investment capital projects, acquisitions and refinancing of debt maturities, as well as short-term working capital (including borrowings for NYMEX and ICE margin deposits) and hedged inventory borrowings related to our NGL business and contango market activities.</w:t>
      </w:r>
    </w:p>
    <w:p>
      <w:pPr>
        <w:spacing w:after="0" w:line="175" w:lineRule="exact"/>
        <w:rPr>
          <w:sz w:val="20"/>
          <w:szCs w:val="20"/>
          <w:color w:val="auto"/>
        </w:rPr>
      </w:pPr>
    </w:p>
    <w:p>
      <w:pPr>
        <w:ind w:left="701"/>
        <w:spacing w:after="0"/>
        <w:rPr>
          <w:sz w:val="20"/>
          <w:szCs w:val="20"/>
          <w:color w:val="auto"/>
        </w:rPr>
      </w:pPr>
      <w:r>
        <w:rPr>
          <w:rFonts w:ascii="Arial" w:cs="Arial" w:eastAsia="Arial" w:hAnsi="Arial"/>
          <w:sz w:val="19"/>
          <w:szCs w:val="19"/>
          <w:b w:val="1"/>
          <w:bCs w:val="1"/>
          <w:color w:val="auto"/>
        </w:rPr>
        <w:t>Borrowings and Repayments Under Credit Arrangements</w:t>
      </w:r>
    </w:p>
    <w:p>
      <w:pPr>
        <w:spacing w:after="0" w:line="257" w:lineRule="exact"/>
        <w:rPr>
          <w:sz w:val="20"/>
          <w:szCs w:val="20"/>
          <w:color w:val="auto"/>
        </w:rPr>
      </w:pPr>
    </w:p>
    <w:p>
      <w:pPr>
        <w:jc w:val="both"/>
        <w:ind w:left="1" w:right="500" w:firstLine="702"/>
        <w:spacing w:after="0" w:line="276" w:lineRule="auto"/>
        <w:rPr>
          <w:sz w:val="20"/>
          <w:szCs w:val="20"/>
          <w:color w:val="auto"/>
        </w:rPr>
      </w:pPr>
      <w:r>
        <w:rPr>
          <w:rFonts w:ascii="Arial" w:cs="Arial" w:eastAsia="Arial" w:hAnsi="Arial"/>
          <w:sz w:val="19"/>
          <w:szCs w:val="19"/>
          <w:color w:val="auto"/>
        </w:rPr>
        <w:t>During the year ended December 31, 2023, we had net borrowings under the PAA commercial paper program of $433 million. The net borrowings resulted primarily from borrowings during the year related to funding needs for capital investments, inventory purchases and other general partnership purposes.</w:t>
      </w:r>
    </w:p>
    <w:p>
      <w:pPr>
        <w:sectPr>
          <w:pgSz w:w="11880" w:h="15480" w:orient="portrait"/>
          <w:cols w:equalWidth="0" w:num="1">
            <w:col w:w="9981"/>
          </w:cols>
          <w:pgMar w:left="939" w:top="658" w:right="960" w:bottom="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85</w:t>
      </w:r>
    </w:p>
    <w:p>
      <w:pPr>
        <w:sectPr>
          <w:pgSz w:w="11880" w:h="15480" w:orient="portrait"/>
          <w:cols w:equalWidth="0" w:num="1">
            <w:col w:w="9981"/>
          </w:cols>
          <w:pgMar w:left="939" w:top="658" w:right="960" w:bottom="0" w:gutter="0" w:footer="0" w:header="0"/>
          <w:type w:val="continuous"/>
        </w:sectPr>
      </w:pPr>
    </w:p>
    <w:bookmarkStart w:id="85" w:name="page86"/>
    <w:bookmarkEnd w:id="85"/>
    <w:p>
      <w:pPr>
        <w:ind w:left="1" w:right="40" w:firstLine="702"/>
        <w:spacing w:after="0" w:line="295" w:lineRule="auto"/>
        <w:rPr>
          <w:sz w:val="20"/>
          <w:szCs w:val="20"/>
          <w:color w:val="auto"/>
        </w:rPr>
      </w:pPr>
      <w:r>
        <w:rPr>
          <w:rFonts w:ascii="Arial" w:cs="Arial" w:eastAsia="Arial" w:hAnsi="Arial"/>
          <w:sz w:val="19"/>
          <w:szCs w:val="19"/>
          <w:color w:val="auto"/>
        </w:rPr>
        <w:t>We had no net borrowings or repayments under the PAA credit facilities or commercial paper program during the year ended December 31, 2022.</w:t>
      </w:r>
    </w:p>
    <w:p>
      <w:pPr>
        <w:spacing w:after="0" w:line="158" w:lineRule="exact"/>
        <w:rPr>
          <w:sz w:val="20"/>
          <w:szCs w:val="20"/>
          <w:color w:val="auto"/>
        </w:rPr>
      </w:pPr>
    </w:p>
    <w:p>
      <w:pPr>
        <w:ind w:left="701"/>
        <w:spacing w:after="0"/>
        <w:rPr>
          <w:sz w:val="20"/>
          <w:szCs w:val="20"/>
          <w:color w:val="auto"/>
        </w:rPr>
      </w:pPr>
      <w:r>
        <w:rPr>
          <w:rFonts w:ascii="Arial" w:cs="Arial" w:eastAsia="Arial" w:hAnsi="Arial"/>
          <w:sz w:val="19"/>
          <w:szCs w:val="19"/>
          <w:b w:val="1"/>
          <w:bCs w:val="1"/>
          <w:color w:val="auto"/>
        </w:rPr>
        <w:t>Senior Notes</w:t>
      </w:r>
    </w:p>
    <w:p>
      <w:pPr>
        <w:spacing w:after="0" w:line="255" w:lineRule="exact"/>
        <w:rPr>
          <w:sz w:val="20"/>
          <w:szCs w:val="20"/>
          <w:color w:val="auto"/>
        </w:rPr>
      </w:pPr>
    </w:p>
    <w:p>
      <w:pPr>
        <w:ind w:left="1" w:right="380" w:firstLine="702"/>
        <w:spacing w:after="0" w:line="297" w:lineRule="auto"/>
        <w:rPr>
          <w:sz w:val="20"/>
          <w:szCs w:val="20"/>
          <w:color w:val="auto"/>
        </w:rPr>
      </w:pPr>
      <w:r>
        <w:rPr>
          <w:rFonts w:ascii="Arial" w:cs="Arial" w:eastAsia="Arial" w:hAnsi="Arial"/>
          <w:sz w:val="19"/>
          <w:szCs w:val="19"/>
          <w:b w:val="1"/>
          <w:bCs w:val="1"/>
          <w:i w:val="1"/>
          <w:iCs w:val="1"/>
          <w:color w:val="auto"/>
        </w:rPr>
        <w:t xml:space="preserve">Repayments of PAA Senior Notes. </w:t>
      </w:r>
      <w:r>
        <w:rPr>
          <w:rFonts w:ascii="Arial" w:cs="Arial" w:eastAsia="Arial" w:hAnsi="Arial"/>
          <w:sz w:val="19"/>
          <w:szCs w:val="19"/>
          <w:color w:val="auto"/>
        </w:rPr>
        <w:t>During 2023 and 2022, PAA repaid the following senior unsecured notes in full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millions):</w:t>
      </w:r>
    </w:p>
    <w:p>
      <w:pPr>
        <w:spacing w:after="0" w:line="250" w:lineRule="exact"/>
        <w:rPr>
          <w:sz w:val="20"/>
          <w:szCs w:val="20"/>
          <w:color w:val="auto"/>
        </w:rPr>
      </w:pPr>
    </w:p>
    <w:p>
      <w:pPr>
        <w:ind w:left="861"/>
        <w:spacing w:after="0"/>
        <w:tabs>
          <w:tab w:leader="none" w:pos="4141" w:val="left"/>
          <w:tab w:leader="none" w:pos="7681" w:val="left"/>
        </w:tabs>
        <w:rPr>
          <w:sz w:val="20"/>
          <w:szCs w:val="20"/>
          <w:color w:val="auto"/>
        </w:rPr>
      </w:pPr>
      <w:r>
        <w:rPr>
          <w:rFonts w:ascii="Arial" w:cs="Arial" w:eastAsia="Arial" w:hAnsi="Arial"/>
          <w:sz w:val="16"/>
          <w:szCs w:val="16"/>
          <w:b w:val="1"/>
          <w:bCs w:val="1"/>
          <w:color w:val="auto"/>
        </w:rPr>
        <w:t>Year</w:t>
      </w:r>
      <w:r>
        <w:rPr>
          <w:sz w:val="20"/>
          <w:szCs w:val="20"/>
          <w:color w:val="auto"/>
        </w:rPr>
        <w:tab/>
      </w: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4"/>
          <w:szCs w:val="14"/>
          <w:b w:val="1"/>
          <w:bCs w:val="1"/>
          <w:color w:val="auto"/>
        </w:rPr>
        <w:t>Repayment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11430</wp:posOffset>
            </wp:positionV>
            <wp:extent cx="6367145" cy="9537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5">
                      <a:extLst>
                        <a:ext uri="{28A0092B-C50C-407E-A947-70E740481C1C}"/>
                      </a:extLst>
                    </a:blip>
                    <a:srcRect/>
                    <a:stretch>
                      <a:fillRect/>
                    </a:stretch>
                  </pic:blipFill>
                  <pic:spPr bwMode="auto">
                    <a:xfrm>
                      <a:off x="0" y="0"/>
                      <a:ext cx="6367145" cy="953770"/>
                    </a:xfrm>
                    <a:prstGeom prst="rect">
                      <a:avLst/>
                    </a:prstGeom>
                    <a:noFill/>
                  </pic:spPr>
                </pic:pic>
              </a:graphicData>
            </a:graphic>
          </wp:anchor>
        </w:drawing>
      </w:r>
    </w:p>
    <w:p>
      <w:pPr>
        <w:sectPr>
          <w:pgSz w:w="11880" w:h="15480" w:orient="portrait"/>
          <w:cols w:equalWidth="0" w:num="1">
            <w:col w:w="10001"/>
          </w:cols>
          <w:pgMar w:left="939" w:top="910" w:right="940" w:bottom="0" w:gutter="0" w:footer="0" w:header="0"/>
        </w:sectPr>
      </w:pPr>
    </w:p>
    <w:p>
      <w:pPr>
        <w:spacing w:after="0" w:line="63" w:lineRule="exact"/>
        <w:rPr>
          <w:sz w:val="20"/>
          <w:szCs w:val="20"/>
          <w:color w:val="auto"/>
        </w:rPr>
      </w:pPr>
    </w:p>
    <w:tbl>
      <w:tblPr>
        <w:tblLayout w:type="fixed"/>
        <w:tblInd w:w="821" w:type="dxa"/>
        <w:tblCellMar>
          <w:top w:w="0" w:type="dxa"/>
          <w:left w:w="0" w:type="dxa"/>
          <w:bottom w:w="0" w:type="dxa"/>
          <w:right w:w="0" w:type="dxa"/>
        </w:tblCellMar>
      </w:tblPr>
      <w:tr>
        <w:trPr>
          <w:trHeight w:val="254"/>
        </w:trPr>
        <w:tc>
          <w:tcPr>
            <w:tcW w:w="940" w:type="dxa"/>
            <w:vAlign w:val="bottom"/>
          </w:tcPr>
          <w:p>
            <w:pPr>
              <w:jc w:val="right"/>
              <w:ind w:right="443"/>
              <w:spacing w:after="0"/>
              <w:rPr>
                <w:sz w:val="20"/>
                <w:szCs w:val="20"/>
                <w:color w:val="auto"/>
              </w:rPr>
            </w:pPr>
            <w:r>
              <w:rPr>
                <w:rFonts w:ascii="Arial" w:cs="Arial" w:eastAsia="Arial" w:hAnsi="Arial"/>
                <w:sz w:val="19"/>
                <w:szCs w:val="19"/>
                <w:color w:val="auto"/>
                <w:w w:val="89"/>
              </w:rPr>
              <w:t>2023</w:t>
            </w:r>
          </w:p>
        </w:tc>
        <w:tc>
          <w:tcPr>
            <w:tcW w:w="5500" w:type="dxa"/>
            <w:vAlign w:val="bottom"/>
          </w:tcPr>
          <w:p>
            <w:pPr>
              <w:jc w:val="center"/>
              <w:spacing w:after="0"/>
              <w:rPr>
                <w:sz w:val="20"/>
                <w:szCs w:val="20"/>
                <w:color w:val="auto"/>
              </w:rPr>
            </w:pPr>
            <w:r>
              <w:rPr>
                <w:rFonts w:ascii="Arial" w:cs="Arial" w:eastAsia="Arial" w:hAnsi="Arial"/>
                <w:sz w:val="19"/>
                <w:szCs w:val="19"/>
                <w:color w:val="auto"/>
                <w:w w:val="94"/>
              </w:rPr>
              <w:t>$700 million 3.85% PAA Senior Notes due October 2023</w:t>
            </w:r>
          </w:p>
        </w:tc>
        <w:tc>
          <w:tcPr>
            <w:tcW w:w="1540" w:type="dxa"/>
            <w:vAlign w:val="bottom"/>
          </w:tcPr>
          <w:p>
            <w:pPr>
              <w:jc w:val="center"/>
              <w:ind w:left="363"/>
              <w:spacing w:after="0"/>
              <w:rPr>
                <w:sz w:val="20"/>
                <w:szCs w:val="20"/>
                <w:color w:val="auto"/>
              </w:rPr>
            </w:pPr>
            <w:r>
              <w:rPr>
                <w:rFonts w:ascii="Arial" w:cs="Arial" w:eastAsia="Arial" w:hAnsi="Arial"/>
                <w:sz w:val="19"/>
                <w:szCs w:val="19"/>
                <w:color w:val="auto"/>
                <w:w w:val="93"/>
              </w:rPr>
              <w:t>October 2023</w:t>
            </w:r>
          </w:p>
        </w:tc>
      </w:tr>
      <w:tr>
        <w:trPr>
          <w:trHeight w:val="585"/>
        </w:trPr>
        <w:tc>
          <w:tcPr>
            <w:tcW w:w="940" w:type="dxa"/>
            <w:vAlign w:val="bottom"/>
          </w:tcPr>
          <w:p>
            <w:pPr>
              <w:jc w:val="right"/>
              <w:ind w:right="443"/>
              <w:spacing w:after="0"/>
              <w:rPr>
                <w:sz w:val="20"/>
                <w:szCs w:val="20"/>
                <w:color w:val="auto"/>
              </w:rPr>
            </w:pPr>
            <w:r>
              <w:rPr>
                <w:rFonts w:ascii="Arial" w:cs="Arial" w:eastAsia="Arial" w:hAnsi="Arial"/>
                <w:sz w:val="19"/>
                <w:szCs w:val="19"/>
                <w:color w:val="auto"/>
                <w:w w:val="89"/>
              </w:rPr>
              <w:t>2023</w:t>
            </w:r>
          </w:p>
        </w:tc>
        <w:tc>
          <w:tcPr>
            <w:tcW w:w="5500" w:type="dxa"/>
            <w:vAlign w:val="bottom"/>
          </w:tcPr>
          <w:p>
            <w:pPr>
              <w:jc w:val="center"/>
              <w:ind w:left="3"/>
              <w:spacing w:after="0"/>
              <w:rPr>
                <w:sz w:val="20"/>
                <w:szCs w:val="20"/>
                <w:color w:val="auto"/>
              </w:rPr>
            </w:pPr>
            <w:r>
              <w:rPr>
                <w:rFonts w:ascii="Arial" w:cs="Arial" w:eastAsia="Arial" w:hAnsi="Arial"/>
                <w:sz w:val="19"/>
                <w:szCs w:val="19"/>
                <w:color w:val="auto"/>
                <w:w w:val="94"/>
              </w:rPr>
              <w:t>$400 million 2.85% PAA Senior Notes due January 2023</w:t>
            </w:r>
          </w:p>
        </w:tc>
        <w:tc>
          <w:tcPr>
            <w:tcW w:w="1540" w:type="dxa"/>
            <w:vAlign w:val="bottom"/>
          </w:tcPr>
          <w:p>
            <w:pPr>
              <w:jc w:val="center"/>
              <w:ind w:left="363"/>
              <w:spacing w:after="0"/>
              <w:rPr>
                <w:sz w:val="20"/>
                <w:szCs w:val="20"/>
                <w:color w:val="auto"/>
              </w:rPr>
            </w:pPr>
            <w:r>
              <w:rPr>
                <w:rFonts w:ascii="Arial" w:cs="Arial" w:eastAsia="Arial" w:hAnsi="Arial"/>
                <w:sz w:val="19"/>
                <w:szCs w:val="19"/>
                <w:color w:val="auto"/>
                <w:w w:val="90"/>
              </w:rPr>
              <w:t>January 2023</w:t>
            </w:r>
          </w:p>
        </w:tc>
      </w:tr>
      <w:tr>
        <w:trPr>
          <w:trHeight w:val="585"/>
        </w:trPr>
        <w:tc>
          <w:tcPr>
            <w:tcW w:w="940" w:type="dxa"/>
            <w:vAlign w:val="bottom"/>
          </w:tcPr>
          <w:p>
            <w:pPr>
              <w:jc w:val="right"/>
              <w:ind w:right="443"/>
              <w:spacing w:after="0"/>
              <w:rPr>
                <w:sz w:val="20"/>
                <w:szCs w:val="20"/>
                <w:color w:val="auto"/>
              </w:rPr>
            </w:pPr>
            <w:r>
              <w:rPr>
                <w:rFonts w:ascii="Arial" w:cs="Arial" w:eastAsia="Arial" w:hAnsi="Arial"/>
                <w:sz w:val="19"/>
                <w:szCs w:val="19"/>
                <w:color w:val="auto"/>
                <w:w w:val="89"/>
              </w:rPr>
              <w:t>2022</w:t>
            </w:r>
          </w:p>
        </w:tc>
        <w:tc>
          <w:tcPr>
            <w:tcW w:w="5500" w:type="dxa"/>
            <w:vAlign w:val="bottom"/>
          </w:tcPr>
          <w:p>
            <w:pPr>
              <w:jc w:val="center"/>
              <w:spacing w:after="0"/>
              <w:rPr>
                <w:sz w:val="20"/>
                <w:szCs w:val="20"/>
                <w:color w:val="auto"/>
              </w:rPr>
            </w:pPr>
            <w:r>
              <w:rPr>
                <w:rFonts w:ascii="Arial" w:cs="Arial" w:eastAsia="Arial" w:hAnsi="Arial"/>
                <w:sz w:val="19"/>
                <w:szCs w:val="19"/>
                <w:color w:val="auto"/>
                <w:w w:val="93"/>
              </w:rPr>
              <w:t>$750 million 3.65% PAA Senior Notes due June 2022</w:t>
            </w:r>
          </w:p>
        </w:tc>
        <w:tc>
          <w:tcPr>
            <w:tcW w:w="1540" w:type="dxa"/>
            <w:vAlign w:val="bottom"/>
          </w:tcPr>
          <w:p>
            <w:pPr>
              <w:jc w:val="center"/>
              <w:ind w:left="363"/>
              <w:spacing w:after="0"/>
              <w:rPr>
                <w:sz w:val="20"/>
                <w:szCs w:val="20"/>
                <w:color w:val="auto"/>
              </w:rPr>
            </w:pPr>
            <w:r>
              <w:rPr>
                <w:rFonts w:ascii="Arial" w:cs="Arial" w:eastAsia="Arial" w:hAnsi="Arial"/>
                <w:sz w:val="19"/>
                <w:szCs w:val="19"/>
                <w:color w:val="auto"/>
                <w:w w:val="95"/>
              </w:rPr>
              <w:t>March 2022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116205</wp:posOffset>
                </wp:positionV>
                <wp:extent cx="219075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07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15pt" to="172.5pt,9.15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45" w:lineRule="exact"/>
        <w:rPr>
          <w:sz w:val="20"/>
          <w:szCs w:val="20"/>
          <w:color w:val="auto"/>
        </w:rPr>
      </w:pPr>
    </w:p>
    <w:p>
      <w:pPr>
        <w:sectPr>
          <w:pgSz w:w="11880" w:h="15480" w:orient="portrait"/>
          <w:cols w:equalWidth="0" w:num="2">
            <w:col w:w="8861" w:space="720"/>
            <w:col w:w="420"/>
          </w:cols>
          <w:pgMar w:left="939" w:top="910" w:right="940" w:bottom="0" w:gutter="0" w:footer="0" w:header="0"/>
          <w:type w:val="continuous"/>
        </w:sectPr>
      </w:pPr>
    </w:p>
    <w:p>
      <w:pPr>
        <w:spacing w:after="0" w:line="104" w:lineRule="exact"/>
        <w:rPr>
          <w:sz w:val="20"/>
          <w:szCs w:val="20"/>
          <w:color w:val="auto"/>
        </w:rPr>
      </w:pPr>
    </w:p>
    <w:p>
      <w:pPr>
        <w:ind w:left="701" w:hanging="701"/>
        <w:spacing w:after="0"/>
        <w:tabs>
          <w:tab w:leader="none" w:pos="701" w:val="left"/>
        </w:tabs>
        <w:numPr>
          <w:ilvl w:val="0"/>
          <w:numId w:val="50"/>
        </w:numPr>
        <w:rPr>
          <w:rFonts w:ascii="Arial" w:cs="Arial" w:eastAsia="Arial" w:hAnsi="Arial"/>
          <w:sz w:val="25"/>
          <w:szCs w:val="25"/>
          <w:color w:val="auto"/>
          <w:vertAlign w:val="superscript"/>
        </w:rPr>
      </w:pPr>
      <w:r>
        <w:rPr>
          <w:rFonts w:ascii="Arial" w:cs="Arial" w:eastAsia="Arial" w:hAnsi="Arial"/>
          <w:sz w:val="19"/>
          <w:szCs w:val="19"/>
          <w:color w:val="auto"/>
        </w:rPr>
        <w:t>PAA repaid these senior notes with cash on hand and borrowings under its commercial paper program.</w:t>
      </w:r>
    </w:p>
    <w:p>
      <w:pPr>
        <w:spacing w:after="0" w:line="207" w:lineRule="exact"/>
        <w:rPr>
          <w:rFonts w:ascii="Arial" w:cs="Arial" w:eastAsia="Arial" w:hAnsi="Arial"/>
          <w:sz w:val="25"/>
          <w:szCs w:val="25"/>
          <w:color w:val="auto"/>
          <w:vertAlign w:val="superscript"/>
        </w:rPr>
      </w:pPr>
    </w:p>
    <w:p>
      <w:pPr>
        <w:ind w:left="701"/>
        <w:spacing w:after="0"/>
        <w:rPr>
          <w:rFonts w:ascii="Arial" w:cs="Arial" w:eastAsia="Arial" w:hAnsi="Arial"/>
          <w:sz w:val="25"/>
          <w:szCs w:val="25"/>
          <w:color w:val="auto"/>
          <w:vertAlign w:val="superscript"/>
        </w:rPr>
      </w:pPr>
      <w:r>
        <w:rPr>
          <w:rFonts w:ascii="Arial" w:cs="Arial" w:eastAsia="Arial" w:hAnsi="Arial"/>
          <w:sz w:val="19"/>
          <w:szCs w:val="19"/>
          <w:b w:val="1"/>
          <w:bCs w:val="1"/>
          <w:color w:val="auto"/>
        </w:rPr>
        <w:t>Registration Statements</w:t>
      </w:r>
    </w:p>
    <w:p>
      <w:pPr>
        <w:spacing w:after="0" w:line="255" w:lineRule="exact"/>
        <w:rPr>
          <w:sz w:val="20"/>
          <w:szCs w:val="20"/>
          <w:color w:val="auto"/>
        </w:rPr>
      </w:pPr>
    </w:p>
    <w:p>
      <w:pPr>
        <w:ind w:left="1" w:right="20" w:firstLine="702"/>
        <w:spacing w:after="0" w:line="285" w:lineRule="auto"/>
        <w:rPr>
          <w:sz w:val="20"/>
          <w:szCs w:val="20"/>
          <w:color w:val="auto"/>
        </w:rPr>
      </w:pPr>
      <w:r>
        <w:rPr>
          <w:rFonts w:ascii="Arial" w:cs="Arial" w:eastAsia="Arial" w:hAnsi="Arial"/>
          <w:sz w:val="18"/>
          <w:szCs w:val="18"/>
          <w:b w:val="1"/>
          <w:bCs w:val="1"/>
          <w:i w:val="1"/>
          <w:iCs w:val="1"/>
          <w:color w:val="auto"/>
        </w:rPr>
        <w:t xml:space="preserve">PAGP Registration Statements. </w:t>
      </w:r>
      <w:r>
        <w:rPr>
          <w:rFonts w:ascii="Arial" w:cs="Arial" w:eastAsia="Arial" w:hAnsi="Arial"/>
          <w:sz w:val="18"/>
          <w:szCs w:val="18"/>
          <w:color w:val="auto"/>
        </w:rPr>
        <w:t>We have filed with the SEC a shelf registration statement that, subject to effectiveness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time of use, allows us to issue up to a specified amount of equity securities (“PAGP Traditional Shelf”). At December 31, 2023, we had approximately $939 million of unsold securities available under the PAGP Traditional Shelf. We also have access to a universal shelf registration statement (“PAGP WKSI Shelf”), which provides us with the ability to offer and sell an unlimited amount of equity securities, subject to market conditions and its capital needs.</w:t>
      </w:r>
    </w:p>
    <w:p>
      <w:pPr>
        <w:spacing w:after="0" w:line="175" w:lineRule="exact"/>
        <w:rPr>
          <w:sz w:val="20"/>
          <w:szCs w:val="20"/>
          <w:color w:val="auto"/>
        </w:rPr>
      </w:pPr>
    </w:p>
    <w:p>
      <w:pPr>
        <w:ind w:left="1" w:firstLine="702"/>
        <w:spacing w:after="0" w:line="265" w:lineRule="auto"/>
        <w:rPr>
          <w:sz w:val="20"/>
          <w:szCs w:val="20"/>
          <w:color w:val="auto"/>
        </w:rPr>
      </w:pPr>
      <w:r>
        <w:rPr>
          <w:rFonts w:ascii="Arial" w:cs="Arial" w:eastAsia="Arial" w:hAnsi="Arial"/>
          <w:sz w:val="19"/>
          <w:szCs w:val="19"/>
          <w:b w:val="1"/>
          <w:bCs w:val="1"/>
          <w:i w:val="1"/>
          <w:iCs w:val="1"/>
          <w:color w:val="auto"/>
        </w:rPr>
        <w:t>PAA Registration Statements</w:t>
      </w:r>
      <w:r>
        <w:rPr>
          <w:rFonts w:ascii="Arial" w:cs="Arial" w:eastAsia="Arial" w:hAnsi="Arial"/>
          <w:sz w:val="19"/>
          <w:szCs w:val="19"/>
          <w:color w:val="auto"/>
        </w:rPr>
        <w:t>. PAA periodically accesses the capital markets for both equity and debt financing. PAA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has filed with the SEC a universal shelf registration statement that, subject to effectiveness at the time of use, allows PAA to issue up to a specified amount of debt or equity securities (“PAA Traditional Shelf”), under which PAA had approximately $1.1 billion of unsold securities available at December 31, 2023. PAA also has access to a universal shelf registration statement (“PAA WKSI Shelf”), which provides it with the ability to offer and sell an unlimited amount of debt and equity securities, subject to market conditions and capital needs.</w:t>
      </w:r>
    </w:p>
    <w:p>
      <w:pPr>
        <w:spacing w:after="0" w:line="188" w:lineRule="exact"/>
        <w:rPr>
          <w:sz w:val="20"/>
          <w:szCs w:val="20"/>
          <w:color w:val="auto"/>
        </w:rPr>
      </w:pPr>
    </w:p>
    <w:p>
      <w:pPr>
        <w:ind w:left="701"/>
        <w:spacing w:after="0"/>
        <w:rPr>
          <w:sz w:val="20"/>
          <w:szCs w:val="20"/>
          <w:color w:val="auto"/>
        </w:rPr>
      </w:pPr>
      <w:r>
        <w:rPr>
          <w:rFonts w:ascii="Arial" w:cs="Arial" w:eastAsia="Arial" w:hAnsi="Arial"/>
          <w:sz w:val="19"/>
          <w:szCs w:val="19"/>
          <w:b w:val="1"/>
          <w:bCs w:val="1"/>
          <w:color w:val="auto"/>
        </w:rPr>
        <w:t>Common Equity Repurchase Program</w:t>
      </w:r>
    </w:p>
    <w:p>
      <w:pPr>
        <w:spacing w:after="0" w:line="253" w:lineRule="exact"/>
        <w:rPr>
          <w:sz w:val="20"/>
          <w:szCs w:val="20"/>
          <w:color w:val="auto"/>
        </w:rPr>
      </w:pPr>
    </w:p>
    <w:p>
      <w:pPr>
        <w:ind w:left="1" w:right="60" w:firstLine="702"/>
        <w:spacing w:after="0" w:line="295" w:lineRule="auto"/>
        <w:rPr>
          <w:sz w:val="20"/>
          <w:szCs w:val="20"/>
          <w:color w:val="auto"/>
        </w:rPr>
      </w:pPr>
      <w:r>
        <w:rPr>
          <w:rFonts w:ascii="Arial" w:cs="Arial" w:eastAsia="Arial" w:hAnsi="Arial"/>
          <w:sz w:val="17"/>
          <w:szCs w:val="17"/>
          <w:color w:val="auto"/>
        </w:rPr>
        <w:t>In November 2020, the board of directors of our general partner approved a $500 million common equity repurchase program (the “Program”) to be utilized as an additional method of returning capital to investors. The Program authorizes the repurchase from time to time of up to $500 million of PAA’s common units and/or our Class A shares via open market purchases or negotiated transactions conducted in accordance with applicable regulatory requirements. Ultimately, the amount, timing and pace of potential repurchase activity will be determined by a number of factors, including market conditions, PAA’s financial performance and flexibility, PAA’s actual and expected free cash flow after distributions, the absolute and relative equity prices of PAA’s common units and our Class A shares, and the extent to which PAA is positioned to achieve and maintain its targeted leverage ratio. No time limit has been set for completion of the Program, and the Program may be suspended or discontinued at any time. The Program does not obligate PAA or us to acquire a particular number of common units or Class A shares. Any PAA common units or Class A shares that are repurchased will be canceled.</w:t>
      </w:r>
    </w:p>
    <w:p>
      <w:pPr>
        <w:spacing w:after="0" w:line="171" w:lineRule="exact"/>
        <w:rPr>
          <w:sz w:val="20"/>
          <w:szCs w:val="20"/>
          <w:color w:val="auto"/>
        </w:rPr>
      </w:pPr>
    </w:p>
    <w:p>
      <w:pPr>
        <w:ind w:left="1" w:right="180" w:firstLine="702"/>
        <w:spacing w:after="0" w:line="323" w:lineRule="auto"/>
        <w:rPr>
          <w:sz w:val="20"/>
          <w:szCs w:val="20"/>
          <w:color w:val="auto"/>
        </w:rPr>
      </w:pPr>
      <w:r>
        <w:rPr>
          <w:rFonts w:ascii="Arial" w:cs="Arial" w:eastAsia="Arial" w:hAnsi="Arial"/>
          <w:sz w:val="17"/>
          <w:szCs w:val="17"/>
          <w:color w:val="auto"/>
        </w:rPr>
        <w:t>There were no repurchases under the Program during the year ended December 31, 2023. PAA repurchased common units under the Program during the year ended December 31, 2022 for a total purchase price of $74 million, including commissions and fees. The remaining available capacity under the Program as of December 31, 2023 was $198 million.</w:t>
      </w:r>
    </w:p>
    <w:p>
      <w:pPr>
        <w:sectPr>
          <w:pgSz w:w="11880" w:h="15480" w:orient="portrait"/>
          <w:cols w:equalWidth="0" w:num="1">
            <w:col w:w="10001"/>
          </w:cols>
          <w:pgMar w:left="939" w:top="910"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880" w:h="15480" w:orient="portrait"/>
          <w:cols w:equalWidth="0" w:num="1">
            <w:col w:w="10001"/>
          </w:cols>
          <w:pgMar w:left="939" w:top="910" w:right="940" w:bottom="0" w:gutter="0" w:footer="0" w:header="0"/>
          <w:type w:val="continuous"/>
        </w:sectPr>
      </w:pPr>
    </w:p>
    <w:bookmarkStart w:id="86" w:name="page87"/>
    <w:bookmarkEnd w:id="86"/>
    <w:p>
      <w:pPr>
        <w:ind w:left="700"/>
        <w:spacing w:after="0"/>
        <w:rPr>
          <w:sz w:val="20"/>
          <w:szCs w:val="20"/>
          <w:color w:val="auto"/>
        </w:rPr>
      </w:pPr>
      <w:r>
        <w:rPr>
          <w:rFonts w:ascii="Arial" w:cs="Arial" w:eastAsia="Arial" w:hAnsi="Arial"/>
          <w:sz w:val="19"/>
          <w:szCs w:val="19"/>
          <w:b w:val="1"/>
          <w:bCs w:val="1"/>
          <w:color w:val="auto"/>
        </w:rPr>
        <w:t>Distributions to Our Class A Shareholders</w:t>
      </w:r>
    </w:p>
    <w:p>
      <w:pPr>
        <w:spacing w:after="0" w:line="257" w:lineRule="exact"/>
        <w:rPr>
          <w:sz w:val="20"/>
          <w:szCs w:val="20"/>
          <w:color w:val="auto"/>
        </w:rPr>
      </w:pPr>
    </w:p>
    <w:p>
      <w:pPr>
        <w:ind w:right="40" w:firstLine="702"/>
        <w:spacing w:after="0" w:line="280" w:lineRule="auto"/>
        <w:rPr>
          <w:sz w:val="20"/>
          <w:szCs w:val="20"/>
          <w:color w:val="auto"/>
        </w:rPr>
      </w:pPr>
      <w:r>
        <w:rPr>
          <w:rFonts w:ascii="Arial" w:cs="Arial" w:eastAsia="Arial" w:hAnsi="Arial"/>
          <w:sz w:val="18"/>
          <w:szCs w:val="18"/>
          <w:color w:val="auto"/>
        </w:rPr>
        <w:t>We distribute 100% of our available cash to our Class A shareholders of record within 55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among other things, the proper conduct of our business (including future capital expenditures and anticipated credit needs), compliance with legal or contractual obligations and funding of future distributions to our shareholders. See Item 5. “Market for Registrant’s Shares, Related Shareholder Matters and Issuer Purchases of Equity Securities—Cash Distribution Policy” for additional discussion regarding distributions.</w:t>
      </w:r>
    </w:p>
    <w:p>
      <w:pPr>
        <w:spacing w:after="0" w:line="181" w:lineRule="exact"/>
        <w:rPr>
          <w:sz w:val="20"/>
          <w:szCs w:val="20"/>
          <w:color w:val="auto"/>
        </w:rPr>
      </w:pPr>
    </w:p>
    <w:p>
      <w:pPr>
        <w:ind w:firstLine="702"/>
        <w:spacing w:after="0" w:line="269" w:lineRule="auto"/>
        <w:rPr>
          <w:sz w:val="20"/>
          <w:szCs w:val="20"/>
          <w:color w:val="auto"/>
        </w:rPr>
      </w:pPr>
      <w:r>
        <w:rPr>
          <w:rFonts w:ascii="Arial" w:cs="Arial" w:eastAsia="Arial" w:hAnsi="Arial"/>
          <w:sz w:val="19"/>
          <w:szCs w:val="19"/>
          <w:color w:val="auto"/>
        </w:rPr>
        <w:t>On February 14, 2024, we paid a quarterly distribution of $0.3175 per Class A share ($1.27 per Class A share on an annualized basis). The distribution was paid to Class A shareholders of record as of January 31, 2024, with respect to the quarter ended December 31, 2023. See Note 11 to our Consolidated Financial Statements for details of distributions paid during the three years ended December 31, 2023.</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Distributions to Noncontrolling Interests</w:t>
      </w:r>
    </w:p>
    <w:p>
      <w:pPr>
        <w:spacing w:after="0" w:line="257" w:lineRule="exact"/>
        <w:rPr>
          <w:sz w:val="20"/>
          <w:szCs w:val="20"/>
          <w:color w:val="auto"/>
        </w:rPr>
      </w:pPr>
    </w:p>
    <w:p>
      <w:pPr>
        <w:ind w:right="20" w:firstLine="702"/>
        <w:spacing w:after="0" w:line="282" w:lineRule="auto"/>
        <w:rPr>
          <w:sz w:val="20"/>
          <w:szCs w:val="20"/>
          <w:color w:val="auto"/>
        </w:rPr>
      </w:pPr>
      <w:r>
        <w:rPr>
          <w:rFonts w:ascii="Arial" w:cs="Arial" w:eastAsia="Arial" w:hAnsi="Arial"/>
          <w:sz w:val="18"/>
          <w:szCs w:val="18"/>
          <w:color w:val="auto"/>
        </w:rPr>
        <w:t>Distributions to noncontrolling interests represent amounts paid on interests in consolidated entities that are not owned by us. As of December 31, 2023, noncontrolling interests in our subsidiaries consisted of (i) limited partner interests in PAA including a 70% interest in PAA’s common units and PAA’s Series A preferred units combined and 100% of PAA’s Series B preferred units, (ii) an approximate 16% limited partner interest in AAP, (iii) a 35% interest in the Permian JV, (iv) a 30% interest in Cactus II and (v) a 33% interest in Red River. See Note 11 to our Consolidated Financial Statements for details of distributions paid to noncontrolling interests during the three years ended December 31, 2023.</w:t>
      </w:r>
    </w:p>
    <w:p>
      <w:pPr>
        <w:spacing w:after="0" w:line="177" w:lineRule="exact"/>
        <w:rPr>
          <w:sz w:val="20"/>
          <w:szCs w:val="20"/>
          <w:color w:val="auto"/>
        </w:rPr>
      </w:pPr>
    </w:p>
    <w:p>
      <w:pPr>
        <w:ind w:right="220" w:firstLine="702"/>
        <w:spacing w:after="0" w:line="361" w:lineRule="auto"/>
        <w:rPr>
          <w:sz w:val="20"/>
          <w:szCs w:val="20"/>
          <w:color w:val="auto"/>
        </w:rPr>
      </w:pPr>
      <w:r>
        <w:rPr>
          <w:rFonts w:ascii="Arial" w:cs="Arial" w:eastAsia="Arial" w:hAnsi="Arial"/>
          <w:sz w:val="17"/>
          <w:szCs w:val="17"/>
          <w:b w:val="1"/>
          <w:bCs w:val="1"/>
          <w:i w:val="1"/>
          <w:iCs w:val="1"/>
          <w:color w:val="auto"/>
        </w:rPr>
        <w:t xml:space="preserve">Distributions to PAA’s Series A preferred unitholders. </w:t>
      </w:r>
      <w:r>
        <w:rPr>
          <w:rFonts w:ascii="Arial" w:cs="Arial" w:eastAsia="Arial" w:hAnsi="Arial"/>
          <w:sz w:val="17"/>
          <w:szCs w:val="17"/>
          <w:color w:val="auto"/>
        </w:rPr>
        <w:t>Holders of PAA’s Series A preferred units are entitled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 quarterly distributions, subject to customary anti-dilution adjustments, of $0.615 per unit ($2.46 per unit annualized).</w:t>
      </w:r>
    </w:p>
    <w:p>
      <w:pPr>
        <w:spacing w:after="0" w:line="114" w:lineRule="exact"/>
        <w:rPr>
          <w:sz w:val="20"/>
          <w:szCs w:val="20"/>
          <w:color w:val="auto"/>
        </w:rPr>
      </w:pPr>
    </w:p>
    <w:p>
      <w:pPr>
        <w:ind w:right="100" w:firstLine="702"/>
        <w:spacing w:after="0" w:line="285" w:lineRule="auto"/>
        <w:rPr>
          <w:sz w:val="20"/>
          <w:szCs w:val="20"/>
          <w:color w:val="auto"/>
        </w:rPr>
      </w:pPr>
      <w:r>
        <w:rPr>
          <w:rFonts w:ascii="Arial" w:cs="Arial" w:eastAsia="Arial" w:hAnsi="Arial"/>
          <w:sz w:val="18"/>
          <w:szCs w:val="18"/>
          <w:b w:val="1"/>
          <w:bCs w:val="1"/>
          <w:i w:val="1"/>
          <w:iCs w:val="1"/>
          <w:color w:val="auto"/>
        </w:rPr>
        <w:t xml:space="preserve">Distributions to PAA’s Series B preferred unitholders. </w:t>
      </w:r>
      <w:r>
        <w:rPr>
          <w:rFonts w:ascii="Arial" w:cs="Arial" w:eastAsia="Arial" w:hAnsi="Arial"/>
          <w:sz w:val="18"/>
          <w:szCs w:val="18"/>
          <w:color w:val="auto"/>
        </w:rPr>
        <w:t>Holders of PAA’s Series B preferred units are entitled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when, as and if declared by PAA’s general partner out of legally available funds for such purpose, cumulative cash distributions, as applicable. Distributions on the Series B preferred units accumulate based on the applicable three-month SOFR, plus a credit spread adjustment of 0.26121%, plus 4.11% per annum. The distribution rate for the quarterly distribution paid on February 15, 2024 was 9.75093% per annum ($24.92 per Series B preferred unit).</w:t>
      </w:r>
    </w:p>
    <w:p>
      <w:pPr>
        <w:spacing w:after="0" w:line="175" w:lineRule="exact"/>
        <w:rPr>
          <w:sz w:val="20"/>
          <w:szCs w:val="20"/>
          <w:color w:val="auto"/>
        </w:rPr>
      </w:pPr>
    </w:p>
    <w:p>
      <w:pPr>
        <w:ind w:right="120" w:firstLine="702"/>
        <w:spacing w:after="0" w:line="277" w:lineRule="auto"/>
        <w:rPr>
          <w:sz w:val="20"/>
          <w:szCs w:val="20"/>
          <w:color w:val="auto"/>
        </w:rPr>
      </w:pPr>
      <w:r>
        <w:rPr>
          <w:rFonts w:ascii="Arial" w:cs="Arial" w:eastAsia="Arial" w:hAnsi="Arial"/>
          <w:sz w:val="19"/>
          <w:szCs w:val="19"/>
          <w:b w:val="1"/>
          <w:bCs w:val="1"/>
          <w:i w:val="1"/>
          <w:iCs w:val="1"/>
          <w:color w:val="auto"/>
        </w:rPr>
        <w:t xml:space="preserve">Distributions to PAA’s common unitholders. </w:t>
      </w:r>
      <w:r>
        <w:rPr>
          <w:rFonts w:ascii="Arial" w:cs="Arial" w:eastAsia="Arial" w:hAnsi="Arial"/>
          <w:sz w:val="19"/>
          <w:szCs w:val="19"/>
          <w:color w:val="auto"/>
        </w:rPr>
        <w:t>On February 14, 2024, PAA paid a quarterly distribution of $0.3175 per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common unit ($1.27 per common unit on an annualized basis). The total distribution of $223 million was paid to common unitholders of record as of January 31, 2024, with respect to the quarter ended December 31, 2023.</w:t>
      </w:r>
    </w:p>
    <w:p>
      <w:pPr>
        <w:spacing w:after="0" w:line="181" w:lineRule="exact"/>
        <w:rPr>
          <w:sz w:val="20"/>
          <w:szCs w:val="20"/>
          <w:color w:val="auto"/>
        </w:rPr>
      </w:pPr>
    </w:p>
    <w:p>
      <w:pPr>
        <w:ind w:right="340" w:firstLine="702"/>
        <w:spacing w:after="0" w:line="295" w:lineRule="auto"/>
        <w:rPr>
          <w:sz w:val="20"/>
          <w:szCs w:val="20"/>
          <w:color w:val="auto"/>
        </w:rPr>
      </w:pPr>
      <w:r>
        <w:rPr>
          <w:rFonts w:ascii="Arial" w:cs="Arial" w:eastAsia="Arial" w:hAnsi="Arial"/>
          <w:sz w:val="19"/>
          <w:szCs w:val="19"/>
          <w:color w:val="auto"/>
        </w:rPr>
        <w:t>See Note 11 to our Consolidated Financial Statements for details of distributions paid during the three years ended December 31, 2023.</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Contingencies</w:t>
      </w:r>
    </w:p>
    <w:p>
      <w:pPr>
        <w:spacing w:after="0" w:line="25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For a discussion of contingencies that may impact us, see Note 18 to our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Commitments</w:t>
      </w:r>
    </w:p>
    <w:p>
      <w:pPr>
        <w:spacing w:after="0" w:line="257" w:lineRule="exact"/>
        <w:rPr>
          <w:sz w:val="20"/>
          <w:szCs w:val="20"/>
          <w:color w:val="auto"/>
        </w:rPr>
      </w:pPr>
    </w:p>
    <w:p>
      <w:pPr>
        <w:ind w:right="120" w:firstLine="702"/>
        <w:spacing w:after="0" w:line="295" w:lineRule="auto"/>
        <w:rPr>
          <w:sz w:val="20"/>
          <w:szCs w:val="20"/>
          <w:color w:val="auto"/>
        </w:rPr>
      </w:pPr>
      <w:r>
        <w:rPr>
          <w:rFonts w:ascii="Arial" w:cs="Arial" w:eastAsia="Arial" w:hAnsi="Arial"/>
          <w:sz w:val="19"/>
          <w:szCs w:val="19"/>
          <w:color w:val="auto"/>
        </w:rPr>
        <w:t>See Note 10 to our Consolidated Financial Statements for information regarding our debt obligations and Note 18 for information regarding our leases and other commitments.</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Purchase Obligations</w:t>
      </w:r>
    </w:p>
    <w:p>
      <w:pPr>
        <w:spacing w:after="0" w:line="257" w:lineRule="exact"/>
        <w:rPr>
          <w:sz w:val="20"/>
          <w:szCs w:val="20"/>
          <w:color w:val="auto"/>
        </w:rPr>
      </w:pPr>
    </w:p>
    <w:p>
      <w:pPr>
        <w:ind w:right="100" w:firstLine="702"/>
        <w:spacing w:after="0" w:line="280" w:lineRule="auto"/>
        <w:rPr>
          <w:sz w:val="20"/>
          <w:szCs w:val="20"/>
          <w:color w:val="auto"/>
        </w:rPr>
      </w:pPr>
      <w:r>
        <w:rPr>
          <w:rFonts w:ascii="Arial" w:cs="Arial" w:eastAsia="Arial" w:hAnsi="Arial"/>
          <w:sz w:val="18"/>
          <w:szCs w:val="18"/>
          <w:color w:val="auto"/>
        </w:rPr>
        <w:t>In the ordinary course of doing business, we purchase crude oil and NGL from third parties under contracts, the majority of which range in term from thirty-day evergreen to five years, with a limited number of contracts with remaining terms extending up to 11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ectPr>
          <w:pgSz w:w="11880" w:h="15480" w:orient="portrait"/>
          <w:cols w:equalWidth="0" w:num="1">
            <w:col w:w="9960"/>
          </w:cols>
          <w:pgMar w:left="940" w:top="669" w:right="980"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ectPr>
          <w:pgSz w:w="11880" w:h="15480" w:orient="portrait"/>
          <w:cols w:equalWidth="0" w:num="1">
            <w:col w:w="9960"/>
          </w:cols>
          <w:pgMar w:left="940" w:top="669" w:right="980" w:bottom="0" w:gutter="0" w:footer="0" w:header="0"/>
          <w:type w:val="continuous"/>
        </w:sectPr>
      </w:pPr>
    </w:p>
    <w:bookmarkStart w:id="87" w:name="page88"/>
    <w:bookmarkEnd w:id="87"/>
    <w:p>
      <w:pPr>
        <w:ind w:left="1" w:right="800" w:firstLine="702"/>
        <w:spacing w:after="0" w:line="295" w:lineRule="auto"/>
        <w:rPr>
          <w:sz w:val="20"/>
          <w:szCs w:val="20"/>
          <w:color w:val="auto"/>
        </w:rPr>
      </w:pPr>
      <w:r>
        <w:rPr>
          <w:rFonts w:ascii="Arial" w:cs="Arial" w:eastAsia="Arial" w:hAnsi="Arial"/>
          <w:sz w:val="19"/>
          <w:szCs w:val="19"/>
          <w:color w:val="auto"/>
        </w:rPr>
        <w:t>The following table includes our best estimate and the timing of these payments as of December 31, 2023 (in millions):</w:t>
      </w:r>
    </w:p>
    <w:p>
      <w:pPr>
        <w:spacing w:after="0" w:line="232" w:lineRule="exact"/>
        <w:rPr>
          <w:sz w:val="20"/>
          <w:szCs w:val="20"/>
          <w:color w:val="auto"/>
        </w:rPr>
      </w:pPr>
    </w:p>
    <w:tbl>
      <w:tblPr>
        <w:tblLayout w:type="fixed"/>
        <w:tblInd w:w="61"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860" w:type="dxa"/>
            <w:vAlign w:val="bottom"/>
            <w:vMerge w:val="restart"/>
          </w:tcPr>
          <w:p>
            <w:pPr>
              <w:jc w:val="right"/>
              <w:ind w:right="192"/>
              <w:spacing w:after="0"/>
              <w:rPr>
                <w:sz w:val="20"/>
                <w:szCs w:val="20"/>
                <w:color w:val="auto"/>
              </w:rPr>
            </w:pPr>
            <w:r>
              <w:rPr>
                <w:rFonts w:ascii="Arial" w:cs="Arial" w:eastAsia="Arial" w:hAnsi="Arial"/>
                <w:sz w:val="16"/>
                <w:szCs w:val="16"/>
                <w:b w:val="1"/>
                <w:bCs w:val="1"/>
                <w:color w:val="auto"/>
              </w:rPr>
              <w:t>2024</w:t>
            </w:r>
          </w:p>
        </w:tc>
        <w:tc>
          <w:tcPr>
            <w:tcW w:w="60" w:type="dxa"/>
            <w:vAlign w:val="bottom"/>
            <w:vMerge w:val="restart"/>
          </w:tcPr>
          <w:p>
            <w:pPr>
              <w:spacing w:after="0"/>
              <w:rPr>
                <w:sz w:val="16"/>
                <w:szCs w:val="16"/>
                <w:color w:val="auto"/>
              </w:rPr>
            </w:pPr>
          </w:p>
        </w:tc>
        <w:tc>
          <w:tcPr>
            <w:tcW w:w="86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rPr>
              <w:t>2025</w:t>
            </w:r>
          </w:p>
        </w:tc>
        <w:tc>
          <w:tcPr>
            <w:tcW w:w="60" w:type="dxa"/>
            <w:vAlign w:val="bottom"/>
            <w:vMerge w:val="restart"/>
          </w:tcPr>
          <w:p>
            <w:pPr>
              <w:spacing w:after="0"/>
              <w:rPr>
                <w:sz w:val="16"/>
                <w:szCs w:val="16"/>
                <w:color w:val="auto"/>
              </w:rPr>
            </w:pPr>
          </w:p>
        </w:tc>
        <w:tc>
          <w:tcPr>
            <w:tcW w:w="86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rPr>
              <w:t>2026</w:t>
            </w:r>
          </w:p>
        </w:tc>
        <w:tc>
          <w:tcPr>
            <w:tcW w:w="60" w:type="dxa"/>
            <w:vAlign w:val="bottom"/>
            <w:vMerge w:val="restart"/>
          </w:tcPr>
          <w:p>
            <w:pPr>
              <w:spacing w:after="0"/>
              <w:rPr>
                <w:sz w:val="16"/>
                <w:szCs w:val="16"/>
                <w:color w:val="auto"/>
              </w:rPr>
            </w:pPr>
          </w:p>
        </w:tc>
        <w:tc>
          <w:tcPr>
            <w:tcW w:w="86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rPr>
              <w:t>2027</w:t>
            </w:r>
          </w:p>
        </w:tc>
        <w:tc>
          <w:tcPr>
            <w:tcW w:w="80" w:type="dxa"/>
            <w:vAlign w:val="bottom"/>
            <w:vMerge w:val="restart"/>
          </w:tcPr>
          <w:p>
            <w:pPr>
              <w:spacing w:after="0"/>
              <w:rPr>
                <w:sz w:val="16"/>
                <w:szCs w:val="16"/>
                <w:color w:val="auto"/>
              </w:rPr>
            </w:pPr>
          </w:p>
        </w:tc>
        <w:tc>
          <w:tcPr>
            <w:tcW w:w="84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2028</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7"/>
              </w:rPr>
              <w:t>2029 and</w:t>
            </w:r>
          </w:p>
        </w:tc>
        <w:tc>
          <w:tcPr>
            <w:tcW w:w="80" w:type="dxa"/>
            <w:vAlign w:val="bottom"/>
          </w:tcPr>
          <w:p>
            <w:pPr>
              <w:spacing w:after="0"/>
              <w:rPr>
                <w:sz w:val="16"/>
                <w:szCs w:val="16"/>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9"/>
        </w:trPr>
        <w:tc>
          <w:tcPr>
            <w:tcW w:w="3560" w:type="dxa"/>
            <w:vAlign w:val="bottom"/>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Thereafter</w:t>
            </w:r>
          </w:p>
        </w:tc>
        <w:tc>
          <w:tcPr>
            <w:tcW w:w="8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3560" w:type="dxa"/>
            <w:vAlign w:val="bottom"/>
          </w:tcPr>
          <w:p>
            <w:pPr>
              <w:spacing w:after="0"/>
              <w:rPr>
                <w:sz w:val="20"/>
                <w:szCs w:val="20"/>
                <w:color w:val="auto"/>
              </w:rPr>
            </w:pPr>
            <w:r>
              <w:rPr>
                <w:rFonts w:ascii="Arial" w:cs="Arial" w:eastAsia="Arial" w:hAnsi="Arial"/>
                <w:sz w:val="19"/>
                <w:szCs w:val="19"/>
                <w:color w:val="auto"/>
              </w:rPr>
              <w:t xml:space="preserve">Crude oil, NGL and other purchases </w:t>
            </w:r>
            <w:r>
              <w:rPr>
                <w:rFonts w:ascii="Arial" w:cs="Arial" w:eastAsia="Arial" w:hAnsi="Arial"/>
                <w:sz w:val="25"/>
                <w:szCs w:val="25"/>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9"/>
                <w:szCs w:val="19"/>
                <w:color w:val="auto"/>
              </w:rPr>
              <w:t>$ 22,938</w:t>
            </w:r>
          </w:p>
        </w:tc>
        <w:tc>
          <w:tcPr>
            <w:tcW w:w="920" w:type="dxa"/>
            <w:vAlign w:val="bottom"/>
            <w:gridSpan w:val="2"/>
          </w:tcPr>
          <w:p>
            <w:pPr>
              <w:jc w:val="right"/>
              <w:ind w:right="2"/>
              <w:spacing w:after="0"/>
              <w:rPr>
                <w:sz w:val="20"/>
                <w:szCs w:val="20"/>
                <w:color w:val="auto"/>
              </w:rPr>
            </w:pPr>
            <w:r>
              <w:rPr>
                <w:rFonts w:ascii="Arial" w:cs="Arial" w:eastAsia="Arial" w:hAnsi="Arial"/>
                <w:sz w:val="19"/>
                <w:szCs w:val="19"/>
                <w:color w:val="auto"/>
              </w:rPr>
              <w:t>$ 19,743</w:t>
            </w:r>
          </w:p>
        </w:tc>
        <w:tc>
          <w:tcPr>
            <w:tcW w:w="920" w:type="dxa"/>
            <w:vAlign w:val="bottom"/>
            <w:gridSpan w:val="2"/>
          </w:tcPr>
          <w:p>
            <w:pPr>
              <w:jc w:val="right"/>
              <w:ind w:right="2"/>
              <w:spacing w:after="0"/>
              <w:rPr>
                <w:sz w:val="20"/>
                <w:szCs w:val="20"/>
                <w:color w:val="auto"/>
              </w:rPr>
            </w:pPr>
            <w:r>
              <w:rPr>
                <w:rFonts w:ascii="Arial" w:cs="Arial" w:eastAsia="Arial" w:hAnsi="Arial"/>
                <w:sz w:val="19"/>
                <w:szCs w:val="19"/>
                <w:color w:val="auto"/>
              </w:rPr>
              <w:t>$ 17,910</w:t>
            </w:r>
          </w:p>
        </w:tc>
        <w:tc>
          <w:tcPr>
            <w:tcW w:w="920" w:type="dxa"/>
            <w:vAlign w:val="bottom"/>
            <w:gridSpan w:val="2"/>
          </w:tcPr>
          <w:p>
            <w:pPr>
              <w:jc w:val="right"/>
              <w:ind w:right="2"/>
              <w:spacing w:after="0"/>
              <w:rPr>
                <w:sz w:val="20"/>
                <w:szCs w:val="20"/>
                <w:color w:val="auto"/>
              </w:rPr>
            </w:pPr>
            <w:r>
              <w:rPr>
                <w:rFonts w:ascii="Arial" w:cs="Arial" w:eastAsia="Arial" w:hAnsi="Arial"/>
                <w:sz w:val="19"/>
                <w:szCs w:val="19"/>
                <w:color w:val="auto"/>
              </w:rPr>
              <w:t>$ 15,817</w:t>
            </w:r>
          </w:p>
        </w:tc>
        <w:tc>
          <w:tcPr>
            <w:tcW w:w="920" w:type="dxa"/>
            <w:vAlign w:val="bottom"/>
            <w:gridSpan w:val="2"/>
          </w:tcPr>
          <w:p>
            <w:pPr>
              <w:jc w:val="right"/>
              <w:ind w:right="2"/>
              <w:spacing w:after="0"/>
              <w:rPr>
                <w:sz w:val="20"/>
                <w:szCs w:val="20"/>
                <w:color w:val="auto"/>
              </w:rPr>
            </w:pPr>
            <w:r>
              <w:rPr>
                <w:rFonts w:ascii="Arial" w:cs="Arial" w:eastAsia="Arial" w:hAnsi="Arial"/>
                <w:sz w:val="19"/>
                <w:szCs w:val="19"/>
                <w:color w:val="auto"/>
              </w:rPr>
              <w:t>$ 12,795</w:t>
            </w:r>
          </w:p>
        </w:tc>
        <w:tc>
          <w:tcPr>
            <w:tcW w:w="920" w:type="dxa"/>
            <w:vAlign w:val="bottom"/>
            <w:gridSpan w:val="2"/>
          </w:tcPr>
          <w:p>
            <w:pPr>
              <w:jc w:val="center"/>
              <w:spacing w:after="0"/>
              <w:rPr>
                <w:sz w:val="20"/>
                <w:szCs w:val="20"/>
                <w:color w:val="auto"/>
              </w:rPr>
            </w:pPr>
            <w:r>
              <w:rPr>
                <w:rFonts w:ascii="Arial" w:cs="Arial" w:eastAsia="Arial" w:hAnsi="Arial"/>
                <w:sz w:val="19"/>
                <w:szCs w:val="19"/>
                <w:color w:val="auto"/>
                <w:w w:val="97"/>
              </w:rPr>
              <w:t>$ 30,341</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$119,544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-229235</wp:posOffset>
            </wp:positionV>
            <wp:extent cx="6376670" cy="2108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6">
                      <a:extLst>
                        <a:ext uri="{28A0092B-C50C-407E-A947-70E740481C1C}"/>
                      </a:extLst>
                    </a:blip>
                    <a:srcRect/>
                    <a:stretch>
                      <a:fillRect/>
                    </a:stretch>
                  </pic:blipFill>
                  <pic:spPr bwMode="auto">
                    <a:xfrm>
                      <a:off x="0" y="0"/>
                      <a:ext cx="6376670" cy="21082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76835</wp:posOffset>
                </wp:positionV>
                <wp:extent cx="219075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07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05pt" to="172.5pt,6.05pt" o:allowincell="f" strokecolor="#000000" strokeweight="1pt"/>
            </w:pict>
          </mc:Fallback>
        </mc:AlternateContent>
      </w:r>
    </w:p>
    <w:p>
      <w:pPr>
        <w:spacing w:after="0" w:line="255" w:lineRule="exact"/>
        <w:rPr>
          <w:sz w:val="20"/>
          <w:szCs w:val="20"/>
          <w:color w:val="auto"/>
        </w:rPr>
      </w:pPr>
    </w:p>
    <w:p>
      <w:pPr>
        <w:ind w:left="701" w:right="260" w:hanging="701"/>
        <w:spacing w:after="0" w:line="244" w:lineRule="auto"/>
        <w:tabs>
          <w:tab w:leader="none" w:pos="701" w:val="left"/>
        </w:tabs>
        <w:numPr>
          <w:ilvl w:val="0"/>
          <w:numId w:val="51"/>
        </w:numPr>
        <w:rPr>
          <w:rFonts w:ascii="Arial" w:cs="Arial" w:eastAsia="Arial" w:hAnsi="Arial"/>
          <w:sz w:val="25"/>
          <w:szCs w:val="25"/>
          <w:color w:val="auto"/>
          <w:vertAlign w:val="superscript"/>
        </w:rPr>
      </w:pPr>
      <w:r>
        <w:rPr>
          <w:rFonts w:ascii="Arial" w:cs="Arial" w:eastAsia="Arial" w:hAnsi="Arial"/>
          <w:sz w:val="19"/>
          <w:szCs w:val="19"/>
          <w:color w:val="auto"/>
        </w:rPr>
        <w:t>Amounts are primarily based on estimated volumes and market prices based on average activity during December 2023.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9" w:lineRule="exact"/>
        <w:rPr>
          <w:sz w:val="20"/>
          <w:szCs w:val="20"/>
          <w:color w:val="auto"/>
        </w:rPr>
      </w:pPr>
    </w:p>
    <w:p>
      <w:pPr>
        <w:ind w:left="1" w:right="120" w:firstLine="702"/>
        <w:spacing w:after="0" w:line="280" w:lineRule="auto"/>
        <w:rPr>
          <w:sz w:val="20"/>
          <w:szCs w:val="20"/>
          <w:color w:val="auto"/>
        </w:rPr>
      </w:pPr>
      <w:r>
        <w:rPr>
          <w:rFonts w:ascii="Arial" w:cs="Arial" w:eastAsia="Arial" w:hAnsi="Arial"/>
          <w:sz w:val="18"/>
          <w:szCs w:val="18"/>
          <w:b w:val="1"/>
          <w:bCs w:val="1"/>
          <w:i w:val="1"/>
          <w:iCs w:val="1"/>
          <w:color w:val="auto"/>
        </w:rPr>
        <w:t xml:space="preserve">Letters of Credit. </w:t>
      </w:r>
      <w:r>
        <w:rPr>
          <w:rFonts w:ascii="Arial" w:cs="Arial" w:eastAsia="Arial" w:hAnsi="Arial"/>
          <w:sz w:val="18"/>
          <w:szCs w:val="18"/>
          <w:color w:val="auto"/>
        </w:rPr>
        <w:t>In connection with our merchant activities, we provide certain suppliers with irrevocable standby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letters of credit to secure 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2023 and 2022, we had outstanding letters of credit of approximately $205 million and $102 million, respectively.</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Off-Balance Sheet Arrangements</w:t>
      </w:r>
    </w:p>
    <w:p>
      <w:pPr>
        <w:spacing w:after="0" w:line="257" w:lineRule="exact"/>
        <w:rPr>
          <w:sz w:val="20"/>
          <w:szCs w:val="20"/>
          <w:color w:val="auto"/>
        </w:rPr>
      </w:pPr>
    </w:p>
    <w:p>
      <w:pPr>
        <w:ind w:left="701"/>
        <w:spacing w:after="0"/>
        <w:rPr>
          <w:sz w:val="20"/>
          <w:szCs w:val="20"/>
          <w:color w:val="auto"/>
        </w:rPr>
      </w:pPr>
      <w:r>
        <w:rPr>
          <w:rFonts w:ascii="Arial" w:cs="Arial" w:eastAsia="Arial" w:hAnsi="Arial"/>
          <w:sz w:val="19"/>
          <w:szCs w:val="19"/>
          <w:color w:val="auto"/>
        </w:rPr>
        <w:t>We have no off-balance sheet arrangements as defined by Item 303 of Regulation S-K.</w:t>
      </w:r>
    </w:p>
    <w:p>
      <w:pPr>
        <w:spacing w:after="0" w:line="242"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Investments in Unconsolidated Entities</w:t>
      </w:r>
    </w:p>
    <w:p>
      <w:pPr>
        <w:spacing w:after="0" w:line="257" w:lineRule="exact"/>
        <w:rPr>
          <w:sz w:val="20"/>
          <w:szCs w:val="20"/>
          <w:color w:val="auto"/>
        </w:rPr>
      </w:pPr>
    </w:p>
    <w:p>
      <w:pPr>
        <w:ind w:left="1" w:right="20" w:firstLine="702"/>
        <w:spacing w:after="0" w:line="269" w:lineRule="auto"/>
        <w:rPr>
          <w:sz w:val="20"/>
          <w:szCs w:val="20"/>
          <w:color w:val="auto"/>
        </w:rPr>
      </w:pPr>
      <w:r>
        <w:rPr>
          <w:rFonts w:ascii="Arial" w:cs="Arial" w:eastAsia="Arial" w:hAnsi="Arial"/>
          <w:sz w:val="19"/>
          <w:szCs w:val="19"/>
          <w:color w:val="auto"/>
        </w:rPr>
        <w:t>We have invested in entities that are not consolidated in our financial statements. None of these entities had debt outstanding as of December 31, 2023. We may elect at any time to make additional capital contributions to any of these entities. The following table sets forth selected information regarding these entities as of December 31, 2023 (unaudited, dollars in millions):</w:t>
      </w:r>
    </w:p>
    <w:p>
      <w:pPr>
        <w:spacing w:after="0" w:line="18"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Our</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restart"/>
          </w:tcPr>
          <w:p>
            <w:pPr>
              <w:jc w:val="right"/>
              <w:ind w:right="287"/>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69"/>
              <w:spacing w:after="0"/>
              <w:rPr>
                <w:sz w:val="20"/>
                <w:szCs w:val="20"/>
                <w:color w:val="auto"/>
              </w:rPr>
            </w:pPr>
            <w:r>
              <w:rPr>
                <w:rFonts w:ascii="Arial" w:cs="Arial" w:eastAsia="Arial" w:hAnsi="Arial"/>
                <w:sz w:val="16"/>
                <w:szCs w:val="16"/>
                <w:b w:val="1"/>
                <w:bCs w:val="1"/>
                <w:color w:val="auto"/>
                <w:w w:val="90"/>
              </w:rPr>
              <w:t>Total Cash</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69"/>
              <w:spacing w:after="0" w:line="156" w:lineRule="exact"/>
              <w:rPr>
                <w:sz w:val="20"/>
                <w:szCs w:val="20"/>
                <w:color w:val="auto"/>
              </w:rPr>
            </w:pPr>
            <w:r>
              <w:rPr>
                <w:rFonts w:ascii="Arial" w:cs="Arial" w:eastAsia="Arial" w:hAnsi="Arial"/>
                <w:sz w:val="16"/>
                <w:szCs w:val="16"/>
                <w:b w:val="1"/>
                <w:bCs w:val="1"/>
                <w:color w:val="auto"/>
                <w:w w:val="91"/>
              </w:rPr>
              <w:t>and</w:t>
            </w:r>
          </w:p>
        </w:tc>
        <w:tc>
          <w:tcPr>
            <w:tcW w:w="0" w:type="dxa"/>
            <w:vAlign w:val="bottom"/>
          </w:tcPr>
          <w:p>
            <w:pPr>
              <w:spacing w:after="0"/>
              <w:rPr>
                <w:sz w:val="1"/>
                <w:szCs w:val="1"/>
                <w:color w:val="auto"/>
              </w:rPr>
            </w:pPr>
          </w:p>
        </w:tc>
      </w:tr>
      <w:tr>
        <w:trPr>
          <w:trHeight w:val="156"/>
        </w:trPr>
        <w:tc>
          <w:tcPr>
            <w:tcW w:w="5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Entity</w:t>
            </w:r>
          </w:p>
        </w:tc>
        <w:tc>
          <w:tcPr>
            <w:tcW w:w="2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Type of Operation</w:t>
            </w:r>
          </w:p>
        </w:tc>
        <w:tc>
          <w:tcPr>
            <w:tcW w:w="8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Arial" w:cs="Arial" w:eastAsia="Arial" w:hAnsi="Arial"/>
                <w:sz w:val="16"/>
                <w:szCs w:val="16"/>
                <w:b w:val="1"/>
                <w:bCs w:val="1"/>
                <w:color w:val="auto"/>
                <w:w w:val="89"/>
              </w:rPr>
              <w:t>Ownership</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27"/>
              <w:spacing w:after="0" w:line="156" w:lineRule="exact"/>
              <w:rPr>
                <w:sz w:val="20"/>
                <w:szCs w:val="20"/>
                <w:color w:val="auto"/>
              </w:rPr>
            </w:pPr>
            <w:r>
              <w:rPr>
                <w:rFonts w:ascii="Arial" w:cs="Arial" w:eastAsia="Arial" w:hAnsi="Arial"/>
                <w:sz w:val="16"/>
                <w:szCs w:val="16"/>
                <w:b w:val="1"/>
                <w:bCs w:val="1"/>
                <w:color w:val="auto"/>
              </w:rPr>
              <w:t>Entity</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49"/>
              <w:spacing w:after="0" w:line="156" w:lineRule="exact"/>
              <w:rPr>
                <w:sz w:val="20"/>
                <w:szCs w:val="20"/>
                <w:color w:val="auto"/>
              </w:rPr>
            </w:pPr>
            <w:r>
              <w:rPr>
                <w:rFonts w:ascii="Arial" w:cs="Arial" w:eastAsia="Arial" w:hAnsi="Arial"/>
                <w:sz w:val="16"/>
                <w:szCs w:val="16"/>
                <w:b w:val="1"/>
                <w:bCs w:val="1"/>
                <w:color w:val="auto"/>
                <w:w w:val="86"/>
              </w:rPr>
              <w:t>Restricted</w:t>
            </w:r>
          </w:p>
        </w:tc>
        <w:tc>
          <w:tcPr>
            <w:tcW w:w="0" w:type="dxa"/>
            <w:vAlign w:val="bottom"/>
          </w:tcPr>
          <w:p>
            <w:pPr>
              <w:spacing w:after="0"/>
              <w:rPr>
                <w:sz w:val="1"/>
                <w:szCs w:val="1"/>
                <w:color w:val="auto"/>
              </w:rPr>
            </w:pPr>
          </w:p>
        </w:tc>
      </w:tr>
      <w:tr>
        <w:trPr>
          <w:trHeight w:val="209"/>
        </w:trPr>
        <w:tc>
          <w:tcPr>
            <w:tcW w:w="580" w:type="dxa"/>
            <w:vAlign w:val="bottom"/>
            <w:tcBorders>
              <w:bottom w:val="single" w:sz="8" w:color="auto"/>
            </w:tcBorders>
            <w:vMerge w:val="continue"/>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Interest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27"/>
              <w:spacing w:after="0"/>
              <w:rPr>
                <w:sz w:val="20"/>
                <w:szCs w:val="20"/>
                <w:color w:val="auto"/>
              </w:rPr>
            </w:pPr>
            <w:r>
              <w:rPr>
                <w:rFonts w:ascii="Arial" w:cs="Arial" w:eastAsia="Arial" w:hAnsi="Arial"/>
                <w:sz w:val="16"/>
                <w:szCs w:val="16"/>
                <w:b w:val="1"/>
                <w:bCs w:val="1"/>
                <w:color w:val="auto"/>
                <w:w w:val="91"/>
              </w:rPr>
              <w:t>Assets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69"/>
              <w:spacing w:after="0"/>
              <w:rPr>
                <w:sz w:val="20"/>
                <w:szCs w:val="20"/>
                <w:color w:val="auto"/>
              </w:rPr>
            </w:pPr>
            <w:r>
              <w:rPr>
                <w:rFonts w:ascii="Arial" w:cs="Arial" w:eastAsia="Arial" w:hAnsi="Arial"/>
                <w:sz w:val="16"/>
                <w:szCs w:val="16"/>
                <w:b w:val="1"/>
                <w:bCs w:val="1"/>
                <w:color w:val="auto"/>
                <w:w w:val="86"/>
              </w:rPr>
              <w:t>Cash</w:t>
            </w:r>
          </w:p>
        </w:tc>
        <w:tc>
          <w:tcPr>
            <w:tcW w:w="0" w:type="dxa"/>
            <w:vAlign w:val="bottom"/>
          </w:tcPr>
          <w:p>
            <w:pPr>
              <w:spacing w:after="0"/>
              <w:rPr>
                <w:sz w:val="1"/>
                <w:szCs w:val="1"/>
                <w:color w:val="auto"/>
              </w:rPr>
            </w:pPr>
          </w:p>
        </w:tc>
      </w:tr>
      <w:tr>
        <w:trPr>
          <w:trHeight w:val="269"/>
        </w:trPr>
        <w:tc>
          <w:tcPr>
            <w:tcW w:w="3700" w:type="dxa"/>
            <w:vAlign w:val="bottom"/>
            <w:gridSpan w:val="3"/>
          </w:tcPr>
          <w:p>
            <w:pPr>
              <w:ind w:left="60"/>
              <w:spacing w:after="0"/>
              <w:rPr>
                <w:sz w:val="20"/>
                <w:szCs w:val="20"/>
                <w:color w:val="auto"/>
              </w:rPr>
            </w:pPr>
            <w:r>
              <w:rPr>
                <w:rFonts w:ascii="Arial" w:cs="Arial" w:eastAsia="Arial" w:hAnsi="Arial"/>
                <w:sz w:val="19"/>
                <w:szCs w:val="19"/>
                <w:color w:val="auto"/>
              </w:rPr>
              <w:t>BridgeTex Pipeline Company, LLC</w:t>
            </w:r>
          </w:p>
        </w:tc>
        <w:tc>
          <w:tcPr>
            <w:tcW w:w="80" w:type="dxa"/>
            <w:vAlign w:val="bottom"/>
          </w:tcPr>
          <w:p>
            <w:pPr>
              <w:spacing w:after="0"/>
              <w:rPr>
                <w:sz w:val="23"/>
                <w:szCs w:val="23"/>
                <w:color w:val="auto"/>
              </w:rPr>
            </w:pPr>
          </w:p>
        </w:tc>
        <w:tc>
          <w:tcPr>
            <w:tcW w:w="284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20%</w:t>
            </w:r>
          </w:p>
        </w:tc>
        <w:tc>
          <w:tcPr>
            <w:tcW w:w="3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786</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11</w:t>
            </w:r>
          </w:p>
        </w:tc>
        <w:tc>
          <w:tcPr>
            <w:tcW w:w="0" w:type="dxa"/>
            <w:vAlign w:val="bottom"/>
          </w:tcPr>
          <w:p>
            <w:pPr>
              <w:spacing w:after="0"/>
              <w:rPr>
                <w:sz w:val="1"/>
                <w:szCs w:val="1"/>
                <w:color w:val="auto"/>
              </w:rPr>
            </w:pPr>
          </w:p>
        </w:tc>
      </w:tr>
      <w:tr>
        <w:trPr>
          <w:trHeight w:val="292"/>
        </w:trPr>
        <w:tc>
          <w:tcPr>
            <w:tcW w:w="3700" w:type="dxa"/>
            <w:vAlign w:val="bottom"/>
            <w:gridSpan w:val="3"/>
          </w:tcPr>
          <w:p>
            <w:pPr>
              <w:ind w:left="60"/>
              <w:spacing w:after="0"/>
              <w:rPr>
                <w:sz w:val="20"/>
                <w:szCs w:val="20"/>
                <w:color w:val="auto"/>
              </w:rPr>
            </w:pPr>
            <w:r>
              <w:rPr>
                <w:rFonts w:ascii="Arial" w:cs="Arial" w:eastAsia="Arial" w:hAnsi="Arial"/>
                <w:sz w:val="19"/>
                <w:szCs w:val="19"/>
                <w:color w:val="auto"/>
              </w:rPr>
              <w:t>Capline Pipeline Company LLC</w:t>
            </w:r>
          </w:p>
        </w:tc>
        <w:tc>
          <w:tcPr>
            <w:tcW w:w="8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54%</w:t>
            </w:r>
          </w:p>
        </w:tc>
        <w:tc>
          <w:tcPr>
            <w:tcW w:w="3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1,249</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46</w:t>
            </w:r>
          </w:p>
        </w:tc>
        <w:tc>
          <w:tcPr>
            <w:tcW w:w="0" w:type="dxa"/>
            <w:vAlign w:val="bottom"/>
          </w:tcPr>
          <w:p>
            <w:pPr>
              <w:spacing w:after="0"/>
              <w:rPr>
                <w:sz w:val="1"/>
                <w:szCs w:val="1"/>
                <w:color w:val="auto"/>
              </w:rPr>
            </w:pPr>
          </w:p>
        </w:tc>
      </w:tr>
      <w:tr>
        <w:trPr>
          <w:trHeight w:val="313"/>
        </w:trPr>
        <w:tc>
          <w:tcPr>
            <w:tcW w:w="3700" w:type="dxa"/>
            <w:vAlign w:val="bottom"/>
            <w:gridSpan w:val="3"/>
          </w:tcPr>
          <w:p>
            <w:pPr>
              <w:ind w:left="60"/>
              <w:spacing w:after="0"/>
              <w:rPr>
                <w:sz w:val="20"/>
                <w:szCs w:val="20"/>
                <w:color w:val="auto"/>
              </w:rPr>
            </w:pPr>
            <w:r>
              <w:rPr>
                <w:rFonts w:ascii="Arial" w:cs="Arial" w:eastAsia="Arial" w:hAnsi="Arial"/>
                <w:sz w:val="19"/>
                <w:szCs w:val="19"/>
                <w:color w:val="auto"/>
              </w:rPr>
              <w:t>Diamond Pipeline LLC</w:t>
            </w:r>
          </w:p>
        </w:tc>
        <w:tc>
          <w:tcPr>
            <w:tcW w:w="8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9"/>
                <w:szCs w:val="19"/>
                <w:color w:val="auto"/>
                <w:w w:val="92"/>
              </w:rPr>
              <w:t xml:space="preserve">Crude Oil Pipeline </w:t>
            </w:r>
            <w:r>
              <w:rPr>
                <w:rFonts w:ascii="Arial" w:cs="Arial" w:eastAsia="Arial" w:hAnsi="Arial"/>
                <w:sz w:val="25"/>
                <w:szCs w:val="25"/>
                <w:color w:val="auto"/>
                <w:w w:val="92"/>
                <w:vertAlign w:val="superscript"/>
              </w:rPr>
              <w:t>(1)</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50%</w:t>
            </w:r>
          </w:p>
        </w:tc>
        <w:tc>
          <w:tcPr>
            <w:tcW w:w="3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876</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92"/>
        </w:trPr>
        <w:tc>
          <w:tcPr>
            <w:tcW w:w="3700" w:type="dxa"/>
            <w:vAlign w:val="bottom"/>
            <w:gridSpan w:val="3"/>
          </w:tcPr>
          <w:p>
            <w:pPr>
              <w:ind w:left="60"/>
              <w:spacing w:after="0"/>
              <w:rPr>
                <w:sz w:val="20"/>
                <w:szCs w:val="20"/>
                <w:color w:val="auto"/>
              </w:rPr>
            </w:pPr>
            <w:r>
              <w:rPr>
                <w:rFonts w:ascii="Arial" w:cs="Arial" w:eastAsia="Arial" w:hAnsi="Arial"/>
                <w:sz w:val="19"/>
                <w:szCs w:val="19"/>
                <w:color w:val="auto"/>
              </w:rPr>
              <w:t>Eagle Ford Pipeline LLC</w:t>
            </w:r>
          </w:p>
        </w:tc>
        <w:tc>
          <w:tcPr>
            <w:tcW w:w="8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9"/>
                <w:szCs w:val="19"/>
                <w:color w:val="auto"/>
                <w:w w:val="92"/>
              </w:rPr>
              <w:t xml:space="preserve">Crude Oil Pipeline </w:t>
            </w:r>
            <w:r>
              <w:rPr>
                <w:rFonts w:ascii="Arial" w:cs="Arial" w:eastAsia="Arial" w:hAnsi="Arial"/>
                <w:sz w:val="25"/>
                <w:szCs w:val="25"/>
                <w:color w:val="auto"/>
                <w:w w:val="92"/>
                <w:vertAlign w:val="superscript"/>
              </w:rPr>
              <w:t>(1)</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50%</w:t>
            </w:r>
          </w:p>
        </w:tc>
        <w:tc>
          <w:tcPr>
            <w:tcW w:w="3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780</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34</w:t>
            </w:r>
          </w:p>
        </w:tc>
        <w:tc>
          <w:tcPr>
            <w:tcW w:w="0" w:type="dxa"/>
            <w:vAlign w:val="bottom"/>
          </w:tcPr>
          <w:p>
            <w:pPr>
              <w:spacing w:after="0"/>
              <w:rPr>
                <w:sz w:val="1"/>
                <w:szCs w:val="1"/>
                <w:color w:val="auto"/>
              </w:rPr>
            </w:pPr>
          </w:p>
        </w:tc>
      </w:tr>
      <w:tr>
        <w:trPr>
          <w:trHeight w:val="311"/>
        </w:trPr>
        <w:tc>
          <w:tcPr>
            <w:tcW w:w="3700" w:type="dxa"/>
            <w:vAlign w:val="bottom"/>
            <w:gridSpan w:val="3"/>
          </w:tcPr>
          <w:p>
            <w:pPr>
              <w:ind w:left="60"/>
              <w:spacing w:after="0"/>
              <w:rPr>
                <w:sz w:val="20"/>
                <w:szCs w:val="20"/>
                <w:color w:val="auto"/>
              </w:rPr>
            </w:pPr>
            <w:r>
              <w:rPr>
                <w:rFonts w:ascii="Arial" w:cs="Arial" w:eastAsia="Arial" w:hAnsi="Arial"/>
                <w:sz w:val="19"/>
                <w:szCs w:val="19"/>
                <w:color w:val="auto"/>
              </w:rPr>
              <w:t>Eagle Ford Terminals Corpus Christi LLC</w:t>
            </w:r>
          </w:p>
        </w:tc>
        <w:tc>
          <w:tcPr>
            <w:tcW w:w="8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9"/>
                <w:szCs w:val="19"/>
                <w:color w:val="auto"/>
                <w:w w:val="93"/>
              </w:rPr>
              <w:t xml:space="preserve">Crude Oil Terminal and Dock </w:t>
            </w:r>
            <w:r>
              <w:rPr>
                <w:rFonts w:ascii="Arial" w:cs="Arial" w:eastAsia="Arial" w:hAnsi="Arial"/>
                <w:sz w:val="25"/>
                <w:szCs w:val="25"/>
                <w:color w:val="auto"/>
                <w:w w:val="93"/>
                <w:vertAlign w:val="superscript"/>
              </w:rPr>
              <w:t>(1)</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50%</w:t>
            </w:r>
          </w:p>
        </w:tc>
        <w:tc>
          <w:tcPr>
            <w:tcW w:w="3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210</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54"/>
        </w:trPr>
        <w:tc>
          <w:tcPr>
            <w:tcW w:w="3700" w:type="dxa"/>
            <w:vAlign w:val="bottom"/>
            <w:gridSpan w:val="3"/>
          </w:tcPr>
          <w:p>
            <w:pPr>
              <w:ind w:left="60"/>
              <w:spacing w:after="0"/>
              <w:rPr>
                <w:sz w:val="20"/>
                <w:szCs w:val="20"/>
                <w:color w:val="auto"/>
              </w:rPr>
            </w:pPr>
            <w:r>
              <w:rPr>
                <w:rFonts w:ascii="Arial" w:cs="Arial" w:eastAsia="Arial" w:hAnsi="Arial"/>
                <w:sz w:val="19"/>
                <w:szCs w:val="19"/>
                <w:color w:val="auto"/>
              </w:rPr>
              <w:t>Saddlehorn Pipeline Company, LLC</w:t>
            </w:r>
          </w:p>
        </w:tc>
        <w:tc>
          <w:tcPr>
            <w:tcW w:w="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30%</w:t>
            </w:r>
          </w:p>
        </w:tc>
        <w:tc>
          <w:tcPr>
            <w:tcW w:w="3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600</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21</w:t>
            </w:r>
          </w:p>
        </w:tc>
        <w:tc>
          <w:tcPr>
            <w:tcW w:w="0" w:type="dxa"/>
            <w:vAlign w:val="bottom"/>
          </w:tcPr>
          <w:p>
            <w:pPr>
              <w:spacing w:after="0"/>
              <w:rPr>
                <w:sz w:val="1"/>
                <w:szCs w:val="1"/>
                <w:color w:val="auto"/>
              </w:rPr>
            </w:pPr>
          </w:p>
        </w:tc>
      </w:tr>
      <w:tr>
        <w:trPr>
          <w:trHeight w:val="292"/>
        </w:trPr>
        <w:tc>
          <w:tcPr>
            <w:tcW w:w="3700" w:type="dxa"/>
            <w:vAlign w:val="bottom"/>
            <w:gridSpan w:val="3"/>
          </w:tcPr>
          <w:p>
            <w:pPr>
              <w:ind w:left="60"/>
              <w:spacing w:after="0"/>
              <w:rPr>
                <w:sz w:val="20"/>
                <w:szCs w:val="20"/>
                <w:color w:val="auto"/>
              </w:rPr>
            </w:pPr>
            <w:r>
              <w:rPr>
                <w:rFonts w:ascii="Arial" w:cs="Arial" w:eastAsia="Arial" w:hAnsi="Arial"/>
                <w:sz w:val="19"/>
                <w:szCs w:val="19"/>
                <w:color w:val="auto"/>
              </w:rPr>
              <w:t>White Cliffs Pipeline, LLC</w:t>
            </w:r>
          </w:p>
        </w:tc>
        <w:tc>
          <w:tcPr>
            <w:tcW w:w="8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36%</w:t>
            </w:r>
          </w:p>
        </w:tc>
        <w:tc>
          <w:tcPr>
            <w:tcW w:w="3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377</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92"/>
        </w:trPr>
        <w:tc>
          <w:tcPr>
            <w:tcW w:w="3700" w:type="dxa"/>
            <w:vAlign w:val="bottom"/>
            <w:gridSpan w:val="3"/>
          </w:tcPr>
          <w:p>
            <w:pPr>
              <w:ind w:left="60"/>
              <w:spacing w:after="0"/>
              <w:rPr>
                <w:sz w:val="20"/>
                <w:szCs w:val="20"/>
                <w:color w:val="auto"/>
              </w:rPr>
            </w:pPr>
            <w:r>
              <w:rPr>
                <w:rFonts w:ascii="Arial" w:cs="Arial" w:eastAsia="Arial" w:hAnsi="Arial"/>
                <w:sz w:val="19"/>
                <w:szCs w:val="19"/>
                <w:color w:val="auto"/>
              </w:rPr>
              <w:t>Wink to Webster Pipeline LLC</w:t>
            </w:r>
          </w:p>
        </w:tc>
        <w:tc>
          <w:tcPr>
            <w:tcW w:w="8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2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16%</w:t>
            </w:r>
          </w:p>
        </w:tc>
        <w:tc>
          <w:tcPr>
            <w:tcW w:w="3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2,324</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73</w:t>
            </w:r>
          </w:p>
        </w:tc>
        <w:tc>
          <w:tcPr>
            <w:tcW w:w="0" w:type="dxa"/>
            <w:vAlign w:val="bottom"/>
          </w:tcPr>
          <w:p>
            <w:pPr>
              <w:spacing w:after="0"/>
              <w:rPr>
                <w:sz w:val="1"/>
                <w:szCs w:val="1"/>
                <w:color w:val="auto"/>
              </w:rPr>
            </w:pPr>
          </w:p>
        </w:tc>
      </w:tr>
      <w:tr>
        <w:trPr>
          <w:trHeight w:val="292"/>
        </w:trPr>
        <w:tc>
          <w:tcPr>
            <w:tcW w:w="3700" w:type="dxa"/>
            <w:vAlign w:val="bottom"/>
            <w:gridSpan w:val="3"/>
          </w:tcPr>
          <w:p>
            <w:pPr>
              <w:ind w:left="60"/>
              <w:spacing w:after="0"/>
              <w:rPr>
                <w:sz w:val="20"/>
                <w:szCs w:val="20"/>
                <w:color w:val="auto"/>
              </w:rPr>
            </w:pPr>
            <w:r>
              <w:rPr>
                <w:rFonts w:ascii="Arial" w:cs="Arial" w:eastAsia="Arial" w:hAnsi="Arial"/>
                <w:sz w:val="19"/>
                <w:szCs w:val="19"/>
                <w:color w:val="auto"/>
              </w:rPr>
              <w:t>Other investments</w:t>
            </w: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520</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30</w:t>
            </w:r>
          </w:p>
        </w:tc>
        <w:tc>
          <w:tcPr>
            <w:tcW w:w="0" w:type="dxa"/>
            <w:vAlign w:val="bottom"/>
          </w:tcPr>
          <w:p>
            <w:pPr>
              <w:spacing w:after="0"/>
              <w:rPr>
                <w:sz w:val="1"/>
                <w:szCs w:val="1"/>
                <w:color w:val="auto"/>
              </w:rPr>
            </w:pPr>
          </w:p>
        </w:tc>
      </w:tr>
      <w:tr>
        <w:trPr>
          <w:trHeight w:val="174"/>
        </w:trPr>
        <w:tc>
          <w:tcPr>
            <w:tcW w:w="5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580" w:type="dxa"/>
            <w:vAlign w:val="bottom"/>
          </w:tcPr>
          <w:p>
            <w:pPr>
              <w:spacing w:after="0"/>
              <w:rPr>
                <w:sz w:val="20"/>
                <w:szCs w:val="20"/>
                <w:color w:val="auto"/>
              </w:rPr>
            </w:pPr>
            <w:r>
              <w:rPr>
                <w:rFonts w:ascii="Arial" w:cs="Arial" w:eastAsia="Arial" w:hAnsi="Arial"/>
                <w:sz w:val="13"/>
                <w:szCs w:val="13"/>
                <w:color w:val="auto"/>
              </w:rPr>
              <w:t>(1)</w:t>
            </w:r>
          </w:p>
        </w:tc>
        <w:tc>
          <w:tcPr>
            <w:tcW w:w="3120" w:type="dxa"/>
            <w:vAlign w:val="bottom"/>
            <w:gridSpan w:val="2"/>
            <w:vMerge w:val="restart"/>
          </w:tcPr>
          <w:p>
            <w:pPr>
              <w:ind w:left="120"/>
              <w:spacing w:after="0"/>
              <w:rPr>
                <w:sz w:val="20"/>
                <w:szCs w:val="20"/>
                <w:color w:val="auto"/>
              </w:rPr>
            </w:pPr>
            <w:r>
              <w:rPr>
                <w:rFonts w:ascii="Arial" w:cs="Arial" w:eastAsia="Arial" w:hAnsi="Arial"/>
                <w:sz w:val="19"/>
                <w:szCs w:val="19"/>
                <w:color w:val="auto"/>
              </w:rPr>
              <w:t>We serve as operator of the asset.</w:t>
            </w: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31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-2050415</wp:posOffset>
            </wp:positionV>
            <wp:extent cx="6376670" cy="16967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7">
                      <a:extLst>
                        <a:ext uri="{28A0092B-C50C-407E-A947-70E740481C1C}"/>
                      </a:extLst>
                    </a:blip>
                    <a:srcRect/>
                    <a:stretch>
                      <a:fillRect/>
                    </a:stretch>
                  </pic:blipFill>
                  <pic:spPr bwMode="auto">
                    <a:xfrm>
                      <a:off x="0" y="0"/>
                      <a:ext cx="6376670" cy="1696720"/>
                    </a:xfrm>
                    <a:prstGeom prst="rect">
                      <a:avLst/>
                    </a:prstGeom>
                    <a:noFill/>
                  </pic:spPr>
                </pic:pic>
              </a:graphicData>
            </a:graphic>
          </wp:anchor>
        </w:drawing>
      </w:r>
    </w:p>
    <w:p>
      <w:pPr>
        <w:spacing w:after="0" w:line="187"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Critical Accounting Policies and Estimates</w:t>
      </w:r>
    </w:p>
    <w:p>
      <w:pPr>
        <w:spacing w:after="0" w:line="257" w:lineRule="exact"/>
        <w:rPr>
          <w:sz w:val="20"/>
          <w:szCs w:val="20"/>
          <w:color w:val="auto"/>
        </w:rPr>
      </w:pPr>
    </w:p>
    <w:p>
      <w:pPr>
        <w:ind w:left="1" w:right="60" w:firstLine="702"/>
        <w:spacing w:after="0" w:line="301" w:lineRule="auto"/>
        <w:rPr>
          <w:sz w:val="20"/>
          <w:szCs w:val="20"/>
          <w:color w:val="auto"/>
        </w:rPr>
      </w:pPr>
      <w:r>
        <w:rPr>
          <w:rFonts w:ascii="Arial" w:cs="Arial" w:eastAsia="Arial" w:hAnsi="Arial"/>
          <w:sz w:val="17"/>
          <w:szCs w:val="17"/>
          <w:color w:val="auto"/>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ectPr>
          <w:pgSz w:w="11880" w:h="15480" w:orient="portrait"/>
          <w:cols w:equalWidth="0" w:num="1">
            <w:col w:w="10001"/>
          </w:cols>
          <w:pgMar w:left="939" w:top="67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880" w:h="15480" w:orient="portrait"/>
          <w:cols w:equalWidth="0" w:num="1">
            <w:col w:w="10001"/>
          </w:cols>
          <w:pgMar w:left="939" w:top="676" w:right="940" w:bottom="0" w:gutter="0" w:footer="0" w:header="0"/>
          <w:type w:val="continuous"/>
        </w:sectPr>
      </w:pPr>
    </w:p>
    <w:bookmarkStart w:id="88" w:name="page89"/>
    <w:bookmarkEnd w:id="88"/>
    <w:p>
      <w:pPr>
        <w:ind w:left="1" w:right="20" w:firstLine="702"/>
        <w:spacing w:after="0" w:line="282" w:lineRule="auto"/>
        <w:rPr>
          <w:sz w:val="20"/>
          <w:szCs w:val="20"/>
          <w:color w:val="auto"/>
        </w:rPr>
      </w:pPr>
      <w:r>
        <w:rPr>
          <w:rFonts w:ascii="Arial" w:cs="Arial" w:eastAsia="Arial" w:hAnsi="Arial"/>
          <w:sz w:val="18"/>
          <w:szCs w:val="18"/>
          <w:color w:val="auto"/>
        </w:rPr>
        <w:t>We believe that the assumptions, judgments and estimates involved in the accounting for our (i) estimated fair value of assets and liabilities acquired and identification of associated goodwill and intangible assets, (ii) fair value of derivatives,</w:t>
      </w:r>
    </w:p>
    <w:p>
      <w:pPr>
        <w:spacing w:after="0" w:line="1" w:lineRule="exact"/>
        <w:rPr>
          <w:sz w:val="20"/>
          <w:szCs w:val="20"/>
          <w:color w:val="auto"/>
        </w:rPr>
      </w:pPr>
    </w:p>
    <w:p>
      <w:pPr>
        <w:ind w:left="1" w:hanging="1"/>
        <w:spacing w:after="0" w:line="296" w:lineRule="auto"/>
        <w:tabs>
          <w:tab w:leader="none" w:pos="342" w:val="left"/>
        </w:tabs>
        <w:numPr>
          <w:ilvl w:val="0"/>
          <w:numId w:val="52"/>
        </w:numPr>
        <w:rPr>
          <w:rFonts w:ascii="Arial" w:cs="Arial" w:eastAsia="Arial" w:hAnsi="Arial"/>
          <w:sz w:val="17"/>
          <w:szCs w:val="17"/>
          <w:color w:val="auto"/>
        </w:rPr>
      </w:pPr>
      <w:r>
        <w:rPr>
          <w:rFonts w:ascii="Arial" w:cs="Arial" w:eastAsia="Arial" w:hAnsi="Arial"/>
          <w:sz w:val="17"/>
          <w:szCs w:val="17"/>
          <w:color w:val="auto"/>
        </w:rPr>
        <w:t>accruals and contingent liabilities, (iv) property and equipment, depreciation and amortization expense and asset retirement obligations, (v) impairment assessments of property and equipment, investments in unconsolidated entities and intangible assets and (vi) inventory valuations have the greatest potential impact on our Consolidated Financial Statements. These areas are key components of our results of operations and are based on complex rules which require us to make judgments and estimates. Therefore, we consider these to be our critical accounting policies and estimates, which are discussed below. For further information on all of our significant accounting policies, see Note 2 to our Consolidated Financial Statements.</w:t>
      </w:r>
    </w:p>
    <w:p>
      <w:pPr>
        <w:spacing w:after="0" w:line="170" w:lineRule="exact"/>
        <w:rPr>
          <w:sz w:val="20"/>
          <w:szCs w:val="20"/>
          <w:color w:val="auto"/>
        </w:rPr>
      </w:pPr>
    </w:p>
    <w:p>
      <w:pPr>
        <w:ind w:left="1" w:firstLine="702"/>
        <w:spacing w:after="0" w:line="263" w:lineRule="auto"/>
        <w:rPr>
          <w:sz w:val="20"/>
          <w:szCs w:val="20"/>
          <w:color w:val="auto"/>
        </w:rPr>
      </w:pPr>
      <w:r>
        <w:rPr>
          <w:rFonts w:ascii="Arial" w:cs="Arial" w:eastAsia="Arial" w:hAnsi="Arial"/>
          <w:sz w:val="19"/>
          <w:szCs w:val="19"/>
          <w:b w:val="1"/>
          <w:bCs w:val="1"/>
          <w:i w:val="1"/>
          <w:iCs w:val="1"/>
          <w:color w:val="auto"/>
        </w:rPr>
        <w:t xml:space="preserve">Fair Value of Assets and Liabilities Acquired and Identification of Associated Goodwill and Intangible Assets. </w:t>
      </w:r>
      <w:r>
        <w:rPr>
          <w:rFonts w:ascii="Arial" w:cs="Arial" w:eastAsia="Arial" w:hAnsi="Arial"/>
          <w:sz w:val="19"/>
          <w:szCs w:val="19"/>
          <w:color w:val="auto"/>
        </w:rPr>
        <w:t>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accordance with Financial Accounting Standards Board (“FASB”) guidance regarding business combinations, with each acquisition, we allocate the cost of the acquired entity to the assets acquired and liabilities assumed based on their estimated fair values at the date of acquisition. If the initial accounting for the business combination is incomplete when the combination occurs, an estimate will be recorded. We also expense the transaction costs as incurred in connection with each acquisition, except for acquisitions of equity method investments. In addition, we are required to recognize intangible assets separately from goodwill.</w:t>
      </w:r>
    </w:p>
    <w:p>
      <w:pPr>
        <w:spacing w:after="0" w:line="198" w:lineRule="exact"/>
        <w:rPr>
          <w:sz w:val="20"/>
          <w:szCs w:val="20"/>
          <w:color w:val="auto"/>
        </w:rPr>
      </w:pPr>
    </w:p>
    <w:p>
      <w:pPr>
        <w:ind w:left="1" w:right="320" w:firstLine="702"/>
        <w:spacing w:after="0" w:line="269" w:lineRule="auto"/>
        <w:rPr>
          <w:sz w:val="20"/>
          <w:szCs w:val="20"/>
          <w:color w:val="auto"/>
        </w:rPr>
      </w:pPr>
      <w:r>
        <w:rPr>
          <w:rFonts w:ascii="Arial" w:cs="Arial" w:eastAsia="Arial" w:hAnsi="Arial"/>
          <w:sz w:val="19"/>
          <w:szCs w:val="19"/>
          <w:color w:val="auto"/>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third-party assessments.</w:t>
      </w:r>
    </w:p>
    <w:p>
      <w:pPr>
        <w:spacing w:after="0" w:line="190" w:lineRule="exact"/>
        <w:rPr>
          <w:sz w:val="20"/>
          <w:szCs w:val="20"/>
          <w:color w:val="auto"/>
        </w:rPr>
      </w:pPr>
    </w:p>
    <w:p>
      <w:pPr>
        <w:ind w:left="1" w:right="60" w:firstLine="702"/>
        <w:spacing w:after="0" w:line="262" w:lineRule="auto"/>
        <w:rPr>
          <w:sz w:val="20"/>
          <w:szCs w:val="20"/>
          <w:color w:val="auto"/>
        </w:rPr>
      </w:pPr>
      <w:r>
        <w:rPr>
          <w:rFonts w:ascii="Arial" w:cs="Arial" w:eastAsia="Arial" w:hAnsi="Arial"/>
          <w:sz w:val="19"/>
          <w:szCs w:val="19"/>
          <w:color w:val="auto"/>
        </w:rPr>
        <w:t>In the third quarter of 2023, our Permian JV acquired the remaining 43% interest in OMOG JV Holdings LLC (“OMOG”) and certain gathering assets in the Southern Delaware basin from Rattler Midstream Operating LLC. The transaction had an aggregate purchase price of $294 million ($191 million net to our 65% interest in the Permian JV). As a result of the transaction, the Permian JV now owns 100% of OMOG and its subsidiaries and such entities are reflected as consolidated subsidiaries in our Consolidated Financial Statements. Prior to this transaction, the Permian JV’s 57% interest in OMOG was accounted for as an equity method investment. See Note 7 to our Consolidated Financial Statements for discussion of the methods, assumptions and estimates used in the determination of the fair value of the assets and liabilities acquired and identification of associated intangible assets.</w:t>
      </w:r>
    </w:p>
    <w:p>
      <w:pPr>
        <w:spacing w:after="0" w:line="198" w:lineRule="exact"/>
        <w:rPr>
          <w:sz w:val="20"/>
          <w:szCs w:val="20"/>
          <w:color w:val="auto"/>
        </w:rPr>
      </w:pPr>
    </w:p>
    <w:p>
      <w:pPr>
        <w:ind w:left="1" w:firstLine="702"/>
        <w:spacing w:after="0" w:line="293" w:lineRule="auto"/>
        <w:rPr>
          <w:sz w:val="20"/>
          <w:szCs w:val="20"/>
          <w:color w:val="auto"/>
        </w:rPr>
      </w:pPr>
      <w:r>
        <w:rPr>
          <w:rFonts w:ascii="Arial" w:cs="Arial" w:eastAsia="Arial" w:hAnsi="Arial"/>
          <w:sz w:val="17"/>
          <w:szCs w:val="17"/>
          <w:color w:val="auto"/>
        </w:rPr>
        <w:t>In November 2022, we and Enbridge Inc. (“Enbridge”) purchased Western Midstream Partners, LP (“WES”)’s 15% interest in Cactus II Pipeline, LLC (“Cactus II”) for an aggregate amount of $265 million. Enbridge acquired 10% and we acquired 5% of Cactus II, with each paying a proportionate share of the purchase price. We and Enbridge are now the sole owners of Cactus II, with 70% and 30% respective ownership interests. We previously accounted for our 65% interest in Cactus</w:t>
      </w:r>
    </w:p>
    <w:p>
      <w:pPr>
        <w:spacing w:after="0" w:line="1" w:lineRule="exact"/>
        <w:rPr>
          <w:sz w:val="20"/>
          <w:szCs w:val="20"/>
          <w:color w:val="auto"/>
        </w:rPr>
      </w:pPr>
    </w:p>
    <w:p>
      <w:pPr>
        <w:ind w:left="1" w:right="300" w:hanging="1"/>
        <w:spacing w:after="0" w:line="279" w:lineRule="auto"/>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an equity method investment. In addition to the change in ownership, there were changes in governance which led to a change in control. We now control Cactus II and reflect Cactus II as a consolidated subsidiary in our Consolidated Financial Statements, with Enbridge’s 30% interest reflected as a noncontrolling interest. See Note 7 to our Consolidated Financial Statements for discussion of the methods, assumptions and estimates used in the determination of the fair value of the assets and liabilities acquired and identification of associated intangible assets.</w:t>
      </w:r>
    </w:p>
    <w:p>
      <w:pPr>
        <w:spacing w:after="0" w:line="181" w:lineRule="exact"/>
        <w:rPr>
          <w:sz w:val="20"/>
          <w:szCs w:val="20"/>
          <w:color w:val="auto"/>
        </w:rPr>
      </w:pPr>
    </w:p>
    <w:p>
      <w:pPr>
        <w:jc w:val="both"/>
        <w:ind w:left="1" w:right="40" w:firstLine="702"/>
        <w:spacing w:after="0" w:line="276" w:lineRule="auto"/>
        <w:rPr>
          <w:sz w:val="20"/>
          <w:szCs w:val="20"/>
          <w:color w:val="auto"/>
        </w:rPr>
      </w:pPr>
      <w:r>
        <w:rPr>
          <w:rFonts w:ascii="Arial" w:cs="Arial" w:eastAsia="Arial" w:hAnsi="Arial"/>
          <w:sz w:val="19"/>
          <w:szCs w:val="19"/>
          <w:color w:val="auto"/>
        </w:rPr>
        <w:t>In October 2021, we and Oryx Midstream completed the formation of the Permian JV. See Note 7 to our Consolidated Financial Statements for discussion of the methods, assumptions and estimates used in the determination of the fair value of the assets and liabilities acquired and identification of associated intangible assets.</w:t>
      </w:r>
    </w:p>
    <w:p>
      <w:pPr>
        <w:spacing w:after="0" w:line="180" w:lineRule="exact"/>
        <w:rPr>
          <w:sz w:val="20"/>
          <w:szCs w:val="20"/>
          <w:color w:val="auto"/>
        </w:rPr>
      </w:pPr>
    </w:p>
    <w:p>
      <w:pPr>
        <w:ind w:left="1" w:firstLine="702"/>
        <w:spacing w:after="0" w:line="278" w:lineRule="auto"/>
        <w:rPr>
          <w:sz w:val="20"/>
          <w:szCs w:val="20"/>
          <w:color w:val="auto"/>
        </w:rPr>
      </w:pPr>
      <w:r>
        <w:rPr>
          <w:rFonts w:ascii="Arial" w:cs="Arial" w:eastAsia="Arial" w:hAnsi="Arial"/>
          <w:sz w:val="18"/>
          <w:szCs w:val="18"/>
          <w:b w:val="1"/>
          <w:bCs w:val="1"/>
          <w:i w:val="1"/>
          <w:iCs w:val="1"/>
          <w:color w:val="auto"/>
        </w:rPr>
        <w:t xml:space="preserve">Fair Value of Derivatives. </w:t>
      </w:r>
      <w:r>
        <w:rPr>
          <w:rFonts w:ascii="Arial" w:cs="Arial" w:eastAsia="Arial" w:hAnsi="Arial"/>
          <w:sz w:val="18"/>
          <w:szCs w:val="18"/>
          <w:color w:val="auto"/>
        </w:rPr>
        <w:t>The fair value of a derivative at a particular period end does not reflect the end results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particular transaction, and will most likely not reflect the gain or loss at the conclusion of a transaction. We reflect estimates for these items based on our internal records and information from third parties. We have commodity derivatives and interest rate derivatives that are accounted for as assets and liabilities at fair value on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spacing w:after="0" w:line="184" w:lineRule="exact"/>
        <w:rPr>
          <w:sz w:val="20"/>
          <w:szCs w:val="20"/>
          <w:color w:val="auto"/>
        </w:rPr>
      </w:pPr>
    </w:p>
    <w:p>
      <w:pPr>
        <w:ind w:left="1" w:right="220" w:firstLine="702"/>
        <w:spacing w:after="0" w:line="289" w:lineRule="auto"/>
        <w:rPr>
          <w:sz w:val="20"/>
          <w:szCs w:val="20"/>
          <w:color w:val="auto"/>
        </w:rPr>
      </w:pPr>
      <w:r>
        <w:rPr>
          <w:rFonts w:ascii="Arial" w:cs="Arial" w:eastAsia="Arial" w:hAnsi="Arial"/>
          <w:sz w:val="18"/>
          <w:szCs w:val="18"/>
          <w:color w:val="auto"/>
        </w:rPr>
        <w:t>Although the resolution of the uncertainties involved in these estimates has not historically had a material impact on our results of operations or financial condition, we cannot provide assurance that actual amounts will not vary significantly from estimated amounts. See Item 7A. Quantitative and Qualitative Disclosures About Market Risk and Note 12 to our Consolidated Financial Statements for a discussion regarding our derivatives and risk management activities.</w:t>
      </w:r>
    </w:p>
    <w:p>
      <w:pPr>
        <w:sectPr>
          <w:pgSz w:w="11880" w:h="15480" w:orient="portrait"/>
          <w:cols w:equalWidth="0" w:num="1">
            <w:col w:w="9981"/>
          </w:cols>
          <w:pgMar w:left="939" w:top="676" w:right="960" w:bottom="0" w:gutter="0" w:footer="0" w:header="0"/>
        </w:sect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89</w:t>
      </w:r>
    </w:p>
    <w:p>
      <w:pPr>
        <w:sectPr>
          <w:pgSz w:w="11880" w:h="15480" w:orient="portrait"/>
          <w:cols w:equalWidth="0" w:num="1">
            <w:col w:w="9981"/>
          </w:cols>
          <w:pgMar w:left="939" w:top="676" w:right="960" w:bottom="0" w:gutter="0" w:footer="0" w:header="0"/>
          <w:type w:val="continuous"/>
        </w:sectPr>
      </w:pPr>
    </w:p>
    <w:bookmarkStart w:id="89" w:name="page90"/>
    <w:bookmarkEnd w:id="89"/>
    <w:p>
      <w:pPr>
        <w:ind w:right="20" w:firstLine="702"/>
        <w:spacing w:after="0" w:line="275" w:lineRule="auto"/>
        <w:rPr>
          <w:sz w:val="20"/>
          <w:szCs w:val="20"/>
          <w:color w:val="auto"/>
        </w:rPr>
      </w:pPr>
      <w:r>
        <w:rPr>
          <w:rFonts w:ascii="Arial" w:cs="Arial" w:eastAsia="Arial" w:hAnsi="Arial"/>
          <w:sz w:val="18"/>
          <w:szCs w:val="18"/>
          <w:b w:val="1"/>
          <w:bCs w:val="1"/>
          <w:i w:val="1"/>
          <w:iCs w:val="1"/>
          <w:color w:val="auto"/>
        </w:rPr>
        <w:t xml:space="preserve">Accruals and Contingent Liabilities. </w:t>
      </w:r>
      <w:r>
        <w:rPr>
          <w:rFonts w:ascii="Arial" w:cs="Arial" w:eastAsia="Arial" w:hAnsi="Arial"/>
          <w:sz w:val="18"/>
          <w:szCs w:val="18"/>
          <w:color w:val="auto"/>
        </w:rPr>
        <w:t>We record accruals or liabilities for, among other things, environmental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remediation, potential legal claims or settlements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$14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86" w:lineRule="exact"/>
        <w:rPr>
          <w:sz w:val="20"/>
          <w:szCs w:val="20"/>
          <w:color w:val="auto"/>
        </w:rPr>
      </w:pPr>
    </w:p>
    <w:p>
      <w:pPr>
        <w:ind w:right="20" w:firstLine="702"/>
        <w:spacing w:after="0" w:line="280" w:lineRule="auto"/>
        <w:rPr>
          <w:sz w:val="20"/>
          <w:szCs w:val="20"/>
          <w:color w:val="auto"/>
        </w:rPr>
      </w:pPr>
      <w:r>
        <w:rPr>
          <w:rFonts w:ascii="Arial" w:cs="Arial" w:eastAsia="Arial" w:hAnsi="Arial"/>
          <w:sz w:val="18"/>
          <w:szCs w:val="18"/>
          <w:b w:val="1"/>
          <w:bCs w:val="1"/>
          <w:i w:val="1"/>
          <w:iCs w:val="1"/>
          <w:color w:val="auto"/>
        </w:rPr>
        <w:t xml:space="preserve">Property and Equipment, Depreciation and Amortization Expense and Asset Retirement Obligations. </w:t>
      </w:r>
      <w:r>
        <w:rPr>
          <w:rFonts w:ascii="Arial" w:cs="Arial" w:eastAsia="Arial" w:hAnsi="Arial"/>
          <w:sz w:val="18"/>
          <w:szCs w:val="18"/>
          <w:color w:val="auto"/>
        </w:rPr>
        <w:t>We compute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and amortization 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183" w:lineRule="exact"/>
        <w:rPr>
          <w:sz w:val="20"/>
          <w:szCs w:val="20"/>
          <w:color w:val="auto"/>
        </w:rPr>
      </w:pPr>
    </w:p>
    <w:p>
      <w:pPr>
        <w:ind w:firstLine="702"/>
        <w:spacing w:after="0" w:line="279" w:lineRule="auto"/>
        <w:rPr>
          <w:sz w:val="20"/>
          <w:szCs w:val="20"/>
          <w:color w:val="auto"/>
        </w:rPr>
      </w:pPr>
      <w:r>
        <w:rPr>
          <w:rFonts w:ascii="Arial" w:cs="Arial" w:eastAsia="Arial" w:hAnsi="Arial"/>
          <w:sz w:val="18"/>
          <w:szCs w:val="18"/>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 A hypothetical variance of 5% in our aggregate estimate for the retirement obligations discussed above would have an impact on earnings of up to approximately $6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81" w:lineRule="exact"/>
        <w:rPr>
          <w:sz w:val="20"/>
          <w:szCs w:val="20"/>
          <w:color w:val="auto"/>
        </w:rPr>
      </w:pPr>
    </w:p>
    <w:p>
      <w:pPr>
        <w:ind w:right="200" w:firstLine="702"/>
        <w:spacing w:after="0" w:line="276" w:lineRule="auto"/>
        <w:rPr>
          <w:sz w:val="20"/>
          <w:szCs w:val="20"/>
          <w:color w:val="auto"/>
        </w:rPr>
      </w:pPr>
      <w:r>
        <w:rPr>
          <w:rFonts w:ascii="Arial" w:cs="Arial" w:eastAsia="Arial" w:hAnsi="Arial"/>
          <w:sz w:val="19"/>
          <w:szCs w:val="19"/>
          <w:color w:val="auto"/>
        </w:rPr>
        <w:t>See Note 6 and Note 9 to our Consolidated Financial Statements for additional information on our property and equipment, intangible assets and depreciation and amortization expense. See Note 2 to our Consolidated Financial Statements for additional information on our asset retirement obligations.</w:t>
      </w:r>
    </w:p>
    <w:p>
      <w:pPr>
        <w:spacing w:after="0" w:line="180" w:lineRule="exact"/>
        <w:rPr>
          <w:sz w:val="20"/>
          <w:szCs w:val="20"/>
          <w:color w:val="auto"/>
        </w:rPr>
      </w:pPr>
    </w:p>
    <w:p>
      <w:pPr>
        <w:ind w:right="80" w:firstLine="702"/>
        <w:spacing w:after="0" w:line="305" w:lineRule="auto"/>
        <w:rPr>
          <w:sz w:val="20"/>
          <w:szCs w:val="20"/>
          <w:color w:val="auto"/>
        </w:rPr>
      </w:pPr>
      <w:r>
        <w:rPr>
          <w:rFonts w:ascii="Arial" w:cs="Arial" w:eastAsia="Arial" w:hAnsi="Arial"/>
          <w:sz w:val="17"/>
          <w:szCs w:val="17"/>
          <w:b w:val="1"/>
          <w:bCs w:val="1"/>
          <w:i w:val="1"/>
          <w:iCs w:val="1"/>
          <w:color w:val="auto"/>
        </w:rPr>
        <w:t xml:space="preserve">Impairment Assessments of Property and Equipment, Investments in Unconsolidated Entities and Intangible Assets. </w:t>
      </w:r>
      <w:r>
        <w:rPr>
          <w:rFonts w:ascii="Arial" w:cs="Arial" w:eastAsia="Arial" w:hAnsi="Arial"/>
          <w:sz w:val="17"/>
          <w:szCs w:val="17"/>
          <w:color w:val="auto"/>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164" w:lineRule="exact"/>
        <w:rPr>
          <w:sz w:val="20"/>
          <w:szCs w:val="20"/>
          <w:color w:val="auto"/>
        </w:rPr>
      </w:pPr>
    </w:p>
    <w:p>
      <w:pPr>
        <w:ind w:left="1060" w:hanging="359"/>
        <w:spacing w:after="0"/>
        <w:tabs>
          <w:tab w:leader="none" w:pos="10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whether there is an event or circumstance that may be indicative of an impairment;</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grouping of assets;</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intention of “holding”, “abandoning” or “selling” an asset;</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forecast of undiscounted expected future cash flow over the asset’s estimated useful life; and</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if an impairment exists, the fair value of the asset or asset group.</w:t>
      </w:r>
    </w:p>
    <w:p>
      <w:pPr>
        <w:spacing w:after="0" w:line="249" w:lineRule="exact"/>
        <w:rPr>
          <w:sz w:val="20"/>
          <w:szCs w:val="20"/>
          <w:color w:val="auto"/>
        </w:rPr>
      </w:pPr>
    </w:p>
    <w:p>
      <w:pPr>
        <w:ind w:right="320" w:firstLine="702"/>
        <w:spacing w:after="0" w:line="295" w:lineRule="auto"/>
        <w:rPr>
          <w:sz w:val="20"/>
          <w:szCs w:val="20"/>
          <w:color w:val="auto"/>
        </w:rPr>
      </w:pPr>
      <w:r>
        <w:rPr>
          <w:rFonts w:ascii="Arial" w:cs="Arial" w:eastAsia="Arial" w:hAnsi="Arial"/>
          <w:sz w:val="19"/>
          <w:szCs w:val="19"/>
          <w:color w:val="auto"/>
        </w:rPr>
        <w:t>In addition, when we evaluate property and equipment and other long-lived assets for recoverability, it may also be necessary to review related depreciation estimates and methods.</w:t>
      </w:r>
    </w:p>
    <w:p>
      <w:pPr>
        <w:sectPr>
          <w:pgSz w:w="11880" w:h="15480" w:orient="portrait"/>
          <w:cols w:equalWidth="0" w:num="1">
            <w:col w:w="10000"/>
          </w:cols>
          <w:pgMar w:left="940" w:top="90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880" w:h="15480" w:orient="portrait"/>
          <w:cols w:equalWidth="0" w:num="1">
            <w:col w:w="10000"/>
          </w:cols>
          <w:pgMar w:left="940" w:top="908" w:right="940" w:bottom="0" w:gutter="0" w:footer="0" w:header="0"/>
          <w:type w:val="continuous"/>
        </w:sectPr>
      </w:pPr>
    </w:p>
    <w:bookmarkStart w:id="90" w:name="page91"/>
    <w:bookmarkEnd w:id="90"/>
    <w:p>
      <w:pPr>
        <w:ind w:firstLine="702"/>
        <w:spacing w:after="0" w:line="280" w:lineRule="auto"/>
        <w:rPr>
          <w:sz w:val="20"/>
          <w:szCs w:val="20"/>
          <w:color w:val="auto"/>
        </w:rPr>
      </w:pPr>
      <w:r>
        <w:rPr>
          <w:rFonts w:ascii="Arial" w:cs="Arial" w:eastAsia="Arial" w:hAnsi="Arial"/>
          <w:sz w:val="18"/>
          <w:szCs w:val="18"/>
          <w:color w:val="auto"/>
        </w:rPr>
        <w:t>Investments in unconsolidated entities accounted for under the equity method of accounting are assessed for impairment when events or circumstances suggest that a decline in value may be other than temporary. Examples of such events or circumstances include continuing operating losses of the entity and/or long-term negative changes in the entity’s core business. When it is determined that an indicated impairment is other than temporary, a charge is recognized for the difference between the investment’s carrying amount and its estimated fair value. We consider the fair value estimate used to calculate the impairment of investments in unconsolidated entities a critical accounting estimate. In determining the existence of an other-than-temporary impairment of carrying value, we make a number of subjective assumptions as to:</w:t>
      </w:r>
    </w:p>
    <w:p>
      <w:pPr>
        <w:spacing w:after="0" w:line="172" w:lineRule="exact"/>
        <w:rPr>
          <w:sz w:val="20"/>
          <w:szCs w:val="20"/>
          <w:color w:val="auto"/>
        </w:rPr>
      </w:pPr>
    </w:p>
    <w:p>
      <w:pPr>
        <w:ind w:left="1060" w:hanging="359"/>
        <w:spacing w:after="0"/>
        <w:tabs>
          <w:tab w:leader="none" w:pos="10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whether there is an event or circumstance that may be indicative of a decline in value of the investment;</w:t>
      </w:r>
    </w:p>
    <w:p>
      <w:pPr>
        <w:spacing w:after="0" w:line="122" w:lineRule="exact"/>
        <w:rPr>
          <w:rFonts w:ascii="Arial" w:cs="Arial" w:eastAsia="Arial" w:hAnsi="Arial"/>
          <w:sz w:val="19"/>
          <w:szCs w:val="19"/>
          <w:color w:val="auto"/>
        </w:rPr>
      </w:pPr>
    </w:p>
    <w:p>
      <w:pPr>
        <w:ind w:left="1060" w:hanging="359"/>
        <w:spacing w:after="0"/>
        <w:tabs>
          <w:tab w:leader="none" w:pos="10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whether the decline in value is other than temporary; and</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fair value of the investment.</w:t>
      </w:r>
    </w:p>
    <w:p>
      <w:pPr>
        <w:spacing w:after="0" w:line="249" w:lineRule="exact"/>
        <w:rPr>
          <w:sz w:val="20"/>
          <w:szCs w:val="20"/>
          <w:color w:val="auto"/>
        </w:rPr>
      </w:pPr>
    </w:p>
    <w:p>
      <w:pPr>
        <w:ind w:firstLine="702"/>
        <w:spacing w:after="0" w:line="261" w:lineRule="auto"/>
        <w:rPr>
          <w:sz w:val="20"/>
          <w:szCs w:val="20"/>
          <w:color w:val="auto"/>
        </w:rPr>
      </w:pPr>
      <w:r>
        <w:rPr>
          <w:rFonts w:ascii="Arial" w:cs="Arial" w:eastAsia="Arial" w:hAnsi="Arial"/>
          <w:sz w:val="19"/>
          <w:szCs w:val="19"/>
          <w:color w:val="auto"/>
        </w:rPr>
        <w:t>Intangible assets with indefinite lives are not amortized but are instead periodically assessed for impairment. Intangible assets with finite lives are amortized over their estimated useful life as determined by management. Impairment testing entails estimating future net cash flows relating to the business, based on the grouping of assets and management’s estimate of future revenues, future cash flows and market conditions including pricing, demand, competition, operating costs and other factors. Uncertainties associated with these estimates include changes in production decline rates, production interruptions, fluctuations in refinery capacity or product slates, economic obsolescence factors in the area and potential future sources of cash flow. In addition, changes in our weighted average cost of capital from our estimates could have a significant impact on fair value. We cannot provide assurance that actual amounts will not vary significantly from estimated amounts. Resolutions of these uncertainties have resulted, and in the future may result, in impairments that impact our results of operations and financial condition.</w:t>
      </w:r>
    </w:p>
    <w:p>
      <w:pPr>
        <w:spacing w:after="0" w:line="198" w:lineRule="exact"/>
        <w:rPr>
          <w:sz w:val="20"/>
          <w:szCs w:val="20"/>
          <w:color w:val="auto"/>
        </w:rPr>
      </w:pPr>
    </w:p>
    <w:p>
      <w:pPr>
        <w:ind w:right="580" w:firstLine="702"/>
        <w:spacing w:after="0" w:line="276" w:lineRule="auto"/>
        <w:rPr>
          <w:sz w:val="20"/>
          <w:szCs w:val="20"/>
          <w:color w:val="auto"/>
        </w:rPr>
      </w:pPr>
      <w:r>
        <w:rPr>
          <w:rFonts w:ascii="Arial" w:cs="Arial" w:eastAsia="Arial" w:hAnsi="Arial"/>
          <w:sz w:val="19"/>
          <w:szCs w:val="19"/>
          <w:color w:val="auto"/>
        </w:rPr>
        <w:t>A change in our outlook or use could result in impairments that may be material to our results of operations or financial condition. See “—Executive Summary— Market Overview and Outlook” and Note 6, Note 8 and Note 9 to our Consolidated Financial Statements for additional information.</w:t>
      </w:r>
    </w:p>
    <w:p>
      <w:pPr>
        <w:spacing w:after="0" w:line="180" w:lineRule="exact"/>
        <w:rPr>
          <w:sz w:val="20"/>
          <w:szCs w:val="20"/>
          <w:color w:val="auto"/>
        </w:rPr>
      </w:pPr>
    </w:p>
    <w:p>
      <w:pPr>
        <w:ind w:right="20" w:firstLine="702"/>
        <w:spacing w:after="0" w:line="262" w:lineRule="auto"/>
        <w:rPr>
          <w:sz w:val="20"/>
          <w:szCs w:val="20"/>
          <w:color w:val="auto"/>
        </w:rPr>
      </w:pPr>
      <w:r>
        <w:rPr>
          <w:rFonts w:ascii="Arial" w:cs="Arial" w:eastAsia="Arial" w:hAnsi="Arial"/>
          <w:sz w:val="19"/>
          <w:szCs w:val="19"/>
          <w:b w:val="1"/>
          <w:bCs w:val="1"/>
          <w:i w:val="1"/>
          <w:iCs w:val="1"/>
          <w:color w:val="auto"/>
        </w:rPr>
        <w:t xml:space="preserve">Inventory Valuations. </w:t>
      </w:r>
      <w:r>
        <w:rPr>
          <w:rFonts w:ascii="Arial" w:cs="Arial" w:eastAsia="Arial" w:hAnsi="Arial"/>
          <w:sz w:val="19"/>
          <w:szCs w:val="19"/>
          <w:color w:val="auto"/>
        </w:rPr>
        <w:t>Inventory, including long-term inventory, primarily consists of crude oil and NGL and is valued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at the lower of cost or net realizable value,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2023, 2022 and 2021, we did not record any charges related to the valuation adjustment of our inventory. See Note 5 to our Consolidated Financial Statements for further discussion regarding inventory.</w:t>
      </w:r>
    </w:p>
    <w:p>
      <w:pPr>
        <w:spacing w:after="0" w:line="193" w:lineRule="exact"/>
        <w:rPr>
          <w:sz w:val="20"/>
          <w:szCs w:val="20"/>
          <w:color w:val="auto"/>
        </w:rPr>
      </w:pPr>
    </w:p>
    <w:p>
      <w:pPr>
        <w:ind w:right="40" w:firstLine="702"/>
        <w:spacing w:after="0" w:line="292" w:lineRule="auto"/>
        <w:rPr>
          <w:sz w:val="20"/>
          <w:szCs w:val="20"/>
          <w:color w:val="auto"/>
        </w:rPr>
      </w:pPr>
      <w:r>
        <w:rPr>
          <w:rFonts w:ascii="Arial" w:cs="Arial" w:eastAsia="Arial" w:hAnsi="Arial"/>
          <w:sz w:val="17"/>
          <w:szCs w:val="17"/>
          <w:b w:val="1"/>
          <w:bCs w:val="1"/>
          <w:i w:val="1"/>
          <w:iCs w:val="1"/>
          <w:color w:val="auto"/>
        </w:rPr>
        <w:t xml:space="preserve">Line 901 Incident Insurance Receivable. </w:t>
      </w:r>
      <w:r>
        <w:rPr>
          <w:rFonts w:ascii="Arial" w:cs="Arial" w:eastAsia="Arial" w:hAnsi="Arial"/>
          <w:sz w:val="17"/>
          <w:szCs w:val="17"/>
          <w:color w:val="auto"/>
        </w:rPr>
        <w:t>In May 2015, we experienced a crude oil release from our Las Flores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Gaviota Pipeline (Line 901) in Santa Barbara County, California. We have estimated that the aggregate total costs we have incurred or will incur with respect to the Line 901 incident will be approximately $750 million, which includes actual and projected emergency response and clean-up costs, natural resource damage assessments, fines and penalties payable pursuant to the Consent Decree, certain third-party claims settlements, and estimated costs associated with our remaining Line 901 lawsuits and claims, as well as estimates for certain legal fees and statutory interest where applicable. As of December 31, 2023, we have recognized a long-term receivable of approximately $225 million for the portion of the release costs that we believe is probable of recovery from insurance, net of deductibles and amounts already collected. Insurers responsible for the majority of our remaining insurance coverage have formally communicated a denial of coverage. We intend to vigorously pursue recovery from our insurers of all amounts for which we have claimed reimbursement. We believe that our claim for reimbursement from our insurers is strong and that our ultimate recovery of such amounts is probable. Various factors could impact the timing and amount of recovery of our insurance receivable, including future developments that adversely impact our assessment of the strength of our coverage claims, the outcome of any dispute resolution proceedings with respect to our coverage claims and the extent to which insurers may become insolvent in the future. Without limiting our view that our claim for reimbursement is strong and that ultimate recovery is probable, we cannot provide complete assurance that actual receivable amounts will not vary significantly from our estimated amounts. See Note 18 to our Consolidated Financial Statements for further discussion regarding the Line 901 incident and our related insurance receivable.</w:t>
      </w:r>
    </w:p>
    <w:p>
      <w:pPr>
        <w:sectPr>
          <w:pgSz w:w="11880" w:h="15480" w:orient="portrait"/>
          <w:cols w:equalWidth="0" w:num="1">
            <w:col w:w="10000"/>
          </w:cols>
          <w:pgMar w:left="940" w:top="67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880" w:h="15480" w:orient="portrait"/>
          <w:cols w:equalWidth="0" w:num="1">
            <w:col w:w="10000"/>
          </w:cols>
          <w:pgMar w:left="940" w:top="676" w:right="940" w:bottom="0" w:gutter="0" w:footer="0" w:header="0"/>
          <w:type w:val="continuous"/>
        </w:sectPr>
      </w:pPr>
    </w:p>
    <w:bookmarkStart w:id="91" w:name="page92"/>
    <w:bookmarkEnd w:id="91"/>
    <w:p>
      <w:pPr>
        <w:spacing w:after="0"/>
        <w:rPr>
          <w:sz w:val="20"/>
          <w:szCs w:val="20"/>
          <w:color w:val="auto"/>
        </w:rPr>
      </w:pPr>
      <w:r>
        <w:rPr>
          <w:rFonts w:ascii="Arial" w:cs="Arial" w:eastAsia="Arial" w:hAnsi="Arial"/>
          <w:sz w:val="19"/>
          <w:szCs w:val="19"/>
          <w:b w:val="1"/>
          <w:bCs w:val="1"/>
          <w:color w:val="auto"/>
        </w:rPr>
        <w:t>Recent Accounting Pronouncements</w:t>
      </w:r>
    </w:p>
    <w:p>
      <w:pPr>
        <w:spacing w:after="0" w:line="257" w:lineRule="exact"/>
        <w:rPr>
          <w:sz w:val="20"/>
          <w:szCs w:val="20"/>
          <w:color w:val="auto"/>
        </w:rPr>
      </w:pPr>
    </w:p>
    <w:p>
      <w:pPr>
        <w:ind w:right="720" w:firstLine="702"/>
        <w:spacing w:after="0" w:line="295" w:lineRule="auto"/>
        <w:rPr>
          <w:sz w:val="20"/>
          <w:szCs w:val="20"/>
          <w:color w:val="auto"/>
        </w:rPr>
      </w:pPr>
      <w:r>
        <w:rPr>
          <w:rFonts w:ascii="Arial" w:cs="Arial" w:eastAsia="Arial" w:hAnsi="Arial"/>
          <w:sz w:val="19"/>
          <w:szCs w:val="19"/>
          <w:color w:val="auto"/>
        </w:rPr>
        <w:t>See Note 2 to our Consolidated Financial Statements for information regarding the effect of recent accounting pronouncements on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7A. Quantitative and Qualitative Disclosures About Market Risk</w:t>
      </w:r>
    </w:p>
    <w:p>
      <w:pPr>
        <w:spacing w:after="0" w:line="257" w:lineRule="exact"/>
        <w:rPr>
          <w:sz w:val="20"/>
          <w:szCs w:val="20"/>
          <w:color w:val="auto"/>
        </w:rPr>
      </w:pPr>
    </w:p>
    <w:p>
      <w:pPr>
        <w:ind w:firstLine="702"/>
        <w:spacing w:after="0" w:line="262" w:lineRule="auto"/>
        <w:rPr>
          <w:sz w:val="20"/>
          <w:szCs w:val="20"/>
          <w:color w:val="auto"/>
        </w:rPr>
      </w:pPr>
      <w:r>
        <w:rPr>
          <w:rFonts w:ascii="Arial" w:cs="Arial" w:eastAsia="Arial" w:hAnsi="Arial"/>
          <w:sz w:val="19"/>
          <w:szCs w:val="19"/>
          <w:color w:val="auto"/>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Commodity Price Risk</w:t>
      </w:r>
    </w:p>
    <w:p>
      <w:pPr>
        <w:spacing w:after="0" w:line="25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We use derivative instruments to hedge price risk associated with the following commodities:</w:t>
      </w:r>
    </w:p>
    <w:p>
      <w:pPr>
        <w:spacing w:after="0" w:line="131" w:lineRule="exact"/>
        <w:rPr>
          <w:sz w:val="20"/>
          <w:szCs w:val="20"/>
          <w:color w:val="auto"/>
        </w:rPr>
      </w:pPr>
    </w:p>
    <w:p>
      <w:pPr>
        <w:ind w:left="1060" w:hanging="359"/>
        <w:spacing w:after="0"/>
        <w:tabs>
          <w:tab w:leader="none" w:pos="1060" w:val="left"/>
        </w:tabs>
        <w:numPr>
          <w:ilvl w:val="0"/>
          <w:numId w:val="56"/>
        </w:numPr>
        <w:rPr>
          <w:rFonts w:ascii="Arial" w:cs="Arial" w:eastAsia="Arial" w:hAnsi="Arial"/>
          <w:sz w:val="14"/>
          <w:szCs w:val="14"/>
          <w:b w:val="1"/>
          <w:bCs w:val="1"/>
          <w:i w:val="1"/>
          <w:iCs w:val="1"/>
          <w:color w:val="auto"/>
        </w:rPr>
      </w:pPr>
      <w:r>
        <w:rPr>
          <w:rFonts w:ascii="Arial" w:cs="Arial" w:eastAsia="Arial" w:hAnsi="Arial"/>
          <w:sz w:val="19"/>
          <w:szCs w:val="19"/>
          <w:b w:val="1"/>
          <w:bCs w:val="1"/>
          <w:i w:val="1"/>
          <w:iCs w:val="1"/>
          <w:u w:val="single" w:color="auto"/>
          <w:color w:val="auto"/>
        </w:rPr>
        <w:t>Crude oil</w:t>
      </w:r>
    </w:p>
    <w:p>
      <w:pPr>
        <w:spacing w:after="0" w:line="134" w:lineRule="exact"/>
        <w:rPr>
          <w:rFonts w:ascii="Arial" w:cs="Arial" w:eastAsia="Arial" w:hAnsi="Arial"/>
          <w:sz w:val="14"/>
          <w:szCs w:val="14"/>
          <w:b w:val="1"/>
          <w:bCs w:val="1"/>
          <w:i w:val="1"/>
          <w:iCs w:val="1"/>
          <w:color w:val="auto"/>
        </w:rPr>
      </w:pPr>
    </w:p>
    <w:p>
      <w:pPr>
        <w:ind w:left="1060" w:right="60"/>
        <w:spacing w:after="0" w:line="269" w:lineRule="auto"/>
        <w:rPr>
          <w:rFonts w:ascii="Arial" w:cs="Arial" w:eastAsia="Arial" w:hAnsi="Arial"/>
          <w:sz w:val="14"/>
          <w:szCs w:val="14"/>
          <w:b w:val="1"/>
          <w:bCs w:val="1"/>
          <w:i w:val="1"/>
          <w:iCs w:val="1"/>
          <w:color w:val="auto"/>
        </w:rPr>
      </w:pPr>
      <w:r>
        <w:rPr>
          <w:rFonts w:ascii="Arial" w:cs="Arial" w:eastAsia="Arial" w:hAnsi="Arial"/>
          <w:sz w:val="19"/>
          <w:szCs w:val="19"/>
          <w:color w:val="auto"/>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spacing w:after="0" w:line="71" w:lineRule="exact"/>
        <w:rPr>
          <w:rFonts w:ascii="Arial" w:cs="Arial" w:eastAsia="Arial" w:hAnsi="Arial"/>
          <w:sz w:val="14"/>
          <w:szCs w:val="14"/>
          <w:b w:val="1"/>
          <w:bCs w:val="1"/>
          <w:i w:val="1"/>
          <w:iCs w:val="1"/>
          <w:color w:val="auto"/>
        </w:rPr>
      </w:pPr>
    </w:p>
    <w:p>
      <w:pPr>
        <w:ind w:left="1060" w:hanging="359"/>
        <w:spacing w:after="0"/>
        <w:tabs>
          <w:tab w:leader="none" w:pos="1060" w:val="left"/>
        </w:tabs>
        <w:numPr>
          <w:ilvl w:val="0"/>
          <w:numId w:val="56"/>
        </w:numPr>
        <w:rPr>
          <w:rFonts w:ascii="Arial" w:cs="Arial" w:eastAsia="Arial" w:hAnsi="Arial"/>
          <w:sz w:val="14"/>
          <w:szCs w:val="14"/>
          <w:color w:val="auto"/>
        </w:rPr>
      </w:pPr>
      <w:r>
        <w:rPr>
          <w:rFonts w:ascii="Arial" w:cs="Arial" w:eastAsia="Arial" w:hAnsi="Arial"/>
          <w:sz w:val="19"/>
          <w:szCs w:val="19"/>
          <w:b w:val="1"/>
          <w:bCs w:val="1"/>
          <w:i w:val="1"/>
          <w:iCs w:val="1"/>
          <w:u w:val="single" w:color="auto"/>
          <w:color w:val="auto"/>
        </w:rPr>
        <w:t>Natural gas</w:t>
      </w:r>
    </w:p>
    <w:p>
      <w:pPr>
        <w:spacing w:after="0" w:line="134" w:lineRule="exact"/>
        <w:rPr>
          <w:rFonts w:ascii="Arial" w:cs="Arial" w:eastAsia="Arial" w:hAnsi="Arial"/>
          <w:sz w:val="14"/>
          <w:szCs w:val="14"/>
          <w:color w:val="auto"/>
        </w:rPr>
      </w:pPr>
    </w:p>
    <w:p>
      <w:pPr>
        <w:ind w:left="1060" w:right="200"/>
        <w:spacing w:after="0" w:line="289" w:lineRule="auto"/>
        <w:rPr>
          <w:rFonts w:ascii="Arial" w:cs="Arial" w:eastAsia="Arial" w:hAnsi="Arial"/>
          <w:sz w:val="14"/>
          <w:szCs w:val="14"/>
          <w:color w:val="auto"/>
        </w:rPr>
      </w:pPr>
      <w:r>
        <w:rPr>
          <w:rFonts w:ascii="Arial" w:cs="Arial" w:eastAsia="Arial" w:hAnsi="Arial"/>
          <w:sz w:val="18"/>
          <w:szCs w:val="18"/>
          <w:color w:val="auto"/>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spacing w:after="0" w:line="54" w:lineRule="exact"/>
        <w:rPr>
          <w:rFonts w:ascii="Arial" w:cs="Arial" w:eastAsia="Arial" w:hAnsi="Arial"/>
          <w:sz w:val="14"/>
          <w:szCs w:val="14"/>
          <w:color w:val="auto"/>
        </w:rPr>
      </w:pPr>
    </w:p>
    <w:p>
      <w:pPr>
        <w:ind w:left="1060" w:hanging="359"/>
        <w:spacing w:after="0"/>
        <w:tabs>
          <w:tab w:leader="none" w:pos="1060" w:val="left"/>
        </w:tabs>
        <w:numPr>
          <w:ilvl w:val="0"/>
          <w:numId w:val="56"/>
        </w:numPr>
        <w:rPr>
          <w:rFonts w:ascii="Arial" w:cs="Arial" w:eastAsia="Arial" w:hAnsi="Arial"/>
          <w:sz w:val="14"/>
          <w:szCs w:val="14"/>
          <w:color w:val="auto"/>
        </w:rPr>
      </w:pPr>
      <w:r>
        <w:rPr>
          <w:rFonts w:ascii="Arial" w:cs="Arial" w:eastAsia="Arial" w:hAnsi="Arial"/>
          <w:sz w:val="19"/>
          <w:szCs w:val="19"/>
          <w:b w:val="1"/>
          <w:bCs w:val="1"/>
          <w:i w:val="1"/>
          <w:iCs w:val="1"/>
          <w:u w:val="single" w:color="auto"/>
          <w:color w:val="auto"/>
        </w:rPr>
        <w:t>NGL and other</w:t>
      </w:r>
    </w:p>
    <w:p>
      <w:pPr>
        <w:spacing w:after="0" w:line="134" w:lineRule="exact"/>
        <w:rPr>
          <w:rFonts w:ascii="Arial" w:cs="Arial" w:eastAsia="Arial" w:hAnsi="Arial"/>
          <w:sz w:val="14"/>
          <w:szCs w:val="14"/>
          <w:color w:val="auto"/>
        </w:rPr>
      </w:pPr>
    </w:p>
    <w:p>
      <w:pPr>
        <w:ind w:left="1060" w:right="120"/>
        <w:spacing w:after="0" w:line="264" w:lineRule="auto"/>
        <w:rPr>
          <w:rFonts w:ascii="Arial" w:cs="Arial" w:eastAsia="Arial" w:hAnsi="Arial"/>
          <w:sz w:val="14"/>
          <w:szCs w:val="14"/>
          <w:color w:val="auto"/>
        </w:rPr>
      </w:pPr>
      <w:r>
        <w:rPr>
          <w:rFonts w:ascii="Arial" w:cs="Arial" w:eastAsia="Arial" w:hAnsi="Arial"/>
          <w:sz w:val="19"/>
          <w:szCs w:val="19"/>
          <w:color w:val="auto"/>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spacing w:after="0" w:line="196" w:lineRule="exact"/>
        <w:rPr>
          <w:sz w:val="20"/>
          <w:szCs w:val="20"/>
          <w:color w:val="auto"/>
        </w:rPr>
      </w:pPr>
    </w:p>
    <w:p>
      <w:pPr>
        <w:ind w:right="480" w:firstLine="702"/>
        <w:spacing w:after="0" w:line="295" w:lineRule="auto"/>
        <w:rPr>
          <w:sz w:val="20"/>
          <w:szCs w:val="20"/>
          <w:color w:val="auto"/>
        </w:rPr>
      </w:pPr>
      <w:r>
        <w:rPr>
          <w:rFonts w:ascii="Arial" w:cs="Arial" w:eastAsia="Arial" w:hAnsi="Arial"/>
          <w:sz w:val="19"/>
          <w:szCs w:val="19"/>
          <w:color w:val="auto"/>
        </w:rPr>
        <w:t>See Note 12 to our Consolidated Financial Statements for further discussion regarding our hedging strategies and objectives.</w:t>
      </w:r>
    </w:p>
    <w:p>
      <w:pPr>
        <w:spacing w:after="0" w:line="165" w:lineRule="exact"/>
        <w:rPr>
          <w:sz w:val="20"/>
          <w:szCs w:val="20"/>
          <w:color w:val="auto"/>
        </w:rPr>
      </w:pPr>
    </w:p>
    <w:p>
      <w:pPr>
        <w:ind w:right="520" w:firstLine="702"/>
        <w:spacing w:after="0" w:line="295" w:lineRule="auto"/>
        <w:rPr>
          <w:sz w:val="20"/>
          <w:szCs w:val="20"/>
          <w:color w:val="auto"/>
        </w:rPr>
      </w:pPr>
      <w:r>
        <w:rPr>
          <w:rFonts w:ascii="Arial" w:cs="Arial" w:eastAsia="Arial" w:hAnsi="Arial"/>
          <w:sz w:val="19"/>
          <w:szCs w:val="19"/>
          <w:color w:val="auto"/>
        </w:rPr>
        <w:t>The fair value of our commodity derivatives and the change in fair value as of December 31, 2023 that would be expected from a 10% price increase or decrease is shown in the table below (in millions):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6"/>
                <w:szCs w:val="16"/>
                <w:b w:val="1"/>
                <w:bCs w:val="1"/>
                <w:color w:val="auto"/>
                <w:w w:val="99"/>
              </w:rPr>
              <w:t>Fair Value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70"/>
              <w:spacing w:after="0"/>
              <w:rPr>
                <w:sz w:val="20"/>
                <w:szCs w:val="20"/>
                <w:color w:val="auto"/>
              </w:rPr>
            </w:pPr>
            <w:r>
              <w:rPr>
                <w:rFonts w:ascii="Arial" w:cs="Arial" w:eastAsia="Arial" w:hAnsi="Arial"/>
                <w:sz w:val="16"/>
                <w:szCs w:val="16"/>
                <w:b w:val="1"/>
                <w:bCs w:val="1"/>
                <w:color w:val="auto"/>
                <w:w w:val="91"/>
              </w:rPr>
              <w:t>Effect of 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87"/>
              <w:spacing w:after="0"/>
              <w:rPr>
                <w:sz w:val="20"/>
                <w:szCs w:val="20"/>
                <w:color w:val="auto"/>
              </w:rPr>
            </w:pPr>
            <w:r>
              <w:rPr>
                <w:rFonts w:ascii="Arial" w:cs="Arial" w:eastAsia="Arial" w:hAnsi="Arial"/>
                <w:sz w:val="16"/>
                <w:szCs w:val="16"/>
                <w:b w:val="1"/>
                <w:bCs w:val="1"/>
                <w:color w:val="auto"/>
                <w:w w:val="91"/>
              </w:rPr>
              <w:t>Effect of 10%</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6"/>
                <w:szCs w:val="16"/>
                <w:b w:val="1"/>
                <w:bCs w:val="1"/>
                <w:color w:val="auto"/>
                <w:w w:val="84"/>
              </w:rPr>
              <w:t>Price Increase</w:t>
            </w:r>
          </w:p>
        </w:tc>
        <w:tc>
          <w:tcPr>
            <w:tcW w:w="80" w:type="dxa"/>
            <w:vAlign w:val="bottom"/>
          </w:tcPr>
          <w:p>
            <w:pPr>
              <w:spacing w:after="0"/>
              <w:rPr>
                <w:sz w:val="18"/>
                <w:szCs w:val="18"/>
                <w:color w:val="auto"/>
              </w:rPr>
            </w:pPr>
          </w:p>
        </w:tc>
        <w:tc>
          <w:tcPr>
            <w:tcW w:w="128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6"/>
                <w:szCs w:val="16"/>
                <w:b w:val="1"/>
                <w:bCs w:val="1"/>
                <w:color w:val="auto"/>
                <w:w w:val="95"/>
              </w:rPr>
              <w:t>Price Decrease</w:t>
            </w:r>
          </w:p>
        </w:tc>
        <w:tc>
          <w:tcPr>
            <w:tcW w:w="0" w:type="dxa"/>
            <w:vAlign w:val="bottom"/>
          </w:tcPr>
          <w:p>
            <w:pPr>
              <w:spacing w:after="0"/>
              <w:rPr>
                <w:sz w:val="1"/>
                <w:szCs w:val="1"/>
                <w:color w:val="auto"/>
              </w:rPr>
            </w:pPr>
          </w:p>
        </w:tc>
      </w:tr>
      <w:tr>
        <w:trPr>
          <w:trHeight w:val="269"/>
        </w:trPr>
        <w:tc>
          <w:tcPr>
            <w:tcW w:w="5980" w:type="dxa"/>
            <w:vAlign w:val="bottom"/>
          </w:tcPr>
          <w:p>
            <w:pPr>
              <w:spacing w:after="0"/>
              <w:rPr>
                <w:sz w:val="20"/>
                <w:szCs w:val="20"/>
                <w:color w:val="auto"/>
              </w:rPr>
            </w:pPr>
            <w:r>
              <w:rPr>
                <w:rFonts w:ascii="Arial" w:cs="Arial" w:eastAsia="Arial" w:hAnsi="Arial"/>
                <w:sz w:val="19"/>
                <w:szCs w:val="19"/>
                <w:color w:val="auto"/>
              </w:rPr>
              <w:t>Crude oil</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060" w:type="dxa"/>
            <w:vAlign w:val="bottom"/>
          </w:tcPr>
          <w:p>
            <w:pPr>
              <w:jc w:val="right"/>
              <w:spacing w:after="0"/>
              <w:rPr>
                <w:sz w:val="20"/>
                <w:szCs w:val="20"/>
                <w:color w:val="auto"/>
              </w:rPr>
            </w:pPr>
            <w:r>
              <w:rPr>
                <w:rFonts w:ascii="Arial" w:cs="Arial" w:eastAsia="Arial" w:hAnsi="Arial"/>
                <w:sz w:val="19"/>
                <w:szCs w:val="19"/>
                <w:color w:val="auto"/>
              </w:rPr>
              <w:t>(2)</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(49)</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49</w:t>
            </w:r>
          </w:p>
        </w:tc>
        <w:tc>
          <w:tcPr>
            <w:tcW w:w="0" w:type="dxa"/>
            <w:vAlign w:val="bottom"/>
          </w:tcPr>
          <w:p>
            <w:pPr>
              <w:spacing w:after="0"/>
              <w:rPr>
                <w:sz w:val="1"/>
                <w:szCs w:val="1"/>
                <w:color w:val="auto"/>
              </w:rPr>
            </w:pPr>
          </w:p>
        </w:tc>
      </w:tr>
      <w:tr>
        <w:trPr>
          <w:trHeight w:val="292"/>
        </w:trPr>
        <w:tc>
          <w:tcPr>
            <w:tcW w:w="5980" w:type="dxa"/>
            <w:vAlign w:val="bottom"/>
          </w:tcPr>
          <w:p>
            <w:pPr>
              <w:spacing w:after="0"/>
              <w:rPr>
                <w:sz w:val="20"/>
                <w:szCs w:val="20"/>
                <w:color w:val="auto"/>
              </w:rPr>
            </w:pPr>
            <w:r>
              <w:rPr>
                <w:rFonts w:ascii="Arial" w:cs="Arial" w:eastAsia="Arial" w:hAnsi="Arial"/>
                <w:sz w:val="19"/>
                <w:szCs w:val="19"/>
                <w:color w:val="auto"/>
              </w:rPr>
              <w:t>Natural gas</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(66)</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12</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(12)</w:t>
            </w:r>
          </w:p>
        </w:tc>
        <w:tc>
          <w:tcPr>
            <w:tcW w:w="0" w:type="dxa"/>
            <w:vAlign w:val="bottom"/>
          </w:tcPr>
          <w:p>
            <w:pPr>
              <w:spacing w:after="0"/>
              <w:rPr>
                <w:sz w:val="1"/>
                <w:szCs w:val="1"/>
                <w:color w:val="auto"/>
              </w:rPr>
            </w:pPr>
          </w:p>
        </w:tc>
      </w:tr>
      <w:tr>
        <w:trPr>
          <w:trHeight w:val="296"/>
        </w:trPr>
        <w:tc>
          <w:tcPr>
            <w:tcW w:w="5980" w:type="dxa"/>
            <w:vAlign w:val="bottom"/>
          </w:tcPr>
          <w:p>
            <w:pPr>
              <w:spacing w:after="0"/>
              <w:rPr>
                <w:sz w:val="20"/>
                <w:szCs w:val="20"/>
                <w:color w:val="auto"/>
              </w:rPr>
            </w:pPr>
            <w:r>
              <w:rPr>
                <w:rFonts w:ascii="Arial" w:cs="Arial" w:eastAsia="Arial" w:hAnsi="Arial"/>
                <w:sz w:val="19"/>
                <w:szCs w:val="19"/>
                <w:color w:val="auto"/>
              </w:rPr>
              <w:t>NGL and other</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68</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(51)</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51</w:t>
            </w:r>
          </w:p>
        </w:tc>
        <w:tc>
          <w:tcPr>
            <w:tcW w:w="0" w:type="dxa"/>
            <w:vAlign w:val="bottom"/>
          </w:tcPr>
          <w:p>
            <w:pPr>
              <w:spacing w:after="0"/>
              <w:rPr>
                <w:sz w:val="1"/>
                <w:szCs w:val="1"/>
                <w:color w:val="auto"/>
              </w:rPr>
            </w:pPr>
          </w:p>
        </w:tc>
      </w:tr>
      <w:tr>
        <w:trPr>
          <w:trHeight w:val="253"/>
        </w:trPr>
        <w:tc>
          <w:tcPr>
            <w:tcW w:w="5980" w:type="dxa"/>
            <w:vAlign w:val="bottom"/>
          </w:tcPr>
          <w:p>
            <w:pPr>
              <w:spacing w:after="0"/>
              <w:rPr>
                <w:sz w:val="20"/>
                <w:szCs w:val="20"/>
                <w:color w:val="auto"/>
              </w:rPr>
            </w:pPr>
            <w:r>
              <w:rPr>
                <w:rFonts w:ascii="Arial" w:cs="Arial" w:eastAsia="Arial" w:hAnsi="Arial"/>
                <w:sz w:val="19"/>
                <w:szCs w:val="19"/>
                <w:color w:val="auto"/>
              </w:rPr>
              <w:t>Total fair value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-773430</wp:posOffset>
            </wp:positionV>
            <wp:extent cx="6367145" cy="780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8">
                      <a:extLst>
                        <a:ext uri="{28A0092B-C50C-407E-A947-70E740481C1C}"/>
                      </a:extLst>
                    </a:blip>
                    <a:srcRect/>
                    <a:stretch>
                      <a:fillRect/>
                    </a:stretch>
                  </pic:blipFill>
                  <pic:spPr bwMode="auto">
                    <a:xfrm>
                      <a:off x="0" y="0"/>
                      <a:ext cx="6367145" cy="780415"/>
                    </a:xfrm>
                    <a:prstGeom prst="rect">
                      <a:avLst/>
                    </a:prstGeom>
                    <a:noFill/>
                  </pic:spPr>
                </pic:pic>
              </a:graphicData>
            </a:graphic>
          </wp:anchor>
        </w:drawing>
      </w:r>
    </w:p>
    <w:p>
      <w:pPr>
        <w:sectPr>
          <w:pgSz w:w="11880" w:h="15480" w:orient="portrait"/>
          <w:cols w:equalWidth="0" w:num="1">
            <w:col w:w="10000"/>
          </w:cols>
          <w:pgMar w:left="940" w:top="66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880" w:h="15480" w:orient="portrait"/>
          <w:cols w:equalWidth="0" w:num="1">
            <w:col w:w="10000"/>
          </w:cols>
          <w:pgMar w:left="940" w:top="669" w:right="940" w:bottom="0" w:gutter="0" w:footer="0" w:header="0"/>
          <w:type w:val="continuous"/>
        </w:sectPr>
      </w:pPr>
    </w:p>
    <w:bookmarkStart w:id="92" w:name="page93"/>
    <w:bookmarkEnd w:id="92"/>
    <w:p>
      <w:pPr>
        <w:ind w:right="60" w:firstLine="702"/>
        <w:spacing w:after="0" w:line="264" w:lineRule="auto"/>
        <w:rPr>
          <w:sz w:val="20"/>
          <w:szCs w:val="20"/>
          <w:color w:val="auto"/>
        </w:rPr>
      </w:pPr>
      <w:r>
        <w:rPr>
          <w:rFonts w:ascii="Arial" w:cs="Arial" w:eastAsia="Arial" w:hAnsi="Arial"/>
          <w:sz w:val="19"/>
          <w:szCs w:val="19"/>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Interest Rate Risk</w:t>
      </w:r>
    </w:p>
    <w:p>
      <w:pPr>
        <w:spacing w:after="0" w:line="255" w:lineRule="exact"/>
        <w:rPr>
          <w:sz w:val="20"/>
          <w:szCs w:val="20"/>
          <w:color w:val="auto"/>
        </w:rPr>
      </w:pPr>
    </w:p>
    <w:p>
      <w:pPr>
        <w:ind w:right="100" w:firstLine="702"/>
        <w:spacing w:after="0" w:line="276" w:lineRule="auto"/>
        <w:rPr>
          <w:sz w:val="20"/>
          <w:szCs w:val="20"/>
          <w:color w:val="auto"/>
        </w:rPr>
      </w:pPr>
      <w:r>
        <w:rPr>
          <w:rFonts w:ascii="Arial" w:cs="Arial" w:eastAsia="Arial" w:hAnsi="Arial"/>
          <w:sz w:val="18"/>
          <w:szCs w:val="18"/>
          <w:b w:val="1"/>
          <w:bCs w:val="1"/>
          <w:i w:val="1"/>
          <w:iCs w:val="1"/>
          <w:color w:val="auto"/>
        </w:rPr>
        <w:t>Debt</w:t>
      </w:r>
      <w:r>
        <w:rPr>
          <w:rFonts w:ascii="Arial" w:cs="Arial" w:eastAsia="Arial" w:hAnsi="Arial"/>
          <w:sz w:val="18"/>
          <w:szCs w:val="18"/>
          <w:color w:val="auto"/>
        </w:rPr>
        <w:t>. Our use of variable rate debt and any forecasted issuances of fixed rate debt expose us to interest rate risk.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December 31, 2023, approximately $433 million, was subject to interest rate resets that generally range from less than one week to approximately one month. The average interest rate on variable rate debt that was outstanding during the year ended December 31, 2023 was 5.8%, based upon rates in effect during the year. The fair value of our interest rate derivatives was an asset of $55 million as of December 31, 2023. A 10% increase in the forward SOFR curve as of December 31, 2023 would have resulted in an increase of $18 million to the fair value of our interest rate derivatives. A 10% decrease in the forward SOFR curve as of December 31, 2023 would have resulted in a decrease of $18 million to the fair value of our interest rate derivatives. See Note 12 to our Consolidated Financial Statements for a discussion of our interest rate risk hedging activities.</w:t>
      </w:r>
    </w:p>
    <w:p>
      <w:pPr>
        <w:spacing w:after="0" w:line="189" w:lineRule="exact"/>
        <w:rPr>
          <w:sz w:val="20"/>
          <w:szCs w:val="20"/>
          <w:color w:val="auto"/>
        </w:rPr>
      </w:pPr>
    </w:p>
    <w:p>
      <w:pPr>
        <w:ind w:firstLine="702"/>
        <w:spacing w:after="0" w:line="292" w:lineRule="auto"/>
        <w:rPr>
          <w:sz w:val="20"/>
          <w:szCs w:val="20"/>
          <w:color w:val="auto"/>
        </w:rPr>
      </w:pPr>
      <w:r>
        <w:rPr>
          <w:rFonts w:ascii="Arial" w:cs="Arial" w:eastAsia="Arial" w:hAnsi="Arial"/>
          <w:sz w:val="17"/>
          <w:szCs w:val="17"/>
          <w:b w:val="1"/>
          <w:bCs w:val="1"/>
          <w:i w:val="1"/>
          <w:iCs w:val="1"/>
          <w:color w:val="auto"/>
        </w:rPr>
        <w:t>Series B Preferred Units</w:t>
      </w:r>
      <w:r>
        <w:rPr>
          <w:rFonts w:ascii="Arial" w:cs="Arial" w:eastAsia="Arial" w:hAnsi="Arial"/>
          <w:sz w:val="17"/>
          <w:szCs w:val="17"/>
          <w:color w:val="auto"/>
        </w:rPr>
        <w:t>. Distributions on PAA’s Series B preferred units accumulate and are payable quarterly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arrears on the 15th day of February, May, August and November. Beginning August 15, 2023, distributions on PAA’s Series B preferred units accumulate based on the applicable three-month SOFR, plus certain adjustments. Based upon the Series B preferred units outstanding at December 31, 2023 and the liquidation preference of $1,000 per unit, a change of 100 basis points in interest rates would increase or decrease the annual distributions on PAA’s Series B preferred units by approximately</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$8 million. See Note 11 to our Consolidated Financial Statements for additional information on PAA’s Series B preferred units.</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8. </w:t>
      </w:r>
      <w:r>
        <w:rPr>
          <w:rFonts w:ascii="Arial" w:cs="Arial" w:eastAsia="Arial" w:hAnsi="Arial"/>
          <w:sz w:val="19"/>
          <w:szCs w:val="19"/>
          <w:b w:val="1"/>
          <w:bCs w:val="1"/>
          <w:i w:val="1"/>
          <w:iCs w:val="1"/>
          <w:color w:val="auto"/>
        </w:rPr>
        <w:t>Financial Statements and Supplementary Data</w:t>
      </w:r>
    </w:p>
    <w:p>
      <w:pPr>
        <w:spacing w:after="0" w:line="25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See “Index to the Consolidated Financial Statements” on page F-1.</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9. </w:t>
      </w:r>
      <w:r>
        <w:rPr>
          <w:rFonts w:ascii="Arial" w:cs="Arial" w:eastAsia="Arial" w:hAnsi="Arial"/>
          <w:sz w:val="19"/>
          <w:szCs w:val="19"/>
          <w:b w:val="1"/>
          <w:bCs w:val="1"/>
          <w:i w:val="1"/>
          <w:iCs w:val="1"/>
          <w:color w:val="auto"/>
        </w:rPr>
        <w:t>Changes In and Disagreements With Accountants on Accounting and Financial Disclosure</w:t>
      </w:r>
    </w:p>
    <w:p>
      <w:pPr>
        <w:spacing w:after="0" w:line="25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None.</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9A. </w:t>
      </w:r>
      <w:r>
        <w:rPr>
          <w:rFonts w:ascii="Arial" w:cs="Arial" w:eastAsia="Arial" w:hAnsi="Arial"/>
          <w:sz w:val="19"/>
          <w:szCs w:val="19"/>
          <w:b w:val="1"/>
          <w:bCs w:val="1"/>
          <w:i w:val="1"/>
          <w:iCs w:val="1"/>
          <w:color w:val="auto"/>
        </w:rPr>
        <w:t>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Disclosure Controls and Procedures</w:t>
      </w:r>
    </w:p>
    <w:p>
      <w:pPr>
        <w:spacing w:after="0" w:line="257" w:lineRule="exact"/>
        <w:rPr>
          <w:sz w:val="20"/>
          <w:szCs w:val="20"/>
          <w:color w:val="auto"/>
        </w:rPr>
      </w:pPr>
    </w:p>
    <w:p>
      <w:pPr>
        <w:ind w:right="180" w:firstLine="702"/>
        <w:spacing w:after="0" w:line="266" w:lineRule="auto"/>
        <w:rPr>
          <w:sz w:val="20"/>
          <w:szCs w:val="20"/>
          <w:color w:val="auto"/>
        </w:rPr>
      </w:pPr>
      <w:r>
        <w:rPr>
          <w:rFonts w:ascii="Arial" w:cs="Arial" w:eastAsia="Arial" w:hAnsi="Arial"/>
          <w:sz w:val="19"/>
          <w:szCs w:val="19"/>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93" w:lineRule="exact"/>
        <w:rPr>
          <w:sz w:val="20"/>
          <w:szCs w:val="20"/>
          <w:color w:val="auto"/>
        </w:rPr>
      </w:pPr>
    </w:p>
    <w:p>
      <w:pPr>
        <w:ind w:right="40" w:firstLine="702"/>
        <w:spacing w:after="0" w:line="269" w:lineRule="auto"/>
        <w:rPr>
          <w:sz w:val="20"/>
          <w:szCs w:val="20"/>
          <w:color w:val="auto"/>
        </w:rPr>
      </w:pPr>
      <w:r>
        <w:rPr>
          <w:rFonts w:ascii="Arial" w:cs="Arial" w:eastAsia="Arial" w:hAnsi="Arial"/>
          <w:sz w:val="19"/>
          <w:szCs w:val="19"/>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2023, the end of the period covered by this report, and, based on such evaluation, our Chief Executive Officer and Chief Financial Officer have concluded that our DCP is effective.</w:t>
      </w:r>
    </w:p>
    <w:p>
      <w:pPr>
        <w:sectPr>
          <w:pgSz w:w="11880" w:h="15480" w:orient="portrait"/>
          <w:cols w:equalWidth="0" w:num="1">
            <w:col w:w="10000"/>
          </w:cols>
          <w:pgMar w:left="940" w:top="67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880" w:h="15480" w:orient="portrait"/>
          <w:cols w:equalWidth="0" w:num="1">
            <w:col w:w="10000"/>
          </w:cols>
          <w:pgMar w:left="940" w:top="676" w:right="940" w:bottom="0" w:gutter="0" w:footer="0" w:header="0"/>
          <w:type w:val="continuous"/>
        </w:sectPr>
      </w:pPr>
    </w:p>
    <w:bookmarkStart w:id="93" w:name="page94"/>
    <w:bookmarkEnd w:id="93"/>
    <w:p>
      <w:pPr>
        <w:spacing w:after="0"/>
        <w:rPr>
          <w:sz w:val="20"/>
          <w:szCs w:val="20"/>
          <w:color w:val="auto"/>
        </w:rPr>
      </w:pPr>
      <w:r>
        <w:rPr>
          <w:rFonts w:ascii="Arial" w:cs="Arial" w:eastAsia="Arial" w:hAnsi="Arial"/>
          <w:sz w:val="19"/>
          <w:szCs w:val="19"/>
          <w:b w:val="1"/>
          <w:bCs w:val="1"/>
          <w:i w:val="1"/>
          <w:iCs w:val="1"/>
          <w:color w:val="auto"/>
        </w:rPr>
        <w:t>Internal Control over Financial Reporting</w:t>
      </w:r>
    </w:p>
    <w:p>
      <w:pPr>
        <w:spacing w:after="0" w:line="257" w:lineRule="exact"/>
        <w:rPr>
          <w:sz w:val="20"/>
          <w:szCs w:val="20"/>
          <w:color w:val="auto"/>
        </w:rPr>
      </w:pPr>
    </w:p>
    <w:p>
      <w:pPr>
        <w:ind w:right="60" w:firstLine="702"/>
        <w:spacing w:after="0" w:line="299"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2023. See “Management’s Report on Internal Control Over Financial Reporting” on page F-2 of our Consolidated Financial Statements.</w:t>
      </w:r>
    </w:p>
    <w:p>
      <w:pPr>
        <w:spacing w:after="0" w:line="167" w:lineRule="exact"/>
        <w:rPr>
          <w:sz w:val="20"/>
          <w:szCs w:val="20"/>
          <w:color w:val="auto"/>
        </w:rPr>
      </w:pPr>
    </w:p>
    <w:p>
      <w:pPr>
        <w:ind w:right="220" w:firstLine="702"/>
        <w:spacing w:after="0" w:line="276" w:lineRule="auto"/>
        <w:rPr>
          <w:sz w:val="20"/>
          <w:szCs w:val="20"/>
          <w:color w:val="auto"/>
        </w:rPr>
      </w:pPr>
      <w:r>
        <w:rPr>
          <w:rFonts w:ascii="Arial" w:cs="Arial" w:eastAsia="Arial" w:hAnsi="Arial"/>
          <w:sz w:val="19"/>
          <w:szCs w:val="19"/>
          <w:color w:val="auto"/>
        </w:rPr>
        <w:t>Our independent registered public accounting firm, PricewaterhouseCoopers LLP, assessed the effectiveness of our internal control over financial reporting, as stated in the firm’s report. See “Report of Independent Registered Public Accounting Firm” on page F-3 of our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Internal Control over Financial Reporting</w:t>
      </w:r>
    </w:p>
    <w:p>
      <w:pPr>
        <w:spacing w:after="0" w:line="257" w:lineRule="exact"/>
        <w:rPr>
          <w:sz w:val="20"/>
          <w:szCs w:val="20"/>
          <w:color w:val="auto"/>
        </w:rPr>
      </w:pPr>
    </w:p>
    <w:p>
      <w:pPr>
        <w:ind w:firstLine="702"/>
        <w:spacing w:after="0" w:line="295" w:lineRule="auto"/>
        <w:rPr>
          <w:sz w:val="20"/>
          <w:szCs w:val="20"/>
          <w:color w:val="auto"/>
        </w:rPr>
      </w:pPr>
      <w:r>
        <w:rPr>
          <w:rFonts w:ascii="Arial" w:cs="Arial" w:eastAsia="Arial" w:hAnsi="Arial"/>
          <w:sz w:val="19"/>
          <w:szCs w:val="19"/>
          <w:color w:val="auto"/>
        </w:rPr>
        <w:t>There have been no changes in our internal control over financial reporting during the fourth quarter of 2023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Certifications</w:t>
      </w:r>
    </w:p>
    <w:p>
      <w:pPr>
        <w:spacing w:after="0" w:line="25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certifications of our Chief Executive Officer and Chief Financial Officer pursuant to Exchange Act</w:t>
      </w:r>
    </w:p>
    <w:p>
      <w:pPr>
        <w:spacing w:after="0" w:line="35" w:lineRule="exact"/>
        <w:rPr>
          <w:sz w:val="20"/>
          <w:szCs w:val="20"/>
          <w:color w:val="auto"/>
        </w:rPr>
      </w:pPr>
    </w:p>
    <w:p>
      <w:pPr>
        <w:ind w:right="280"/>
        <w:spacing w:after="0" w:line="334" w:lineRule="auto"/>
        <w:rPr>
          <w:sz w:val="20"/>
          <w:szCs w:val="20"/>
          <w:color w:val="auto"/>
        </w:rPr>
      </w:pPr>
      <w:r>
        <w:rPr>
          <w:rFonts w:ascii="Arial" w:cs="Arial" w:eastAsia="Arial" w:hAnsi="Arial"/>
          <w:sz w:val="17"/>
          <w:szCs w:val="17"/>
          <w:color w:val="auto"/>
        </w:rPr>
        <w:t>Rules 13a-14(a) and 15d-14(a) are filed with this report as Exhibits 31.1 and 31.2. The certifications of our Chief Executive Officer and Chief Financial Officer pursuant to 18 U.S.C. 1350 are furnished with this report as Exhibits 32.1 and 32.2.</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9B. </w:t>
      </w:r>
      <w:r>
        <w:rPr>
          <w:rFonts w:ascii="Arial" w:cs="Arial" w:eastAsia="Arial" w:hAnsi="Arial"/>
          <w:sz w:val="19"/>
          <w:szCs w:val="19"/>
          <w:b w:val="1"/>
          <w:bCs w:val="1"/>
          <w:i w:val="1"/>
          <w:iCs w:val="1"/>
          <w:color w:val="auto"/>
        </w:rPr>
        <w:t>Other Information</w:t>
      </w:r>
    </w:p>
    <w:p>
      <w:pPr>
        <w:spacing w:after="0" w:line="257" w:lineRule="exact"/>
        <w:rPr>
          <w:sz w:val="20"/>
          <w:szCs w:val="20"/>
          <w:color w:val="auto"/>
        </w:rPr>
      </w:pPr>
    </w:p>
    <w:p>
      <w:pPr>
        <w:ind w:right="400" w:firstLine="702"/>
        <w:spacing w:after="0" w:line="276" w:lineRule="auto"/>
        <w:rPr>
          <w:sz w:val="20"/>
          <w:szCs w:val="20"/>
          <w:color w:val="auto"/>
        </w:rPr>
      </w:pPr>
      <w:r>
        <w:rPr>
          <w:rFonts w:ascii="Arial" w:cs="Arial" w:eastAsia="Arial" w:hAnsi="Arial"/>
          <w:sz w:val="19"/>
          <w:szCs w:val="19"/>
          <w:color w:val="auto"/>
        </w:rPr>
        <w:t>During the quarter ended December 31, 2023, none of our directors or officers (as defined in Rule 16a-1(f) of the Securities Exchange Act of 1934) adopted or terminated a Rule 10b5-1 trading arrangement or non-Rule 10b5-1 trading arrangement (as such terms are defined in Item 408 of Regulation S-K).</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9C. </w:t>
      </w:r>
      <w:r>
        <w:rPr>
          <w:rFonts w:ascii="Arial" w:cs="Arial" w:eastAsia="Arial" w:hAnsi="Arial"/>
          <w:sz w:val="19"/>
          <w:szCs w:val="19"/>
          <w:b w:val="1"/>
          <w:bCs w:val="1"/>
          <w:i w:val="1"/>
          <w:iCs w:val="1"/>
          <w:color w:val="auto"/>
        </w:rPr>
        <w:t>Disclosure Regarding Foreign Jurisdictions that Prevent Inspections</w:t>
      </w:r>
    </w:p>
    <w:p>
      <w:pPr>
        <w:spacing w:after="0" w:line="25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Not applicable.</w:t>
      </w:r>
    </w:p>
    <w:p>
      <w:pPr>
        <w:sectPr>
          <w:pgSz w:w="11880" w:h="15480" w:orient="portrait"/>
          <w:cols w:equalWidth="0" w:num="1">
            <w:col w:w="9920"/>
          </w:cols>
          <w:pgMar w:left="940" w:top="669"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94</w:t>
      </w:r>
    </w:p>
    <w:p>
      <w:pPr>
        <w:sectPr>
          <w:pgSz w:w="11880" w:h="15480" w:orient="portrait"/>
          <w:cols w:equalWidth="0" w:num="1">
            <w:col w:w="9920"/>
          </w:cols>
          <w:pgMar w:left="940" w:top="669" w:right="1020" w:bottom="0" w:gutter="0" w:footer="0" w:header="0"/>
          <w:type w:val="continuous"/>
        </w:sectPr>
      </w:pPr>
    </w:p>
    <w:bookmarkStart w:id="94" w:name="page95"/>
    <w:bookmarkEnd w:id="94"/>
    <w:p>
      <w:pPr>
        <w:jc w:val="center"/>
        <w:ind w:right="-59"/>
        <w:spacing w:after="0"/>
        <w:rPr>
          <w:sz w:val="20"/>
          <w:szCs w:val="20"/>
          <w:color w:val="auto"/>
        </w:rPr>
      </w:pPr>
      <w:r>
        <w:rPr>
          <w:rFonts w:ascii="Arial" w:cs="Arial" w:eastAsia="Arial" w:hAnsi="Arial"/>
          <w:sz w:val="19"/>
          <w:szCs w:val="19"/>
          <w:b w:val="1"/>
          <w:bCs w:val="1"/>
          <w:color w:val="auto"/>
        </w:rPr>
        <w:t>PART III</w:t>
      </w:r>
    </w:p>
    <w:p>
      <w:pPr>
        <w:spacing w:after="0" w:line="249"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 xml:space="preserve">Item 10. </w:t>
      </w:r>
      <w:r>
        <w:rPr>
          <w:rFonts w:ascii="Arial" w:cs="Arial" w:eastAsia="Arial" w:hAnsi="Arial"/>
          <w:sz w:val="19"/>
          <w:szCs w:val="19"/>
          <w:b w:val="1"/>
          <w:bCs w:val="1"/>
          <w:i w:val="1"/>
          <w:iCs w:val="1"/>
          <w:color w:val="auto"/>
        </w:rPr>
        <w:t>Directors and Executive Officers of Our General Partner and Corporate Governance</w:t>
      </w:r>
    </w:p>
    <w:p>
      <w:pPr>
        <w:spacing w:after="0" w:line="257" w:lineRule="exact"/>
        <w:rPr>
          <w:sz w:val="20"/>
          <w:szCs w:val="20"/>
          <w:color w:val="auto"/>
        </w:rPr>
      </w:pPr>
    </w:p>
    <w:p>
      <w:pPr>
        <w:ind w:left="40" w:right="60" w:firstLine="702"/>
        <w:spacing w:after="0" w:line="276" w:lineRule="auto"/>
        <w:rPr>
          <w:sz w:val="20"/>
          <w:szCs w:val="20"/>
          <w:color w:val="auto"/>
        </w:rPr>
      </w:pPr>
      <w:r>
        <w:rPr>
          <w:rFonts w:ascii="Arial" w:cs="Arial" w:eastAsia="Arial" w:hAnsi="Arial"/>
          <w:sz w:val="19"/>
          <w:szCs w:val="19"/>
          <w:color w:val="auto"/>
        </w:rPr>
        <w:t>The information required by this item will be set forth in the Proxy Statement for our 2024 Annual Meeting, which will be filed with the SEC within 120 days after the end of the fiscal year ended December 31, 2023, and is incorporated herein by reference thereto.</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Directors and Executive Officers</w:t>
      </w:r>
    </w:p>
    <w:p>
      <w:pPr>
        <w:spacing w:after="0" w:line="25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As of the date of filing this report, the following individuals were serving as our executive officers and/or directors:</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2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60" w:type="dxa"/>
            <w:vAlign w:val="bottom"/>
          </w:tcPr>
          <w:p>
            <w:pPr>
              <w:spacing w:after="0"/>
              <w:rPr>
                <w:sz w:val="18"/>
                <w:szCs w:val="18"/>
                <w:color w:val="auto"/>
              </w:rPr>
            </w:pPr>
          </w:p>
        </w:tc>
        <w:tc>
          <w:tcPr>
            <w:tcW w:w="76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Principal Occupation or Employment</w:t>
            </w:r>
          </w:p>
        </w:tc>
      </w:tr>
      <w:tr>
        <w:trPr>
          <w:trHeight w:val="290"/>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Willie Chiang </w:t>
            </w:r>
            <w:r>
              <w:rPr>
                <w:rFonts w:ascii="Arial" w:cs="Arial" w:eastAsia="Arial" w:hAnsi="Arial"/>
                <w:sz w:val="25"/>
                <w:szCs w:val="25"/>
                <w:color w:val="auto"/>
                <w:vertAlign w:val="superscript"/>
              </w:rPr>
              <w:t>(1)(2)</w:t>
            </w:r>
          </w:p>
        </w:tc>
        <w:tc>
          <w:tcPr>
            <w:tcW w:w="60" w:type="dxa"/>
            <w:vAlign w:val="bottom"/>
          </w:tcPr>
          <w:p>
            <w:pPr>
              <w:spacing w:after="0"/>
              <w:rPr>
                <w:sz w:val="24"/>
                <w:szCs w:val="24"/>
                <w:color w:val="auto"/>
              </w:rPr>
            </w:pPr>
          </w:p>
        </w:tc>
        <w:tc>
          <w:tcPr>
            <w:tcW w:w="7680" w:type="dxa"/>
            <w:vAlign w:val="bottom"/>
          </w:tcPr>
          <w:p>
            <w:pPr>
              <w:ind w:left="60"/>
              <w:spacing w:after="0"/>
              <w:rPr>
                <w:sz w:val="20"/>
                <w:szCs w:val="20"/>
                <w:color w:val="auto"/>
              </w:rPr>
            </w:pPr>
            <w:r>
              <w:rPr>
                <w:rFonts w:ascii="Arial" w:cs="Arial" w:eastAsia="Arial" w:hAnsi="Arial"/>
                <w:sz w:val="19"/>
                <w:szCs w:val="19"/>
                <w:color w:val="auto"/>
              </w:rPr>
              <w:t>Chairman of the Board and Chief Executive Officer</w:t>
            </w:r>
          </w:p>
        </w:tc>
      </w:tr>
      <w:tr>
        <w:trPr>
          <w:trHeight w:val="292"/>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Harry N. Pefanis </w:t>
            </w:r>
            <w:r>
              <w:rPr>
                <w:rFonts w:ascii="Arial" w:cs="Arial" w:eastAsia="Arial" w:hAnsi="Arial"/>
                <w:sz w:val="25"/>
                <w:szCs w:val="25"/>
                <w:color w:val="auto"/>
                <w:vertAlign w:val="superscript"/>
              </w:rPr>
              <w:t>(1)(2)</w:t>
            </w:r>
          </w:p>
        </w:tc>
        <w:tc>
          <w:tcPr>
            <w:tcW w:w="60" w:type="dxa"/>
            <w:vAlign w:val="bottom"/>
          </w:tcPr>
          <w:p>
            <w:pPr>
              <w:spacing w:after="0"/>
              <w:rPr>
                <w:sz w:val="24"/>
                <w:szCs w:val="24"/>
                <w:color w:val="auto"/>
              </w:rPr>
            </w:pPr>
          </w:p>
        </w:tc>
        <w:tc>
          <w:tcPr>
            <w:tcW w:w="7680" w:type="dxa"/>
            <w:vAlign w:val="bottom"/>
          </w:tcPr>
          <w:p>
            <w:pPr>
              <w:ind w:left="60"/>
              <w:spacing w:after="0"/>
              <w:rPr>
                <w:sz w:val="20"/>
                <w:szCs w:val="20"/>
                <w:color w:val="auto"/>
              </w:rPr>
            </w:pPr>
            <w:r>
              <w:rPr>
                <w:rFonts w:ascii="Arial" w:cs="Arial" w:eastAsia="Arial" w:hAnsi="Arial"/>
                <w:sz w:val="19"/>
                <w:szCs w:val="19"/>
                <w:color w:val="auto"/>
              </w:rPr>
              <w:t>President</w:t>
            </w:r>
          </w:p>
        </w:tc>
      </w:tr>
      <w:tr>
        <w:trPr>
          <w:trHeight w:val="292"/>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Chris R. Chandler </w:t>
            </w:r>
            <w:r>
              <w:rPr>
                <w:rFonts w:ascii="Arial" w:cs="Arial" w:eastAsia="Arial" w:hAnsi="Arial"/>
                <w:sz w:val="25"/>
                <w:szCs w:val="25"/>
                <w:color w:val="auto"/>
                <w:vertAlign w:val="superscript"/>
              </w:rPr>
              <w:t>(1)</w:t>
            </w:r>
          </w:p>
        </w:tc>
        <w:tc>
          <w:tcPr>
            <w:tcW w:w="60" w:type="dxa"/>
            <w:vAlign w:val="bottom"/>
          </w:tcPr>
          <w:p>
            <w:pPr>
              <w:spacing w:after="0"/>
              <w:rPr>
                <w:sz w:val="24"/>
                <w:szCs w:val="24"/>
                <w:color w:val="auto"/>
              </w:rPr>
            </w:pPr>
          </w:p>
        </w:tc>
        <w:tc>
          <w:tcPr>
            <w:tcW w:w="7680" w:type="dxa"/>
            <w:vAlign w:val="bottom"/>
          </w:tcPr>
          <w:p>
            <w:pPr>
              <w:ind w:left="60"/>
              <w:spacing w:after="0"/>
              <w:rPr>
                <w:sz w:val="20"/>
                <w:szCs w:val="20"/>
                <w:color w:val="auto"/>
              </w:rPr>
            </w:pPr>
            <w:r>
              <w:rPr>
                <w:rFonts w:ascii="Arial" w:cs="Arial" w:eastAsia="Arial" w:hAnsi="Arial"/>
                <w:sz w:val="19"/>
                <w:szCs w:val="19"/>
                <w:color w:val="auto"/>
              </w:rPr>
              <w:t>Executive Vice President and Chief Operating Officer</w:t>
            </w:r>
          </w:p>
        </w:tc>
      </w:tr>
      <w:tr>
        <w:trPr>
          <w:trHeight w:val="292"/>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Al Swanson </w:t>
            </w:r>
            <w:r>
              <w:rPr>
                <w:rFonts w:ascii="Arial" w:cs="Arial" w:eastAsia="Arial" w:hAnsi="Arial"/>
                <w:sz w:val="25"/>
                <w:szCs w:val="25"/>
                <w:color w:val="auto"/>
                <w:vertAlign w:val="superscript"/>
              </w:rPr>
              <w:t>(1)</w:t>
            </w:r>
          </w:p>
        </w:tc>
        <w:tc>
          <w:tcPr>
            <w:tcW w:w="60" w:type="dxa"/>
            <w:vAlign w:val="bottom"/>
          </w:tcPr>
          <w:p>
            <w:pPr>
              <w:spacing w:after="0"/>
              <w:rPr>
                <w:sz w:val="24"/>
                <w:szCs w:val="24"/>
                <w:color w:val="auto"/>
              </w:rPr>
            </w:pPr>
          </w:p>
        </w:tc>
        <w:tc>
          <w:tcPr>
            <w:tcW w:w="7680" w:type="dxa"/>
            <w:vAlign w:val="bottom"/>
          </w:tcPr>
          <w:p>
            <w:pPr>
              <w:ind w:left="60"/>
              <w:spacing w:after="0"/>
              <w:rPr>
                <w:sz w:val="20"/>
                <w:szCs w:val="20"/>
                <w:color w:val="auto"/>
              </w:rPr>
            </w:pPr>
            <w:r>
              <w:rPr>
                <w:rFonts w:ascii="Arial" w:cs="Arial" w:eastAsia="Arial" w:hAnsi="Arial"/>
                <w:sz w:val="19"/>
                <w:szCs w:val="19"/>
                <w:color w:val="auto"/>
              </w:rPr>
              <w:t>Executive Vice President and Chief Financial Officer</w:t>
            </w:r>
          </w:p>
        </w:tc>
      </w:tr>
      <w:tr>
        <w:trPr>
          <w:trHeight w:val="292"/>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Jeremy L. Goebel </w:t>
            </w:r>
            <w:r>
              <w:rPr>
                <w:rFonts w:ascii="Arial" w:cs="Arial" w:eastAsia="Arial" w:hAnsi="Arial"/>
                <w:sz w:val="25"/>
                <w:szCs w:val="25"/>
                <w:color w:val="auto"/>
                <w:vertAlign w:val="superscript"/>
              </w:rPr>
              <w:t>(1)</w:t>
            </w:r>
          </w:p>
        </w:tc>
        <w:tc>
          <w:tcPr>
            <w:tcW w:w="60" w:type="dxa"/>
            <w:vAlign w:val="bottom"/>
          </w:tcPr>
          <w:p>
            <w:pPr>
              <w:spacing w:after="0"/>
              <w:rPr>
                <w:sz w:val="24"/>
                <w:szCs w:val="24"/>
                <w:color w:val="auto"/>
              </w:rPr>
            </w:pPr>
          </w:p>
        </w:tc>
        <w:tc>
          <w:tcPr>
            <w:tcW w:w="7680" w:type="dxa"/>
            <w:vAlign w:val="bottom"/>
          </w:tcPr>
          <w:p>
            <w:pPr>
              <w:ind w:left="60"/>
              <w:spacing w:after="0"/>
              <w:rPr>
                <w:sz w:val="20"/>
                <w:szCs w:val="20"/>
                <w:color w:val="auto"/>
              </w:rPr>
            </w:pPr>
            <w:r>
              <w:rPr>
                <w:rFonts w:ascii="Arial" w:cs="Arial" w:eastAsia="Arial" w:hAnsi="Arial"/>
                <w:sz w:val="19"/>
                <w:szCs w:val="19"/>
                <w:color w:val="auto"/>
              </w:rPr>
              <w:t>Executive Vice President and Chief Commercial Officer</w:t>
            </w:r>
          </w:p>
        </w:tc>
      </w:tr>
      <w:tr>
        <w:trPr>
          <w:trHeight w:val="292"/>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Richard K. McGee </w:t>
            </w:r>
            <w:r>
              <w:rPr>
                <w:rFonts w:ascii="Arial" w:cs="Arial" w:eastAsia="Arial" w:hAnsi="Arial"/>
                <w:sz w:val="25"/>
                <w:szCs w:val="25"/>
                <w:color w:val="auto"/>
                <w:vertAlign w:val="superscript"/>
              </w:rPr>
              <w:t>(1)</w:t>
            </w:r>
          </w:p>
        </w:tc>
        <w:tc>
          <w:tcPr>
            <w:tcW w:w="60" w:type="dxa"/>
            <w:vAlign w:val="bottom"/>
          </w:tcPr>
          <w:p>
            <w:pPr>
              <w:spacing w:after="0"/>
              <w:rPr>
                <w:sz w:val="24"/>
                <w:szCs w:val="24"/>
                <w:color w:val="auto"/>
              </w:rPr>
            </w:pPr>
          </w:p>
        </w:tc>
        <w:tc>
          <w:tcPr>
            <w:tcW w:w="7680" w:type="dxa"/>
            <w:vAlign w:val="bottom"/>
          </w:tcPr>
          <w:p>
            <w:pPr>
              <w:ind w:left="60"/>
              <w:spacing w:after="0"/>
              <w:rPr>
                <w:sz w:val="20"/>
                <w:szCs w:val="20"/>
                <w:color w:val="auto"/>
              </w:rPr>
            </w:pPr>
            <w:r>
              <w:rPr>
                <w:rFonts w:ascii="Arial" w:cs="Arial" w:eastAsia="Arial" w:hAnsi="Arial"/>
                <w:sz w:val="19"/>
                <w:szCs w:val="19"/>
                <w:color w:val="auto"/>
              </w:rPr>
              <w:t>Executive Vice President, General Counsel and Secretary</w:t>
            </w:r>
          </w:p>
        </w:tc>
      </w:tr>
      <w:tr>
        <w:trPr>
          <w:trHeight w:val="292"/>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Chris Herbold </w:t>
            </w:r>
            <w:r>
              <w:rPr>
                <w:rFonts w:ascii="Arial" w:cs="Arial" w:eastAsia="Arial" w:hAnsi="Arial"/>
                <w:sz w:val="25"/>
                <w:szCs w:val="25"/>
                <w:color w:val="auto"/>
                <w:vertAlign w:val="superscript"/>
              </w:rPr>
              <w:t>(1)</w:t>
            </w:r>
          </w:p>
        </w:tc>
        <w:tc>
          <w:tcPr>
            <w:tcW w:w="60" w:type="dxa"/>
            <w:vAlign w:val="bottom"/>
          </w:tcPr>
          <w:p>
            <w:pPr>
              <w:spacing w:after="0"/>
              <w:rPr>
                <w:sz w:val="24"/>
                <w:szCs w:val="24"/>
                <w:color w:val="auto"/>
              </w:rPr>
            </w:pPr>
          </w:p>
        </w:tc>
        <w:tc>
          <w:tcPr>
            <w:tcW w:w="7680" w:type="dxa"/>
            <w:vAlign w:val="bottom"/>
          </w:tcPr>
          <w:p>
            <w:pPr>
              <w:ind w:left="60"/>
              <w:spacing w:after="0"/>
              <w:rPr>
                <w:sz w:val="20"/>
                <w:szCs w:val="20"/>
                <w:color w:val="auto"/>
              </w:rPr>
            </w:pPr>
            <w:r>
              <w:rPr>
                <w:rFonts w:ascii="Arial" w:cs="Arial" w:eastAsia="Arial" w:hAnsi="Arial"/>
                <w:sz w:val="19"/>
                <w:szCs w:val="19"/>
                <w:color w:val="auto"/>
              </w:rPr>
              <w:t>Senior Vice President, Finance and Chief Accounting Officer</w:t>
            </w:r>
          </w:p>
        </w:tc>
      </w:tr>
      <w:tr>
        <w:trPr>
          <w:trHeight w:val="292"/>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Greg L. Armstrong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80" w:type="dxa"/>
            <w:vAlign w:val="bottom"/>
          </w:tcPr>
          <w:p>
            <w:pPr>
              <w:ind w:left="60"/>
              <w:spacing w:after="0"/>
              <w:rPr>
                <w:sz w:val="20"/>
                <w:szCs w:val="20"/>
                <w:color w:val="auto"/>
              </w:rPr>
            </w:pPr>
            <w:r>
              <w:rPr>
                <w:rFonts w:ascii="Arial" w:cs="Arial" w:eastAsia="Arial" w:hAnsi="Arial"/>
                <w:sz w:val="19"/>
                <w:szCs w:val="19"/>
                <w:color w:val="auto"/>
                <w:w w:val="98"/>
              </w:rPr>
              <w:t>Senior Advisor to the Chief Executive Officer (former Chairman and Chief Executive Officer)</w:t>
            </w:r>
          </w:p>
        </w:tc>
      </w:tr>
      <w:tr>
        <w:trPr>
          <w:trHeight w:val="292"/>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Victor Burk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80" w:type="dxa"/>
            <w:vAlign w:val="bottom"/>
          </w:tcPr>
          <w:p>
            <w:pPr>
              <w:ind w:left="60"/>
              <w:spacing w:after="0"/>
              <w:rPr>
                <w:sz w:val="20"/>
                <w:szCs w:val="20"/>
                <w:color w:val="auto"/>
              </w:rPr>
            </w:pPr>
            <w:r>
              <w:rPr>
                <w:rFonts w:ascii="Arial" w:cs="Arial" w:eastAsia="Arial" w:hAnsi="Arial"/>
                <w:sz w:val="19"/>
                <w:szCs w:val="19"/>
                <w:color w:val="auto"/>
              </w:rPr>
              <w:t>Senior Advisor, Alvarez and Marsal</w:t>
            </w:r>
          </w:p>
        </w:tc>
      </w:tr>
      <w:tr>
        <w:trPr>
          <w:trHeight w:val="292"/>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Ellen R. DeSanctis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80" w:type="dxa"/>
            <w:vAlign w:val="bottom"/>
          </w:tcPr>
          <w:p>
            <w:pPr>
              <w:ind w:left="60"/>
              <w:spacing w:after="0"/>
              <w:rPr>
                <w:sz w:val="20"/>
                <w:szCs w:val="20"/>
                <w:color w:val="auto"/>
              </w:rPr>
            </w:pPr>
            <w:r>
              <w:rPr>
                <w:rFonts w:ascii="Arial" w:cs="Arial" w:eastAsia="Arial" w:hAnsi="Arial"/>
                <w:sz w:val="19"/>
                <w:szCs w:val="19"/>
                <w:color w:val="auto"/>
              </w:rPr>
              <w:t>Former Senior Vice President, ConocoPhillips</w:t>
            </w:r>
          </w:p>
        </w:tc>
      </w:tr>
      <w:tr>
        <w:trPr>
          <w:trHeight w:val="292"/>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Kevin McCarthy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80" w:type="dxa"/>
            <w:vAlign w:val="bottom"/>
          </w:tcPr>
          <w:p>
            <w:pPr>
              <w:ind w:left="60"/>
              <w:spacing w:after="0"/>
              <w:rPr>
                <w:sz w:val="20"/>
                <w:szCs w:val="20"/>
                <w:color w:val="auto"/>
              </w:rPr>
            </w:pPr>
            <w:r>
              <w:rPr>
                <w:rFonts w:ascii="Arial" w:cs="Arial" w:eastAsia="Arial" w:hAnsi="Arial"/>
                <w:sz w:val="19"/>
                <w:szCs w:val="19"/>
                <w:color w:val="auto"/>
              </w:rPr>
              <w:t>Former Vice Chairman, Kayne Anderson Capital Advisors, L.P.</w:t>
            </w:r>
          </w:p>
        </w:tc>
      </w:tr>
      <w:tr>
        <w:trPr>
          <w:trHeight w:val="292"/>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Gary R. Petersen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80" w:type="dxa"/>
            <w:vAlign w:val="bottom"/>
          </w:tcPr>
          <w:p>
            <w:pPr>
              <w:ind w:left="60"/>
              <w:spacing w:after="0"/>
              <w:rPr>
                <w:sz w:val="20"/>
                <w:szCs w:val="20"/>
                <w:color w:val="auto"/>
              </w:rPr>
            </w:pPr>
            <w:r>
              <w:rPr>
                <w:rFonts w:ascii="Arial" w:cs="Arial" w:eastAsia="Arial" w:hAnsi="Arial"/>
                <w:sz w:val="19"/>
                <w:szCs w:val="19"/>
                <w:color w:val="auto"/>
              </w:rPr>
              <w:t>Managing Partner, EnCap Investments L.P.</w:t>
            </w:r>
          </w:p>
        </w:tc>
      </w:tr>
      <w:tr>
        <w:trPr>
          <w:trHeight w:val="292"/>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Alexandra D. Pruner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80" w:type="dxa"/>
            <w:vAlign w:val="bottom"/>
          </w:tcPr>
          <w:p>
            <w:pPr>
              <w:ind w:left="60"/>
              <w:spacing w:after="0"/>
              <w:rPr>
                <w:sz w:val="20"/>
                <w:szCs w:val="20"/>
                <w:color w:val="auto"/>
              </w:rPr>
            </w:pPr>
            <w:r>
              <w:rPr>
                <w:rFonts w:ascii="Arial" w:cs="Arial" w:eastAsia="Arial" w:hAnsi="Arial"/>
                <w:sz w:val="19"/>
                <w:szCs w:val="19"/>
                <w:color w:val="auto"/>
              </w:rPr>
              <w:t>Senior Advisor, Perella Weinberg Partners</w:t>
            </w:r>
          </w:p>
        </w:tc>
      </w:tr>
      <w:tr>
        <w:trPr>
          <w:trHeight w:val="292"/>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John T. Raymond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80" w:type="dxa"/>
            <w:vAlign w:val="bottom"/>
          </w:tcPr>
          <w:p>
            <w:pPr>
              <w:ind w:left="60"/>
              <w:spacing w:after="0"/>
              <w:rPr>
                <w:sz w:val="20"/>
                <w:szCs w:val="20"/>
                <w:color w:val="auto"/>
              </w:rPr>
            </w:pPr>
            <w:r>
              <w:rPr>
                <w:rFonts w:ascii="Arial" w:cs="Arial" w:eastAsia="Arial" w:hAnsi="Arial"/>
                <w:sz w:val="19"/>
                <w:szCs w:val="19"/>
                <w:color w:val="auto"/>
              </w:rPr>
              <w:t>Managing Partner and Chief Executive Officer, The Energy &amp; Minerals Group</w:t>
            </w:r>
          </w:p>
        </w:tc>
      </w:tr>
      <w:tr>
        <w:trPr>
          <w:trHeight w:val="292"/>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Bobby S. Shackouls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80" w:type="dxa"/>
            <w:vAlign w:val="bottom"/>
          </w:tcPr>
          <w:p>
            <w:pPr>
              <w:ind w:left="60"/>
              <w:spacing w:after="0"/>
              <w:rPr>
                <w:sz w:val="20"/>
                <w:szCs w:val="20"/>
                <w:color w:val="auto"/>
              </w:rPr>
            </w:pPr>
            <w:r>
              <w:rPr>
                <w:rFonts w:ascii="Arial" w:cs="Arial" w:eastAsia="Arial" w:hAnsi="Arial"/>
                <w:sz w:val="19"/>
                <w:szCs w:val="19"/>
                <w:color w:val="auto"/>
              </w:rPr>
              <w:t>Former Chairman and CEO, Burlington Resources Inc.</w:t>
            </w:r>
          </w:p>
        </w:tc>
      </w:tr>
      <w:tr>
        <w:trPr>
          <w:trHeight w:val="292"/>
        </w:trPr>
        <w:tc>
          <w:tcPr>
            <w:tcW w:w="2240" w:type="dxa"/>
            <w:vAlign w:val="bottom"/>
          </w:tcPr>
          <w:p>
            <w:pPr>
              <w:ind w:left="60"/>
              <w:spacing w:after="0"/>
              <w:rPr>
                <w:sz w:val="20"/>
                <w:szCs w:val="20"/>
                <w:color w:val="auto"/>
              </w:rPr>
            </w:pPr>
            <w:r>
              <w:rPr>
                <w:rFonts w:ascii="Arial" w:cs="Arial" w:eastAsia="Arial" w:hAnsi="Arial"/>
                <w:sz w:val="19"/>
                <w:szCs w:val="19"/>
                <w:color w:val="auto"/>
                <w:w w:val="98"/>
              </w:rPr>
              <w:t xml:space="preserve">Christopher M. Temple </w:t>
            </w:r>
            <w:r>
              <w:rPr>
                <w:rFonts w:ascii="Arial" w:cs="Arial" w:eastAsia="Arial" w:hAnsi="Arial"/>
                <w:sz w:val="25"/>
                <w:szCs w:val="25"/>
                <w:color w:val="auto"/>
                <w:w w:val="98"/>
                <w:vertAlign w:val="superscript"/>
              </w:rPr>
              <w:t>(2)</w:t>
            </w:r>
          </w:p>
        </w:tc>
        <w:tc>
          <w:tcPr>
            <w:tcW w:w="60" w:type="dxa"/>
            <w:vAlign w:val="bottom"/>
          </w:tcPr>
          <w:p>
            <w:pPr>
              <w:spacing w:after="0"/>
              <w:rPr>
                <w:sz w:val="24"/>
                <w:szCs w:val="24"/>
                <w:color w:val="auto"/>
              </w:rPr>
            </w:pPr>
          </w:p>
        </w:tc>
        <w:tc>
          <w:tcPr>
            <w:tcW w:w="7680" w:type="dxa"/>
            <w:vAlign w:val="bottom"/>
          </w:tcPr>
          <w:p>
            <w:pPr>
              <w:ind w:left="60"/>
              <w:spacing w:after="0"/>
              <w:rPr>
                <w:sz w:val="20"/>
                <w:szCs w:val="20"/>
                <w:color w:val="auto"/>
              </w:rPr>
            </w:pPr>
            <w:r>
              <w:rPr>
                <w:rFonts w:ascii="Arial" w:cs="Arial" w:eastAsia="Arial" w:hAnsi="Arial"/>
                <w:sz w:val="19"/>
                <w:szCs w:val="19"/>
                <w:color w:val="auto"/>
              </w:rPr>
              <w:t>President, DelTex Capital LLC</w:t>
            </w:r>
          </w:p>
        </w:tc>
      </w:tr>
      <w:tr>
        <w:trPr>
          <w:trHeight w:val="334"/>
        </w:trPr>
        <w:tc>
          <w:tcPr>
            <w:tcW w:w="2240" w:type="dxa"/>
            <w:vAlign w:val="bottom"/>
          </w:tcPr>
          <w:p>
            <w:pPr>
              <w:ind w:left="60"/>
              <w:spacing w:after="0"/>
              <w:rPr>
                <w:sz w:val="20"/>
                <w:szCs w:val="20"/>
                <w:color w:val="auto"/>
              </w:rPr>
            </w:pPr>
            <w:r>
              <w:rPr>
                <w:rFonts w:ascii="Arial" w:cs="Arial" w:eastAsia="Arial" w:hAnsi="Arial"/>
                <w:sz w:val="19"/>
                <w:szCs w:val="19"/>
                <w:color w:val="auto"/>
              </w:rPr>
              <w:t xml:space="preserve">Lawrence M. Ziemba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7680" w:type="dxa"/>
            <w:vAlign w:val="bottom"/>
          </w:tcPr>
          <w:p>
            <w:pPr>
              <w:ind w:left="60"/>
              <w:spacing w:after="0"/>
              <w:rPr>
                <w:sz w:val="20"/>
                <w:szCs w:val="20"/>
                <w:color w:val="auto"/>
              </w:rPr>
            </w:pPr>
            <w:r>
              <w:rPr>
                <w:rFonts w:ascii="Arial" w:cs="Arial" w:eastAsia="Arial" w:hAnsi="Arial"/>
                <w:sz w:val="19"/>
                <w:szCs w:val="19"/>
                <w:color w:val="auto"/>
              </w:rPr>
              <w:t>Former Executive Vice President, Refining, Phillips 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-3200400</wp:posOffset>
            </wp:positionV>
            <wp:extent cx="6358255" cy="34080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9">
                      <a:extLst>
                        <a:ext uri="{28A0092B-C50C-407E-A947-70E740481C1C}"/>
                      </a:extLst>
                    </a:blip>
                    <a:srcRect/>
                    <a:stretch>
                      <a:fillRect/>
                    </a:stretch>
                  </pic:blipFill>
                  <pic:spPr bwMode="auto">
                    <a:xfrm>
                      <a:off x="0" y="0"/>
                      <a:ext cx="6358255" cy="3408045"/>
                    </a:xfrm>
                    <a:prstGeom prst="rect">
                      <a:avLst/>
                    </a:prstGeom>
                    <a:noFill/>
                  </pic:spPr>
                </pic:pic>
              </a:graphicData>
            </a:graphic>
          </wp:anchor>
        </w:drawing>
      </w:r>
    </w:p>
    <w:p>
      <w:pPr>
        <w:sectPr>
          <w:pgSz w:w="11880" w:h="15480" w:orient="portrait"/>
          <w:cols w:equalWidth="0" w:num="1">
            <w:col w:w="10020"/>
          </w:cols>
          <w:pgMar w:left="900" w:top="669" w:right="960" w:bottom="0" w:gutter="0" w:footer="0" w:header="0"/>
        </w:sectPr>
      </w:pPr>
    </w:p>
    <w:p>
      <w:pPr>
        <w:spacing w:after="0" w:line="33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 (for purposes of Item 401(b) of Regulation S-K)</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Director</w:t>
      </w:r>
    </w:p>
    <w:p>
      <w:pPr>
        <w:spacing w:after="0" w:line="200" w:lineRule="exact"/>
        <w:rPr>
          <w:sz w:val="20"/>
          <w:szCs w:val="20"/>
          <w:color w:val="auto"/>
        </w:rPr>
      </w:pPr>
    </w:p>
    <w:p>
      <w:pPr>
        <w:sectPr>
          <w:pgSz w:w="11880" w:h="15480" w:orient="portrait"/>
          <w:cols w:equalWidth="0" w:num="2">
            <w:col w:w="140" w:space="600"/>
            <w:col w:w="9280"/>
          </w:cols>
          <w:pgMar w:left="900" w:top="669" w:right="960" w:bottom="0" w:gutter="0" w:footer="0" w:header="0"/>
          <w:type w:val="continuous"/>
        </w:sectPr>
      </w:pPr>
    </w:p>
    <w:p>
      <w:pPr>
        <w:spacing w:after="0" w:line="30" w:lineRule="exact"/>
        <w:rPr>
          <w:sz w:val="20"/>
          <w:szCs w:val="20"/>
          <w:color w:val="auto"/>
        </w:rPr>
      </w:pPr>
    </w:p>
    <w:p>
      <w:pPr>
        <w:ind w:left="40" w:right="1020" w:firstLine="702"/>
        <w:spacing w:after="0" w:line="295" w:lineRule="auto"/>
        <w:rPr>
          <w:sz w:val="20"/>
          <w:szCs w:val="20"/>
          <w:color w:val="auto"/>
        </w:rPr>
      </w:pPr>
      <w:r>
        <w:rPr>
          <w:rFonts w:ascii="Arial" w:cs="Arial" w:eastAsia="Arial" w:hAnsi="Arial"/>
          <w:sz w:val="19"/>
          <w:szCs w:val="19"/>
          <w:color w:val="auto"/>
        </w:rPr>
        <w:t xml:space="preserve">A complete list of our officers, including the executive officers listed above, is available on our website at </w:t>
      </w:r>
      <w:r>
        <w:rPr>
          <w:rFonts w:ascii="Arial" w:cs="Arial" w:eastAsia="Arial" w:hAnsi="Arial"/>
          <w:sz w:val="19"/>
          <w:szCs w:val="19"/>
          <w:b w:val="1"/>
          <w:bCs w:val="1"/>
          <w:i w:val="1"/>
          <w:iCs w:val="1"/>
          <w:color w:val="auto"/>
        </w:rPr>
        <w:t xml:space="preserve">www.plains.com </w:t>
      </w:r>
      <w:r>
        <w:rPr>
          <w:rFonts w:ascii="Arial" w:cs="Arial" w:eastAsia="Arial" w:hAnsi="Arial"/>
          <w:sz w:val="19"/>
          <w:szCs w:val="19"/>
          <w:color w:val="auto"/>
        </w:rPr>
        <w:t>under About Us—Leadership.</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 xml:space="preserve">Item 11. </w:t>
      </w:r>
      <w:r>
        <w:rPr>
          <w:rFonts w:ascii="Arial" w:cs="Arial" w:eastAsia="Arial" w:hAnsi="Arial"/>
          <w:sz w:val="19"/>
          <w:szCs w:val="19"/>
          <w:b w:val="1"/>
          <w:bCs w:val="1"/>
          <w:i w:val="1"/>
          <w:iCs w:val="1"/>
          <w:color w:val="auto"/>
        </w:rPr>
        <w:t>Executive Compensation</w:t>
      </w:r>
    </w:p>
    <w:p>
      <w:pPr>
        <w:spacing w:after="0" w:line="218" w:lineRule="exact"/>
        <w:rPr>
          <w:sz w:val="20"/>
          <w:szCs w:val="20"/>
          <w:color w:val="auto"/>
        </w:rPr>
      </w:pPr>
    </w:p>
    <w:p>
      <w:pPr>
        <w:ind w:left="40" w:right="60" w:firstLine="702"/>
        <w:spacing w:after="0" w:line="276" w:lineRule="auto"/>
        <w:rPr>
          <w:sz w:val="20"/>
          <w:szCs w:val="20"/>
          <w:color w:val="auto"/>
        </w:rPr>
      </w:pPr>
      <w:r>
        <w:rPr>
          <w:rFonts w:ascii="Arial" w:cs="Arial" w:eastAsia="Arial" w:hAnsi="Arial"/>
          <w:sz w:val="19"/>
          <w:szCs w:val="19"/>
          <w:color w:val="auto"/>
        </w:rPr>
        <w:t>The information required by this item will be set forth in the Proxy Statement for our 2024 Annual Meeting, which will be filed with the SEC within 120 days after the end of the fiscal year ended December 31, 2023, and is incorporated herein by reference thereto.</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 xml:space="preserve">Item 12. </w:t>
      </w:r>
      <w:r>
        <w:rPr>
          <w:rFonts w:ascii="Arial" w:cs="Arial" w:eastAsia="Arial" w:hAnsi="Arial"/>
          <w:sz w:val="19"/>
          <w:szCs w:val="19"/>
          <w:b w:val="1"/>
          <w:bCs w:val="1"/>
          <w:i w:val="1"/>
          <w:iCs w:val="1"/>
          <w:color w:val="auto"/>
        </w:rPr>
        <w:t>Security Ownership of Certain Beneficial Owners and Management and Related Shareholder Matters</w:t>
      </w:r>
    </w:p>
    <w:p>
      <w:pPr>
        <w:spacing w:after="0" w:line="218" w:lineRule="exact"/>
        <w:rPr>
          <w:sz w:val="20"/>
          <w:szCs w:val="20"/>
          <w:color w:val="auto"/>
        </w:rPr>
      </w:pPr>
    </w:p>
    <w:p>
      <w:pPr>
        <w:ind w:left="40" w:right="60" w:firstLine="702"/>
        <w:spacing w:after="0" w:line="276" w:lineRule="auto"/>
        <w:rPr>
          <w:sz w:val="20"/>
          <w:szCs w:val="20"/>
          <w:color w:val="auto"/>
        </w:rPr>
      </w:pPr>
      <w:r>
        <w:rPr>
          <w:rFonts w:ascii="Arial" w:cs="Arial" w:eastAsia="Arial" w:hAnsi="Arial"/>
          <w:sz w:val="19"/>
          <w:szCs w:val="19"/>
          <w:color w:val="auto"/>
        </w:rPr>
        <w:t>The information required by this item will be set forth in the Proxy Statement for our 2024 Annual Meeting, which will be filed with the SEC within 120 days after the end of the fiscal year ended December 31, 2023, and is incorporated herein by reference thereto.</w:t>
      </w:r>
    </w:p>
    <w:p>
      <w:pPr>
        <w:sectPr>
          <w:pgSz w:w="11880" w:h="15480" w:orient="portrait"/>
          <w:cols w:equalWidth="0" w:num="1">
            <w:col w:w="10020"/>
          </w:cols>
          <w:pgMar w:left="900" w:top="669"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95</w:t>
      </w:r>
    </w:p>
    <w:p>
      <w:pPr>
        <w:sectPr>
          <w:pgSz w:w="11880" w:h="15480" w:orient="portrait"/>
          <w:cols w:equalWidth="0" w:num="1">
            <w:col w:w="10020"/>
          </w:cols>
          <w:pgMar w:left="900" w:top="669" w:right="960" w:bottom="0" w:gutter="0" w:footer="0" w:header="0"/>
          <w:type w:val="continuous"/>
        </w:sectPr>
      </w:pPr>
    </w:p>
    <w:bookmarkStart w:id="95" w:name="page96"/>
    <w:bookmarkEnd w:id="95"/>
    <w:p>
      <w:pPr>
        <w:spacing w:after="0"/>
        <w:rPr>
          <w:sz w:val="20"/>
          <w:szCs w:val="20"/>
          <w:color w:val="auto"/>
        </w:rPr>
      </w:pPr>
      <w:r>
        <w:rPr>
          <w:rFonts w:ascii="Arial" w:cs="Arial" w:eastAsia="Arial" w:hAnsi="Arial"/>
          <w:sz w:val="19"/>
          <w:szCs w:val="19"/>
          <w:b w:val="1"/>
          <w:bCs w:val="1"/>
          <w:color w:val="auto"/>
        </w:rPr>
        <w:t xml:space="preserve">Item 13. </w:t>
      </w:r>
      <w:r>
        <w:rPr>
          <w:rFonts w:ascii="Arial" w:cs="Arial" w:eastAsia="Arial" w:hAnsi="Arial"/>
          <w:sz w:val="19"/>
          <w:szCs w:val="19"/>
          <w:b w:val="1"/>
          <w:bCs w:val="1"/>
          <w:i w:val="1"/>
          <w:iCs w:val="1"/>
          <w:color w:val="auto"/>
        </w:rPr>
        <w:t>Certain Relationships and Related Transactions, and Director Independence</w:t>
      </w:r>
    </w:p>
    <w:p>
      <w:pPr>
        <w:spacing w:after="0" w:line="257" w:lineRule="exact"/>
        <w:rPr>
          <w:sz w:val="20"/>
          <w:szCs w:val="20"/>
          <w:color w:val="auto"/>
        </w:rPr>
      </w:pPr>
    </w:p>
    <w:p>
      <w:pPr>
        <w:ind w:firstLine="702"/>
        <w:spacing w:after="0" w:line="276" w:lineRule="auto"/>
        <w:rPr>
          <w:sz w:val="20"/>
          <w:szCs w:val="20"/>
          <w:color w:val="auto"/>
        </w:rPr>
      </w:pPr>
      <w:r>
        <w:rPr>
          <w:rFonts w:ascii="Arial" w:cs="Arial" w:eastAsia="Arial" w:hAnsi="Arial"/>
          <w:sz w:val="19"/>
          <w:szCs w:val="19"/>
          <w:color w:val="auto"/>
        </w:rPr>
        <w:t>The information required by this item will be set forth in the Proxy Statement for our 2024 Annual Meeting, which will be filed with the SEC within 120 days after the end of the fiscal year ended December 31, 2023, and is incorporated herein by reference thereto.</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14. </w:t>
      </w:r>
      <w:r>
        <w:rPr>
          <w:rFonts w:ascii="Arial" w:cs="Arial" w:eastAsia="Arial" w:hAnsi="Arial"/>
          <w:sz w:val="19"/>
          <w:szCs w:val="19"/>
          <w:b w:val="1"/>
          <w:bCs w:val="1"/>
          <w:i w:val="1"/>
          <w:iCs w:val="1"/>
          <w:color w:val="auto"/>
        </w:rPr>
        <w:t>Principal Accountant Fees and Services</w:t>
      </w:r>
    </w:p>
    <w:p>
      <w:pPr>
        <w:spacing w:after="0" w:line="218" w:lineRule="exact"/>
        <w:rPr>
          <w:sz w:val="20"/>
          <w:szCs w:val="20"/>
          <w:color w:val="auto"/>
        </w:rPr>
      </w:pPr>
    </w:p>
    <w:p>
      <w:pPr>
        <w:ind w:firstLine="702"/>
        <w:spacing w:after="0" w:line="276" w:lineRule="auto"/>
        <w:rPr>
          <w:sz w:val="20"/>
          <w:szCs w:val="20"/>
          <w:color w:val="auto"/>
        </w:rPr>
      </w:pPr>
      <w:r>
        <w:rPr>
          <w:rFonts w:ascii="Arial" w:cs="Arial" w:eastAsia="Arial" w:hAnsi="Arial"/>
          <w:sz w:val="19"/>
          <w:szCs w:val="19"/>
          <w:color w:val="auto"/>
        </w:rPr>
        <w:t>The information required by this item will be set forth in the Proxy Statement for our 2024 Annual Meeting, which will be filed with the SEC within 120 days after the end of the fiscal year ended December 31, 2023, and is incorporated herein by reference thereto.</w:t>
      </w:r>
    </w:p>
    <w:p>
      <w:pPr>
        <w:sectPr>
          <w:pgSz w:w="11880" w:h="15480" w:orient="portrait"/>
          <w:cols w:equalWidth="0" w:num="1">
            <w:col w:w="9920"/>
          </w:cols>
          <w:pgMar w:left="940" w:top="669"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96</w:t>
      </w:r>
    </w:p>
    <w:p>
      <w:pPr>
        <w:sectPr>
          <w:pgSz w:w="11880" w:h="15480" w:orient="portrait"/>
          <w:cols w:equalWidth="0" w:num="1">
            <w:col w:w="9920"/>
          </w:cols>
          <w:pgMar w:left="940" w:top="669" w:right="1020" w:bottom="0" w:gutter="0" w:footer="0" w:header="0"/>
          <w:type w:val="continuous"/>
        </w:sectPr>
      </w:pPr>
    </w:p>
    <w:bookmarkStart w:id="96" w:name="page97"/>
    <w:bookmarkEnd w:id="96"/>
    <w:p>
      <w:pPr>
        <w:jc w:val="center"/>
        <w:ind w:right="-119"/>
        <w:spacing w:after="0"/>
        <w:rPr>
          <w:sz w:val="20"/>
          <w:szCs w:val="20"/>
          <w:color w:val="auto"/>
        </w:rPr>
      </w:pPr>
      <w:r>
        <w:rPr>
          <w:rFonts w:ascii="Arial" w:cs="Arial" w:eastAsia="Arial" w:hAnsi="Arial"/>
          <w:sz w:val="19"/>
          <w:szCs w:val="19"/>
          <w:b w:val="1"/>
          <w:bCs w:val="1"/>
          <w:color w:val="auto"/>
        </w:rPr>
        <w:t>PART IV</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15. </w:t>
      </w:r>
      <w:r>
        <w:rPr>
          <w:rFonts w:ascii="Arial" w:cs="Arial" w:eastAsia="Arial" w:hAnsi="Arial"/>
          <w:sz w:val="19"/>
          <w:szCs w:val="19"/>
          <w:b w:val="1"/>
          <w:bCs w:val="1"/>
          <w:i w:val="1"/>
          <w:iCs w:val="1"/>
          <w:color w:val="auto"/>
        </w:rPr>
        <w:t>Exhibits and Financial Statement Schedules</w:t>
      </w:r>
    </w:p>
    <w:p>
      <w:pPr>
        <w:spacing w:after="0" w:line="253" w:lineRule="exact"/>
        <w:rPr>
          <w:sz w:val="20"/>
          <w:szCs w:val="20"/>
          <w:color w:val="auto"/>
        </w:rPr>
      </w:pPr>
    </w:p>
    <w:p>
      <w:pPr>
        <w:ind w:left="680" w:hanging="330"/>
        <w:spacing w:after="0"/>
        <w:tabs>
          <w:tab w:leader="none" w:pos="680"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(1)  </w:t>
      </w:r>
      <w:r>
        <w:rPr>
          <w:rFonts w:ascii="Arial" w:cs="Arial" w:eastAsia="Arial" w:hAnsi="Arial"/>
          <w:sz w:val="19"/>
          <w:szCs w:val="19"/>
          <w:b w:val="1"/>
          <w:bCs w:val="1"/>
          <w:i w:val="1"/>
          <w:iCs w:val="1"/>
          <w:color w:val="auto"/>
        </w:rPr>
        <w:t>Financial Statements</w:t>
      </w:r>
    </w:p>
    <w:p>
      <w:pPr>
        <w:spacing w:after="0" w:line="253" w:lineRule="exact"/>
        <w:rPr>
          <w:sz w:val="20"/>
          <w:szCs w:val="20"/>
          <w:color w:val="auto"/>
        </w:rPr>
      </w:pPr>
    </w:p>
    <w:p>
      <w:pPr>
        <w:ind w:left="700"/>
        <w:spacing w:after="0"/>
        <w:rPr>
          <w:sz w:val="20"/>
          <w:szCs w:val="20"/>
          <w:color w:val="auto"/>
        </w:rPr>
      </w:pPr>
      <w:r>
        <w:rPr>
          <w:rFonts w:ascii="Arial" w:cs="Arial" w:eastAsia="Arial" w:hAnsi="Arial"/>
          <w:sz w:val="19"/>
          <w:szCs w:val="19"/>
          <w:color w:val="auto"/>
        </w:rPr>
        <w:t>See “Index to the Consolidated Financial Statements” set forth on Page F-1.</w:t>
      </w:r>
    </w:p>
    <w:p>
      <w:pPr>
        <w:spacing w:after="0" w:line="248" w:lineRule="exact"/>
        <w:rPr>
          <w:sz w:val="20"/>
          <w:szCs w:val="20"/>
          <w:color w:val="auto"/>
        </w:rPr>
      </w:pPr>
    </w:p>
    <w:p>
      <w:pPr>
        <w:ind w:left="1400" w:hanging="699"/>
        <w:spacing w:after="0"/>
        <w:tabs>
          <w:tab w:leader="none" w:pos="1400"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Financial Statement Schedules</w:t>
      </w:r>
    </w:p>
    <w:p>
      <w:pPr>
        <w:spacing w:after="0" w:line="251" w:lineRule="exact"/>
        <w:rPr>
          <w:sz w:val="20"/>
          <w:szCs w:val="20"/>
          <w:color w:val="auto"/>
        </w:rPr>
      </w:pPr>
    </w:p>
    <w:p>
      <w:pPr>
        <w:ind w:right="840" w:firstLine="702"/>
        <w:spacing w:after="0" w:line="295" w:lineRule="auto"/>
        <w:rPr>
          <w:sz w:val="20"/>
          <w:szCs w:val="20"/>
          <w:color w:val="auto"/>
        </w:rPr>
      </w:pPr>
      <w:r>
        <w:rPr>
          <w:rFonts w:ascii="Arial" w:cs="Arial" w:eastAsia="Arial" w:hAnsi="Arial"/>
          <w:sz w:val="19"/>
          <w:szCs w:val="19"/>
          <w:color w:val="auto"/>
        </w:rPr>
        <w:t>All schedules are omitted because they are either not applicable or the required information is shown in the Consolidated Financial Statements or notes thereto.</w:t>
      </w:r>
    </w:p>
    <w:p>
      <w:pPr>
        <w:spacing w:after="0" w:line="163" w:lineRule="exact"/>
        <w:rPr>
          <w:sz w:val="20"/>
          <w:szCs w:val="20"/>
          <w:color w:val="auto"/>
        </w:rPr>
      </w:pPr>
    </w:p>
    <w:p>
      <w:pPr>
        <w:ind w:left="1400" w:hanging="699"/>
        <w:spacing w:after="0"/>
        <w:tabs>
          <w:tab w:leader="none" w:pos="1400"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Exhibits</w:t>
      </w:r>
    </w:p>
    <w:p>
      <w:pPr>
        <w:spacing w:after="0" w:line="314"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Exhibit</w:t>
      </w:r>
    </w:p>
    <w:p>
      <w:pPr>
        <w:spacing w:after="0" w:line="2" w:lineRule="exact"/>
        <w:rPr>
          <w:sz w:val="20"/>
          <w:szCs w:val="20"/>
          <w:color w:val="auto"/>
        </w:rPr>
      </w:pPr>
    </w:p>
    <w:p>
      <w:pPr>
        <w:ind w:left="60"/>
        <w:spacing w:after="0"/>
        <w:tabs>
          <w:tab w:leader="none" w:pos="5180" w:val="left"/>
        </w:tabs>
        <w:rPr>
          <w:sz w:val="20"/>
          <w:szCs w:val="20"/>
          <w:color w:val="auto"/>
        </w:rPr>
      </w:pPr>
      <w:r>
        <w:rPr>
          <w:rFonts w:ascii="Arial" w:cs="Arial" w:eastAsia="Arial" w:hAnsi="Arial"/>
          <w:sz w:val="19"/>
          <w:szCs w:val="19"/>
          <w:b w:val="1"/>
          <w:bCs w:val="1"/>
          <w:color w:val="auto"/>
        </w:rPr>
        <w:t>No.</w:t>
      </w:r>
      <w:r>
        <w:rPr>
          <w:sz w:val="20"/>
          <w:szCs w:val="20"/>
          <w:color w:val="auto"/>
        </w:rPr>
        <w:tab/>
      </w:r>
      <w:r>
        <w:rPr>
          <w:rFonts w:ascii="Arial" w:cs="Arial" w:eastAsia="Arial" w:hAnsi="Arial"/>
          <w:sz w:val="19"/>
          <w:szCs w:val="19"/>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16510</wp:posOffset>
                </wp:positionV>
                <wp:extent cx="60261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26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pt" to="47.45pt,1.3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890270</wp:posOffset>
                </wp:positionH>
                <wp:positionV relativeFrom="paragraph">
                  <wp:posOffset>16510</wp:posOffset>
                </wp:positionV>
                <wp:extent cx="543242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32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1pt,1.3pt" to="497.85pt,1.3pt" o:allowincell="f" strokecolor="#000000" strokeweight="1pt"/>
            </w:pict>
          </mc:Fallback>
        </mc:AlternateContent>
      </w:r>
    </w:p>
    <w:p>
      <w:pPr>
        <w:spacing w:after="0" w:line="19" w:lineRule="exact"/>
        <w:rPr>
          <w:sz w:val="20"/>
          <w:szCs w:val="20"/>
          <w:color w:val="auto"/>
        </w:rPr>
      </w:pPr>
    </w:p>
    <w:p>
      <w:pPr>
        <w:ind w:left="1080" w:hanging="1403"/>
        <w:spacing w:after="0" w:line="230" w:lineRule="auto"/>
        <w:tabs>
          <w:tab w:leader="none" w:pos="106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color w:val="auto"/>
        </w:rPr>
        <w:t>— Simplification Agreement, dated as of July 11, 2016, by and among PAA GP Holdings LLC, Plains GP Holdings, L.P., Plains All American GP LLC, Plains AAP, L.P., PAA GP LLC and Plains All American Pipeline, L.P. (incorporated by reference to Exhibit 2.1 to PAA’s Current Report on Form 8-K filed July 14, 2016).</w:t>
      </w:r>
    </w:p>
    <w:p>
      <w:pPr>
        <w:spacing w:after="0" w:line="142" w:lineRule="exact"/>
        <w:rPr>
          <w:sz w:val="20"/>
          <w:szCs w:val="20"/>
          <w:color w:val="auto"/>
        </w:rPr>
      </w:pPr>
    </w:p>
    <w:p>
      <w:pPr>
        <w:ind w:left="1080" w:hanging="1403"/>
        <w:spacing w:after="0" w:line="227" w:lineRule="auto"/>
        <w:tabs>
          <w:tab w:leader="none" w:pos="106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color w:val="auto"/>
        </w:rPr>
        <w:t>— Agreement and Plan of Merger dated as of July 12, 2021 by and among Plains Pipeline, L.P., Plains Marketing, L.P., Oryx Midstream Holdings LLC, Middle Cadence Holdings LLC, POP HoldCo LLC, Oryx Wink Oil Marketing LLC, Oryx Permian Oil Marketing LLC, Plains Oryx Permian Basin LLC, Plains Oryx Permian Basin Marketing LLC and Plains Oryx Permian Basin Pipeline LLC (incorporated by reference to Exhibit 2.1 to our Current Report on Form 8-K filed July 13, 2021).</w:t>
      </w:r>
    </w:p>
    <w:p>
      <w:pPr>
        <w:spacing w:after="0" w:line="151" w:lineRule="exact"/>
        <w:rPr>
          <w:sz w:val="20"/>
          <w:szCs w:val="20"/>
          <w:color w:val="auto"/>
        </w:rPr>
      </w:pPr>
    </w:p>
    <w:p>
      <w:pPr>
        <w:ind w:left="1080" w:right="20" w:hanging="1403"/>
        <w:spacing w:after="0" w:line="235" w:lineRule="auto"/>
        <w:tabs>
          <w:tab w:leader="none" w:pos="106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9"/>
          <w:szCs w:val="19"/>
          <w:color w:val="auto"/>
        </w:rPr>
        <w:t>— Seventh Amended and Restated Agreement of Limited Partnership of Plains All American Pipeline, L.P. dated as of October 10, 2017 (incorporated by reference to Exhibit 3.1 to PAA’s Current Report on Form 8-K filed October 12, 2017).</w:t>
      </w:r>
    </w:p>
    <w:p>
      <w:pPr>
        <w:spacing w:after="0" w:line="162" w:lineRule="exact"/>
        <w:rPr>
          <w:sz w:val="20"/>
          <w:szCs w:val="20"/>
          <w:color w:val="auto"/>
        </w:rPr>
      </w:pPr>
    </w:p>
    <w:p>
      <w:pPr>
        <w:jc w:val="both"/>
        <w:ind w:left="1080" w:right="280" w:hanging="1403"/>
        <w:spacing w:after="0" w:line="235" w:lineRule="auto"/>
        <w:tabs>
          <w:tab w:leader="none" w:pos="106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color w:val="auto"/>
        </w:rPr>
        <w:t>— Seventh Amended and Restated Limited Liability Company Agreement of Plains All American GP LLC dated November 15, 2016 (incorporated by reference to Exhibit 3.3 to our Current Report on Form 8-K filed November 21, 2016).</w:t>
      </w:r>
    </w:p>
    <w:p>
      <w:pPr>
        <w:spacing w:after="0" w:line="161" w:lineRule="exact"/>
        <w:rPr>
          <w:sz w:val="20"/>
          <w:szCs w:val="20"/>
          <w:color w:val="auto"/>
        </w:rPr>
      </w:pPr>
    </w:p>
    <w:p>
      <w:pPr>
        <w:ind w:left="60"/>
        <w:spacing w:after="0"/>
        <w:tabs>
          <w:tab w:leader="none" w:pos="1060" w:val="left"/>
          <w:tab w:leader="none" w:pos="144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Eighth Amended and Restated Limited Partnership Agreement of Plains AAP, L.P. dated November 15,</w:t>
      </w:r>
    </w:p>
    <w:p>
      <w:pPr>
        <w:ind w:left="1460"/>
        <w:spacing w:after="0" w:line="226" w:lineRule="auto"/>
        <w:rPr>
          <w:sz w:val="20"/>
          <w:szCs w:val="20"/>
          <w:color w:val="auto"/>
        </w:rPr>
      </w:pPr>
      <w:r>
        <w:rPr>
          <w:rFonts w:ascii="Arial" w:cs="Arial" w:eastAsia="Arial" w:hAnsi="Arial"/>
          <w:sz w:val="18"/>
          <w:szCs w:val="18"/>
          <w:color w:val="auto"/>
        </w:rPr>
        <w:t>2016 (incorporated by reference to Exhibit 3.4 to our Current Report on Form 8-K filed November 21,</w:t>
      </w:r>
    </w:p>
    <w:p>
      <w:pPr>
        <w:ind w:left="1460"/>
        <w:spacing w:after="0"/>
        <w:rPr>
          <w:sz w:val="20"/>
          <w:szCs w:val="20"/>
          <w:color w:val="auto"/>
        </w:rPr>
      </w:pPr>
      <w:r>
        <w:rPr>
          <w:rFonts w:ascii="Arial" w:cs="Arial" w:eastAsia="Arial" w:hAnsi="Arial"/>
          <w:sz w:val="19"/>
          <w:szCs w:val="19"/>
          <w:color w:val="auto"/>
        </w:rPr>
        <w:t>2016).</w:t>
      </w:r>
    </w:p>
    <w:p>
      <w:pPr>
        <w:spacing w:after="0" w:line="174" w:lineRule="exact"/>
        <w:rPr>
          <w:sz w:val="20"/>
          <w:szCs w:val="20"/>
          <w:color w:val="auto"/>
        </w:rPr>
      </w:pPr>
    </w:p>
    <w:p>
      <w:pPr>
        <w:ind w:left="1080" w:right="80" w:hanging="1403"/>
        <w:spacing w:after="0" w:line="235" w:lineRule="auto"/>
        <w:tabs>
          <w:tab w:leader="none" w:pos="106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9"/>
          <w:szCs w:val="19"/>
          <w:color w:val="auto"/>
        </w:rPr>
        <w:t>— Amendment No. 1 dated September 26, 2018 to the Eighth Amended and Restated Limited Partnership Agreement of Plains AAP, L.P. (incorporated by reference to Exhibit 3.1 to our Current Report on Form 8-K filed October 2, 2018).</w:t>
      </w:r>
    </w:p>
    <w:p>
      <w:pPr>
        <w:spacing w:after="0" w:line="162" w:lineRule="exact"/>
        <w:rPr>
          <w:sz w:val="20"/>
          <w:szCs w:val="20"/>
          <w:color w:val="auto"/>
        </w:rPr>
      </w:pPr>
    </w:p>
    <w:p>
      <w:pPr>
        <w:ind w:left="1080" w:right="80" w:hanging="1403"/>
        <w:spacing w:after="0" w:line="243" w:lineRule="auto"/>
        <w:tabs>
          <w:tab w:leader="none" w:pos="106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9"/>
          <w:szCs w:val="19"/>
          <w:color w:val="auto"/>
        </w:rPr>
        <w:t>— Amendment No. 2 dated May 23, 2019 to the Eighth Amended and Restated Limited Partnership Agreement of Plains AAP, L.P. (incorporated by reference to Exhibit 3.1 to our Current Report on Form 8-K filed May 30, 2019).</w:t>
      </w:r>
    </w:p>
    <w:p>
      <w:pPr>
        <w:spacing w:after="0" w:line="141" w:lineRule="exact"/>
        <w:rPr>
          <w:sz w:val="20"/>
          <w:szCs w:val="20"/>
          <w:color w:val="auto"/>
        </w:rPr>
      </w:pPr>
    </w:p>
    <w:p>
      <w:pPr>
        <w:ind w:left="1080" w:right="80" w:hanging="1403"/>
        <w:spacing w:after="0" w:line="235" w:lineRule="auto"/>
        <w:tabs>
          <w:tab w:leader="none" w:pos="1060" w:val="left"/>
        </w:tabs>
        <w:rPr>
          <w:sz w:val="20"/>
          <w:szCs w:val="20"/>
          <w:color w:val="auto"/>
        </w:rPr>
      </w:pPr>
      <w:r>
        <w:rPr>
          <w:rFonts w:ascii="Arial" w:cs="Arial" w:eastAsia="Arial" w:hAnsi="Arial"/>
          <w:sz w:val="19"/>
          <w:szCs w:val="19"/>
          <w:color w:val="auto"/>
        </w:rPr>
        <w:t>3.6</w:t>
      </w:r>
      <w:r>
        <w:rPr>
          <w:sz w:val="20"/>
          <w:szCs w:val="20"/>
          <w:color w:val="auto"/>
        </w:rPr>
        <w:tab/>
      </w:r>
      <w:r>
        <w:rPr>
          <w:rFonts w:ascii="Arial" w:cs="Arial" w:eastAsia="Arial" w:hAnsi="Arial"/>
          <w:sz w:val="19"/>
          <w:szCs w:val="19"/>
          <w:color w:val="auto"/>
        </w:rPr>
        <w:t>— Amendment No. 3 dated August 17, 2023 to the Eighth Amended and Restated Limited Partnership Agreement of Plains AAP, L.P. (incorporated by reference to Exhibit 3.1 to our Current Report on Form 8-K filed August 21, 2023).</w:t>
      </w:r>
    </w:p>
    <w:p>
      <w:pPr>
        <w:spacing w:after="0" w:line="162" w:lineRule="exact"/>
        <w:rPr>
          <w:sz w:val="20"/>
          <w:szCs w:val="20"/>
          <w:color w:val="auto"/>
        </w:rPr>
      </w:pPr>
    </w:p>
    <w:p>
      <w:pPr>
        <w:ind w:left="1080" w:right="620" w:hanging="1403"/>
        <w:spacing w:after="0" w:line="280" w:lineRule="auto"/>
        <w:tabs>
          <w:tab w:leader="none" w:pos="1060" w:val="left"/>
        </w:tabs>
        <w:rPr>
          <w:sz w:val="20"/>
          <w:szCs w:val="20"/>
          <w:color w:val="auto"/>
        </w:rPr>
      </w:pPr>
      <w:r>
        <w:rPr>
          <w:rFonts w:ascii="Arial" w:cs="Arial" w:eastAsia="Arial" w:hAnsi="Arial"/>
          <w:sz w:val="19"/>
          <w:szCs w:val="19"/>
          <w:color w:val="auto"/>
        </w:rPr>
        <w:t>3.7</w:t>
      </w:r>
      <w:r>
        <w:rPr>
          <w:sz w:val="20"/>
          <w:szCs w:val="20"/>
          <w:color w:val="auto"/>
        </w:rPr>
        <w:tab/>
      </w:r>
      <w:r>
        <w:rPr>
          <w:rFonts w:ascii="Arial" w:cs="Arial" w:eastAsia="Arial" w:hAnsi="Arial"/>
          <w:sz w:val="18"/>
          <w:szCs w:val="18"/>
          <w:color w:val="auto"/>
        </w:rPr>
        <w:t>— Limited Liability Company Agreement of PAA GP LLC dated December 28, 2007 (incorporated by reference to Exhibit 3.3 to PAA’s Current Report on Form 8-K filed January 4, 2008).</w:t>
      </w:r>
    </w:p>
    <w:p>
      <w:pPr>
        <w:spacing w:after="0" w:line="117" w:lineRule="exact"/>
        <w:rPr>
          <w:sz w:val="20"/>
          <w:szCs w:val="20"/>
          <w:color w:val="auto"/>
        </w:rPr>
      </w:pPr>
    </w:p>
    <w:p>
      <w:pPr>
        <w:ind w:left="1080" w:right="140" w:hanging="1403"/>
        <w:spacing w:after="0" w:line="252" w:lineRule="auto"/>
        <w:tabs>
          <w:tab w:leader="none" w:pos="1060" w:val="left"/>
        </w:tabs>
        <w:rPr>
          <w:sz w:val="20"/>
          <w:szCs w:val="20"/>
          <w:color w:val="auto"/>
        </w:rPr>
      </w:pPr>
      <w:r>
        <w:rPr>
          <w:rFonts w:ascii="Arial" w:cs="Arial" w:eastAsia="Arial" w:hAnsi="Arial"/>
          <w:sz w:val="19"/>
          <w:szCs w:val="19"/>
          <w:color w:val="auto"/>
        </w:rPr>
        <w:t>3.8</w:t>
      </w:r>
      <w:r>
        <w:rPr>
          <w:sz w:val="20"/>
          <w:szCs w:val="20"/>
          <w:color w:val="auto"/>
        </w:rPr>
        <w:tab/>
      </w:r>
      <w:r>
        <w:rPr>
          <w:rFonts w:ascii="Arial" w:cs="Arial" w:eastAsia="Arial" w:hAnsi="Arial"/>
          <w:sz w:val="19"/>
          <w:szCs w:val="19"/>
          <w:color w:val="auto"/>
        </w:rPr>
        <w:t>— Certificate of Limited Partnership of Plains GP Holdings, L.P. (incorporated by reference to Exhibit 3.1 to our Registration Statement on Form S-1 (333-190227) filed July 29, 2013).</w:t>
      </w:r>
    </w:p>
    <w:p>
      <w:pPr>
        <w:spacing w:after="0" w:line="141" w:lineRule="exact"/>
        <w:rPr>
          <w:sz w:val="20"/>
          <w:szCs w:val="20"/>
          <w:color w:val="auto"/>
        </w:rPr>
      </w:pPr>
    </w:p>
    <w:p>
      <w:pPr>
        <w:ind w:left="1080" w:right="160" w:hanging="1403"/>
        <w:spacing w:after="0" w:line="235" w:lineRule="auto"/>
        <w:tabs>
          <w:tab w:leader="none" w:pos="1060" w:val="left"/>
        </w:tabs>
        <w:rPr>
          <w:sz w:val="20"/>
          <w:szCs w:val="20"/>
          <w:color w:val="auto"/>
        </w:rPr>
      </w:pPr>
      <w:r>
        <w:rPr>
          <w:rFonts w:ascii="Arial" w:cs="Arial" w:eastAsia="Arial" w:hAnsi="Arial"/>
          <w:sz w:val="19"/>
          <w:szCs w:val="19"/>
          <w:color w:val="auto"/>
        </w:rPr>
        <w:t>3.9</w:t>
      </w:r>
      <w:r>
        <w:rPr>
          <w:sz w:val="20"/>
          <w:szCs w:val="20"/>
          <w:color w:val="auto"/>
        </w:rPr>
        <w:tab/>
      </w:r>
      <w:r>
        <w:rPr>
          <w:rFonts w:ascii="Arial" w:cs="Arial" w:eastAsia="Arial" w:hAnsi="Arial"/>
          <w:sz w:val="19"/>
          <w:szCs w:val="19"/>
          <w:color w:val="auto"/>
        </w:rPr>
        <w:t>— Second Amended and Restated Agreement of Limited Partnership of Plains GP Holdings, L.P. dated as of November 15, 2016 (incorporated by reference to Exhibit 3.2 to our Current Report on Form 8-K filed November 21, 2016).</w:t>
      </w:r>
    </w:p>
    <w:p>
      <w:pPr>
        <w:spacing w:after="0" w:line="162" w:lineRule="exact"/>
        <w:rPr>
          <w:sz w:val="20"/>
          <w:szCs w:val="20"/>
          <w:color w:val="auto"/>
        </w:rPr>
      </w:pPr>
    </w:p>
    <w:p>
      <w:pPr>
        <w:ind w:left="1080" w:right="120" w:hanging="1403"/>
        <w:spacing w:after="0" w:line="235" w:lineRule="auto"/>
        <w:tabs>
          <w:tab w:leader="none" w:pos="1060" w:val="left"/>
        </w:tabs>
        <w:rPr>
          <w:sz w:val="20"/>
          <w:szCs w:val="20"/>
          <w:color w:val="auto"/>
        </w:rPr>
      </w:pPr>
      <w:r>
        <w:rPr>
          <w:rFonts w:ascii="Arial" w:cs="Arial" w:eastAsia="Arial" w:hAnsi="Arial"/>
          <w:sz w:val="19"/>
          <w:szCs w:val="19"/>
          <w:color w:val="auto"/>
        </w:rPr>
        <w:t>3.10</w:t>
      </w:r>
      <w:r>
        <w:rPr>
          <w:sz w:val="20"/>
          <w:szCs w:val="20"/>
          <w:color w:val="auto"/>
        </w:rPr>
        <w:tab/>
      </w:r>
      <w:r>
        <w:rPr>
          <w:rFonts w:ascii="Arial" w:cs="Arial" w:eastAsia="Arial" w:hAnsi="Arial"/>
          <w:sz w:val="19"/>
          <w:szCs w:val="19"/>
          <w:color w:val="auto"/>
        </w:rPr>
        <w:t>— Amendment No. 1 dated April 6, 2020 to the Second Amended and Restated Agreement of Limited Partnership of Plains GP Holdings, L.P. (incorporated by reference to Exhibit 3.1 to our Current Report on Form 8-K filed April 9, 2020).</w:t>
      </w:r>
    </w:p>
    <w:p>
      <w:pPr>
        <w:sectPr>
          <w:pgSz w:w="11880" w:h="15480" w:orient="portrait"/>
          <w:cols w:equalWidth="0" w:num="1">
            <w:col w:w="9880"/>
          </w:cols>
          <w:pgMar w:left="940" w:top="669" w:right="106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97</w:t>
      </w:r>
    </w:p>
    <w:p>
      <w:pPr>
        <w:sectPr>
          <w:pgSz w:w="11880" w:h="15480" w:orient="portrait"/>
          <w:cols w:equalWidth="0" w:num="1">
            <w:col w:w="9880"/>
          </w:cols>
          <w:pgMar w:left="940" w:top="669" w:right="1060" w:bottom="0" w:gutter="0" w:footer="0" w:header="0"/>
          <w:type w:val="continuous"/>
        </w:sectPr>
      </w:pPr>
    </w:p>
    <w:bookmarkStart w:id="97" w:name="page98"/>
    <w:bookmarkEnd w:id="97"/>
    <w:p>
      <w:pPr>
        <w:ind w:left="1020" w:right="640" w:hanging="1403"/>
        <w:spacing w:after="0" w:line="252" w:lineRule="auto"/>
        <w:tabs>
          <w:tab w:leader="none" w:pos="1000" w:val="left"/>
        </w:tabs>
        <w:rPr>
          <w:sz w:val="20"/>
          <w:szCs w:val="20"/>
          <w:color w:val="auto"/>
        </w:rPr>
      </w:pPr>
      <w:r>
        <w:rPr>
          <w:rFonts w:ascii="Arial" w:cs="Arial" w:eastAsia="Arial" w:hAnsi="Arial"/>
          <w:sz w:val="19"/>
          <w:szCs w:val="19"/>
          <w:color w:val="auto"/>
        </w:rPr>
        <w:t>3.11</w:t>
      </w:r>
      <w:r>
        <w:rPr>
          <w:sz w:val="20"/>
          <w:szCs w:val="20"/>
          <w:color w:val="auto"/>
        </w:rPr>
        <w:tab/>
      </w:r>
      <w:r>
        <w:rPr>
          <w:rFonts w:ascii="Arial" w:cs="Arial" w:eastAsia="Arial" w:hAnsi="Arial"/>
          <w:sz w:val="19"/>
          <w:szCs w:val="19"/>
          <w:color w:val="auto"/>
        </w:rPr>
        <w:t>— Certificate of Formation of PAA GP Holdings LLC (incorporated by reference to Exhibit 3.3 to our Registration Statement on Form S-1 (333-190227) filed July 29, 2013).</w:t>
      </w:r>
    </w:p>
    <w:p>
      <w:pPr>
        <w:spacing w:after="0" w:line="141" w:lineRule="exact"/>
        <w:rPr>
          <w:sz w:val="20"/>
          <w:szCs w:val="20"/>
          <w:color w:val="auto"/>
        </w:rPr>
      </w:pPr>
    </w:p>
    <w:p>
      <w:pPr>
        <w:ind w:left="1020" w:right="320" w:hanging="1403"/>
        <w:spacing w:after="0" w:line="235" w:lineRule="auto"/>
        <w:tabs>
          <w:tab w:leader="none" w:pos="1000" w:val="left"/>
        </w:tabs>
        <w:rPr>
          <w:sz w:val="20"/>
          <w:szCs w:val="20"/>
          <w:color w:val="auto"/>
        </w:rPr>
      </w:pPr>
      <w:r>
        <w:rPr>
          <w:rFonts w:ascii="Arial" w:cs="Arial" w:eastAsia="Arial" w:hAnsi="Arial"/>
          <w:sz w:val="19"/>
          <w:szCs w:val="19"/>
          <w:color w:val="auto"/>
        </w:rPr>
        <w:t>3.12</w:t>
      </w:r>
      <w:r>
        <w:rPr>
          <w:sz w:val="20"/>
          <w:szCs w:val="20"/>
          <w:color w:val="auto"/>
        </w:rPr>
        <w:tab/>
      </w:r>
      <w:r>
        <w:rPr>
          <w:rFonts w:ascii="Arial" w:cs="Arial" w:eastAsia="Arial" w:hAnsi="Arial"/>
          <w:sz w:val="19"/>
          <w:szCs w:val="19"/>
          <w:color w:val="auto"/>
        </w:rPr>
        <w:t>— Fourth Amended and Restated Limited Liability Company Agreement of PAA GP Holdings LLC dated effective as of August 19, 2021 (incorporated by reference to Exhibit 3.11 to our Annual Report on Form 10-K for the year ended December 31, 2021).</w:t>
      </w:r>
    </w:p>
    <w:p>
      <w:pPr>
        <w:spacing w:after="0" w:line="177" w:lineRule="exact"/>
        <w:rPr>
          <w:sz w:val="20"/>
          <w:szCs w:val="20"/>
          <w:color w:val="auto"/>
        </w:rPr>
      </w:pPr>
    </w:p>
    <w:p>
      <w:pPr>
        <w:ind w:left="1020" w:right="280" w:hanging="1403"/>
        <w:spacing w:after="0" w:line="235" w:lineRule="auto"/>
        <w:tabs>
          <w:tab w:leader="none" w:pos="100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9"/>
          <w:szCs w:val="19"/>
          <w:color w:val="auto"/>
        </w:rPr>
        <w:t>— Indenture dated September 25, 2002 among Plains All American Pipeline, L.P., PAA Finance Corp. and Wachovia Bank, National Association, as trustee (incorporated by reference to Exhibit 4.1 to PAA’s Quarterly Report on Form 10-Q for the quarter ended September 30, 2002).</w:t>
      </w:r>
    </w:p>
    <w:p>
      <w:pPr>
        <w:spacing w:after="0" w:line="162" w:lineRule="exact"/>
        <w:rPr>
          <w:sz w:val="20"/>
          <w:szCs w:val="20"/>
          <w:color w:val="auto"/>
        </w:rPr>
      </w:pPr>
    </w:p>
    <w:p>
      <w:pPr>
        <w:jc w:val="both"/>
        <w:ind w:left="1020" w:right="200" w:hanging="1403"/>
        <w:spacing w:after="0" w:line="230" w:lineRule="auto"/>
        <w:tabs>
          <w:tab w:leader="none" w:pos="100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9"/>
          <w:szCs w:val="19"/>
          <w:color w:val="auto"/>
        </w:rPr>
        <w:t>— 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PAA’s Current Report on Form 8-K filed May 12, 2006).</w:t>
      </w:r>
    </w:p>
    <w:p>
      <w:pPr>
        <w:spacing w:after="0" w:line="157" w:lineRule="exact"/>
        <w:rPr>
          <w:sz w:val="20"/>
          <w:szCs w:val="20"/>
          <w:color w:val="auto"/>
        </w:rPr>
      </w:pPr>
    </w:p>
    <w:p>
      <w:pPr>
        <w:ind w:left="1020" w:right="160" w:hanging="1403"/>
        <w:spacing w:after="0" w:line="230" w:lineRule="auto"/>
        <w:tabs>
          <w:tab w:leader="none" w:pos="100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9"/>
          <w:szCs w:val="19"/>
          <w:color w:val="auto"/>
        </w:rPr>
        <w:t>— 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PAA’s Current Report on Form 8-K filed October 30, 2006).</w:t>
      </w:r>
    </w:p>
    <w:p>
      <w:pPr>
        <w:spacing w:after="0" w:line="157" w:lineRule="exact"/>
        <w:rPr>
          <w:sz w:val="20"/>
          <w:szCs w:val="20"/>
          <w:color w:val="auto"/>
        </w:rPr>
      </w:pPr>
    </w:p>
    <w:p>
      <w:pPr>
        <w:ind w:left="1020" w:right="100" w:hanging="1403"/>
        <w:spacing w:after="0" w:line="235" w:lineRule="auto"/>
        <w:tabs>
          <w:tab w:leader="none" w:pos="1000"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9"/>
          <w:szCs w:val="19"/>
          <w:color w:val="auto"/>
        </w:rPr>
        <w:t>— Twenty-First Supplemental Indenture (5.15% Senior Notes due 2042) dated March 22, 2012 among Plains All American Pipeline, L.P., PAA Finance Corp. and U.S. Bank National Association, as trustee (incorporated by reference to Exhibit 4.3 to PAA’s Current Report on Form 8-K filed March 26, 2012).</w:t>
      </w:r>
    </w:p>
    <w:p>
      <w:pPr>
        <w:spacing w:after="0" w:line="192" w:lineRule="exact"/>
        <w:rPr>
          <w:sz w:val="20"/>
          <w:szCs w:val="20"/>
          <w:color w:val="auto"/>
        </w:rPr>
      </w:pPr>
    </w:p>
    <w:p>
      <w:pPr>
        <w:ind w:left="1020" w:right="40" w:hanging="1403"/>
        <w:spacing w:after="0" w:line="230" w:lineRule="auto"/>
        <w:tabs>
          <w:tab w:leader="none" w:pos="1000" w:val="left"/>
        </w:tabs>
        <w:rPr>
          <w:sz w:val="20"/>
          <w:szCs w:val="20"/>
          <w:color w:val="auto"/>
        </w:rPr>
      </w:pPr>
      <w:r>
        <w:rPr>
          <w:rFonts w:ascii="Arial" w:cs="Arial" w:eastAsia="Arial" w:hAnsi="Arial"/>
          <w:sz w:val="19"/>
          <w:szCs w:val="19"/>
          <w:color w:val="auto"/>
        </w:rPr>
        <w:t>4.5</w:t>
      </w:r>
      <w:r>
        <w:rPr>
          <w:sz w:val="20"/>
          <w:szCs w:val="20"/>
          <w:color w:val="auto"/>
        </w:rPr>
        <w:tab/>
      </w:r>
      <w:r>
        <w:rPr>
          <w:rFonts w:ascii="Arial" w:cs="Arial" w:eastAsia="Arial" w:hAnsi="Arial"/>
          <w:sz w:val="19"/>
          <w:szCs w:val="19"/>
          <w:color w:val="auto"/>
        </w:rPr>
        <w:t>— Twenty-Third Supplemental Indenture (4.30% Senior Notes due 2043) dated December 10, 2012, by and among Plains All American Pipeline, L.P., PAA Finance Corp. and U.S. Bank National Association, as trustee (incorporated by reference to Exhibit 4.3 to PAA’s Current Report on Form 8-K filed December 12, 2012).</w:t>
      </w:r>
    </w:p>
    <w:p>
      <w:pPr>
        <w:spacing w:after="0" w:line="157" w:lineRule="exact"/>
        <w:rPr>
          <w:sz w:val="20"/>
          <w:szCs w:val="20"/>
          <w:color w:val="auto"/>
        </w:rPr>
      </w:pPr>
    </w:p>
    <w:p>
      <w:pPr>
        <w:ind w:left="1020" w:right="80" w:hanging="1403"/>
        <w:spacing w:after="0" w:line="253" w:lineRule="auto"/>
        <w:tabs>
          <w:tab w:leader="none" w:pos="1000" w:val="left"/>
        </w:tabs>
        <w:rPr>
          <w:sz w:val="20"/>
          <w:szCs w:val="20"/>
          <w:color w:val="auto"/>
        </w:rPr>
      </w:pPr>
      <w:r>
        <w:rPr>
          <w:rFonts w:ascii="Arial" w:cs="Arial" w:eastAsia="Arial" w:hAnsi="Arial"/>
          <w:sz w:val="19"/>
          <w:szCs w:val="19"/>
          <w:color w:val="auto"/>
        </w:rPr>
        <w:t>4.6</w:t>
      </w:r>
      <w:r>
        <w:rPr>
          <w:sz w:val="20"/>
          <w:szCs w:val="20"/>
          <w:color w:val="auto"/>
        </w:rPr>
        <w:tab/>
      </w:r>
      <w:r>
        <w:rPr>
          <w:rFonts w:ascii="Arial" w:cs="Arial" w:eastAsia="Arial" w:hAnsi="Arial"/>
          <w:sz w:val="18"/>
          <w:szCs w:val="18"/>
          <w:color w:val="auto"/>
        </w:rPr>
        <w:t>— 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p>
    <w:p>
      <w:pPr>
        <w:spacing w:after="0" w:line="179" w:lineRule="exact"/>
        <w:rPr>
          <w:sz w:val="20"/>
          <w:szCs w:val="20"/>
          <w:color w:val="auto"/>
        </w:rPr>
      </w:pPr>
    </w:p>
    <w:p>
      <w:pPr>
        <w:jc w:val="both"/>
        <w:ind w:left="1020" w:right="280" w:hanging="1403"/>
        <w:spacing w:after="0" w:line="230" w:lineRule="auto"/>
        <w:tabs>
          <w:tab w:leader="none" w:pos="1000" w:val="left"/>
        </w:tabs>
        <w:rPr>
          <w:sz w:val="20"/>
          <w:szCs w:val="20"/>
          <w:color w:val="auto"/>
        </w:rPr>
      </w:pPr>
      <w:r>
        <w:rPr>
          <w:rFonts w:ascii="Arial" w:cs="Arial" w:eastAsia="Arial" w:hAnsi="Arial"/>
          <w:sz w:val="19"/>
          <w:szCs w:val="19"/>
          <w:color w:val="auto"/>
        </w:rPr>
        <w:t>4.7</w:t>
      </w:r>
      <w:r>
        <w:rPr>
          <w:sz w:val="20"/>
          <w:szCs w:val="20"/>
          <w:color w:val="auto"/>
        </w:rPr>
        <w:tab/>
      </w:r>
      <w:r>
        <w:rPr>
          <w:rFonts w:ascii="Arial" w:cs="Arial" w:eastAsia="Arial" w:hAnsi="Arial"/>
          <w:sz w:val="19"/>
          <w:szCs w:val="19"/>
          <w:color w:val="auto"/>
        </w:rPr>
        <w:t>— Twenty-Sixth Supplemental Indenture (3.60% Senior Notes due 2024) dated September 9, 2014, by and among Plains All American Pipeline, L.P., PAA Finance Corp. and U.S. Bank National Association, as trustee (incorporated by reference to Exhibit 4.1 to our Current Report on Form 8-K filed September 11, 2014).</w:t>
      </w:r>
    </w:p>
    <w:p>
      <w:pPr>
        <w:spacing w:after="0" w:line="157" w:lineRule="exact"/>
        <w:rPr>
          <w:sz w:val="20"/>
          <w:szCs w:val="20"/>
          <w:color w:val="auto"/>
        </w:rPr>
      </w:pPr>
    </w:p>
    <w:p>
      <w:pPr>
        <w:ind w:left="1020" w:right="220" w:hanging="1403"/>
        <w:spacing w:after="0" w:line="230" w:lineRule="auto"/>
        <w:tabs>
          <w:tab w:leader="none" w:pos="1000" w:val="left"/>
        </w:tabs>
        <w:rPr>
          <w:sz w:val="20"/>
          <w:szCs w:val="20"/>
          <w:color w:val="auto"/>
        </w:rPr>
      </w:pPr>
      <w:r>
        <w:rPr>
          <w:rFonts w:ascii="Arial" w:cs="Arial" w:eastAsia="Arial" w:hAnsi="Arial"/>
          <w:sz w:val="19"/>
          <w:szCs w:val="19"/>
          <w:color w:val="auto"/>
        </w:rPr>
        <w:t>4.8</w:t>
      </w:r>
      <w:r>
        <w:rPr>
          <w:sz w:val="20"/>
          <w:szCs w:val="20"/>
          <w:color w:val="auto"/>
        </w:rPr>
        <w:tab/>
      </w:r>
      <w:r>
        <w:rPr>
          <w:rFonts w:ascii="Arial" w:cs="Arial" w:eastAsia="Arial" w:hAnsi="Arial"/>
          <w:sz w:val="19"/>
          <w:szCs w:val="19"/>
          <w:color w:val="auto"/>
        </w:rPr>
        <w:t>— 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p>
    <w:p>
      <w:pPr>
        <w:spacing w:after="0" w:line="157" w:lineRule="exact"/>
        <w:rPr>
          <w:sz w:val="20"/>
          <w:szCs w:val="20"/>
          <w:color w:val="auto"/>
        </w:rPr>
      </w:pPr>
    </w:p>
    <w:p>
      <w:pPr>
        <w:jc w:val="both"/>
        <w:ind w:left="1020" w:right="280" w:hanging="1403"/>
        <w:spacing w:after="0" w:line="230" w:lineRule="auto"/>
        <w:tabs>
          <w:tab w:leader="none" w:pos="1000" w:val="left"/>
        </w:tabs>
        <w:rPr>
          <w:sz w:val="20"/>
          <w:szCs w:val="20"/>
          <w:color w:val="auto"/>
        </w:rPr>
      </w:pPr>
      <w:r>
        <w:rPr>
          <w:rFonts w:ascii="Arial" w:cs="Arial" w:eastAsia="Arial" w:hAnsi="Arial"/>
          <w:sz w:val="19"/>
          <w:szCs w:val="19"/>
          <w:color w:val="auto"/>
        </w:rPr>
        <w:t>4.9</w:t>
      </w:r>
      <w:r>
        <w:rPr>
          <w:sz w:val="20"/>
          <w:szCs w:val="20"/>
          <w:color w:val="auto"/>
        </w:rPr>
        <w:tab/>
      </w:r>
      <w:r>
        <w:rPr>
          <w:rFonts w:ascii="Arial" w:cs="Arial" w:eastAsia="Arial" w:hAnsi="Arial"/>
          <w:sz w:val="19"/>
          <w:szCs w:val="19"/>
          <w:color w:val="auto"/>
        </w:rPr>
        <w:t>— Twenty-Ninth Supplemental Indenture (4.65% Senior Notes due 2025) dated August 24, 2015, by and among Plains All American Pipeline, L.P., PAA Finance Corp. and U.S. Bank National Association, as trustee (incorporated by reference to Exhibit 4.1 to PAA’s Current Report on Form 8-K filed August 26, 2015).</w:t>
      </w:r>
    </w:p>
    <w:p>
      <w:pPr>
        <w:spacing w:after="0" w:line="157" w:lineRule="exact"/>
        <w:rPr>
          <w:sz w:val="20"/>
          <w:szCs w:val="20"/>
          <w:color w:val="auto"/>
        </w:rPr>
      </w:pPr>
    </w:p>
    <w:p>
      <w:pPr>
        <w:ind w:left="1020" w:right="20" w:hanging="1403"/>
        <w:spacing w:after="0" w:line="253" w:lineRule="auto"/>
        <w:tabs>
          <w:tab w:leader="none" w:pos="1000" w:val="left"/>
        </w:tabs>
        <w:rPr>
          <w:sz w:val="20"/>
          <w:szCs w:val="20"/>
          <w:color w:val="auto"/>
        </w:rPr>
      </w:pPr>
      <w:r>
        <w:rPr>
          <w:rFonts w:ascii="Arial" w:cs="Arial" w:eastAsia="Arial" w:hAnsi="Arial"/>
          <w:sz w:val="19"/>
          <w:szCs w:val="19"/>
          <w:color w:val="auto"/>
        </w:rPr>
        <w:t>4.10</w:t>
      </w:r>
      <w:r>
        <w:rPr>
          <w:sz w:val="20"/>
          <w:szCs w:val="20"/>
          <w:color w:val="auto"/>
        </w:rPr>
        <w:tab/>
      </w:r>
      <w:r>
        <w:rPr>
          <w:rFonts w:ascii="Arial" w:cs="Arial" w:eastAsia="Arial" w:hAnsi="Arial"/>
          <w:sz w:val="18"/>
          <w:szCs w:val="18"/>
          <w:color w:val="auto"/>
        </w:rPr>
        <w:t>— Thirtieth Supplemental Indenture (4.50% Senior Notes due 2026) dated November 22, 2016, by and among Plains All American Pipeline, L.P., PAA Finance Corp. and U.S. Bank National Association, as trustee (incorporated by reference to Exhibit 4.1 to PAA’s Current Report on Form 8-K filed November 29, 2016).</w:t>
      </w:r>
    </w:p>
    <w:p>
      <w:pPr>
        <w:spacing w:after="0" w:line="223" w:lineRule="exact"/>
        <w:rPr>
          <w:sz w:val="20"/>
          <w:szCs w:val="20"/>
          <w:color w:val="auto"/>
        </w:rPr>
      </w:pPr>
    </w:p>
    <w:p>
      <w:pPr>
        <w:ind w:left="1020" w:hanging="1403"/>
        <w:spacing w:after="0" w:line="230" w:lineRule="auto"/>
        <w:tabs>
          <w:tab w:leader="none" w:pos="1000" w:val="left"/>
        </w:tabs>
        <w:rPr>
          <w:sz w:val="20"/>
          <w:szCs w:val="20"/>
          <w:color w:val="auto"/>
        </w:rPr>
      </w:pPr>
      <w:r>
        <w:rPr>
          <w:rFonts w:ascii="Arial" w:cs="Arial" w:eastAsia="Arial" w:hAnsi="Arial"/>
          <w:sz w:val="19"/>
          <w:szCs w:val="19"/>
          <w:color w:val="auto"/>
        </w:rPr>
        <w:t>4.11</w:t>
      </w:r>
      <w:r>
        <w:rPr>
          <w:sz w:val="20"/>
          <w:szCs w:val="20"/>
          <w:color w:val="auto"/>
        </w:rPr>
        <w:tab/>
      </w:r>
      <w:r>
        <w:rPr>
          <w:rFonts w:ascii="Arial" w:cs="Arial" w:eastAsia="Arial" w:hAnsi="Arial"/>
          <w:sz w:val="19"/>
          <w:szCs w:val="19"/>
          <w:color w:val="auto"/>
        </w:rPr>
        <w:t>— Thirty-First Supplemental Indenture (3.55% Senior Notes due 2029) dated September 16, 2019, by and among Plains All American Pipeline, L.P., PAA Finance Corp. and U.S. Bank National Association, as trustee (incorporated by reference to Exhibit 4.1 to PAA’s Current Report on Form 8-K filed September 17, 2019).</w:t>
      </w:r>
    </w:p>
    <w:p>
      <w:pPr>
        <w:spacing w:after="0" w:line="157" w:lineRule="exact"/>
        <w:rPr>
          <w:sz w:val="20"/>
          <w:szCs w:val="20"/>
          <w:color w:val="auto"/>
        </w:rPr>
      </w:pPr>
    </w:p>
    <w:p>
      <w:pPr>
        <w:ind w:left="1020" w:right="40" w:hanging="1403"/>
        <w:spacing w:after="0" w:line="253" w:lineRule="auto"/>
        <w:tabs>
          <w:tab w:leader="none" w:pos="1000" w:val="left"/>
        </w:tabs>
        <w:rPr>
          <w:sz w:val="20"/>
          <w:szCs w:val="20"/>
          <w:color w:val="auto"/>
        </w:rPr>
      </w:pPr>
      <w:r>
        <w:rPr>
          <w:rFonts w:ascii="Arial" w:cs="Arial" w:eastAsia="Arial" w:hAnsi="Arial"/>
          <w:sz w:val="19"/>
          <w:szCs w:val="19"/>
          <w:color w:val="auto"/>
        </w:rPr>
        <w:t>4.12</w:t>
      </w:r>
      <w:r>
        <w:rPr>
          <w:sz w:val="20"/>
          <w:szCs w:val="20"/>
          <w:color w:val="auto"/>
        </w:rPr>
        <w:tab/>
      </w:r>
      <w:r>
        <w:rPr>
          <w:rFonts w:ascii="Arial" w:cs="Arial" w:eastAsia="Arial" w:hAnsi="Arial"/>
          <w:sz w:val="18"/>
          <w:szCs w:val="18"/>
          <w:color w:val="auto"/>
        </w:rPr>
        <w:t>— Thirty-Second Supplemental Indenture (3.80% Senior Notes due 2030) dated June 11, 2020, by and among Plains All American Pipeline, L.P., PAA Finance Corp. and U.S. Bank National Association, as trustee (incorporated by reference to Exhibit 4.1 to PAA’s Current Report on Form 8-K filed June 11, 2020).</w:t>
      </w:r>
    </w:p>
    <w:p>
      <w:pPr>
        <w:spacing w:after="0" w:line="150" w:lineRule="exact"/>
        <w:rPr>
          <w:sz w:val="20"/>
          <w:szCs w:val="20"/>
          <w:color w:val="auto"/>
        </w:rPr>
      </w:pPr>
    </w:p>
    <w:p>
      <w:pPr>
        <w:ind w:left="1020" w:hanging="1403"/>
        <w:spacing w:after="0" w:line="235" w:lineRule="auto"/>
        <w:tabs>
          <w:tab w:leader="none" w:pos="1000" w:val="left"/>
        </w:tabs>
        <w:rPr>
          <w:sz w:val="20"/>
          <w:szCs w:val="20"/>
          <w:color w:val="auto"/>
        </w:rPr>
      </w:pPr>
      <w:r>
        <w:rPr>
          <w:rFonts w:ascii="Arial" w:cs="Arial" w:eastAsia="Arial" w:hAnsi="Arial"/>
          <w:sz w:val="19"/>
          <w:szCs w:val="19"/>
          <w:color w:val="auto"/>
        </w:rPr>
        <w:t>4.13</w:t>
      </w:r>
      <w:r>
        <w:rPr>
          <w:sz w:val="20"/>
          <w:szCs w:val="20"/>
          <w:color w:val="auto"/>
        </w:rPr>
        <w:tab/>
      </w:r>
      <w:r>
        <w:rPr>
          <w:rFonts w:ascii="Arial" w:cs="Arial" w:eastAsia="Arial" w:hAnsi="Arial"/>
          <w:sz w:val="19"/>
          <w:szCs w:val="19"/>
          <w:color w:val="auto"/>
        </w:rPr>
        <w:t>— Shareholder and Registration Rights Agreement dated October 21, 2013 by and among Plains GP Holdings, L.P. and the other parties signatory thereto (incorporated by reference to Exhibit 4.1 to our Current Report on Form 8-K filed October 25, 2013).</w:t>
      </w:r>
    </w:p>
    <w:p>
      <w:pPr>
        <w:spacing w:after="0" w:line="192" w:lineRule="exact"/>
        <w:rPr>
          <w:sz w:val="20"/>
          <w:szCs w:val="20"/>
          <w:color w:val="auto"/>
        </w:rPr>
      </w:pPr>
    </w:p>
    <w:p>
      <w:pPr>
        <w:spacing w:after="0"/>
        <w:tabs>
          <w:tab w:leader="none" w:pos="1000" w:val="left"/>
          <w:tab w:leader="none" w:pos="1380" w:val="left"/>
        </w:tabs>
        <w:rPr>
          <w:sz w:val="20"/>
          <w:szCs w:val="20"/>
          <w:color w:val="auto"/>
        </w:rPr>
      </w:pPr>
      <w:r>
        <w:rPr>
          <w:rFonts w:ascii="Arial" w:cs="Arial" w:eastAsia="Arial" w:hAnsi="Arial"/>
          <w:sz w:val="19"/>
          <w:szCs w:val="19"/>
          <w:color w:val="auto"/>
        </w:rPr>
        <w:t>4.14 †</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Description of Our Securities.</w:t>
      </w:r>
    </w:p>
    <w:p>
      <w:pPr>
        <w:sectPr>
          <w:pgSz w:w="11880" w:h="15480" w:orient="portrait"/>
          <w:cols w:equalWidth="0" w:num="1">
            <w:col w:w="9800"/>
          </w:cols>
          <w:pgMar w:left="1000" w:top="749" w:right="1080" w:bottom="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98</w:t>
      </w:r>
    </w:p>
    <w:p>
      <w:pPr>
        <w:sectPr>
          <w:pgSz w:w="11880" w:h="15480" w:orient="portrait"/>
          <w:cols w:equalWidth="0" w:num="1">
            <w:col w:w="9800"/>
          </w:cols>
          <w:pgMar w:left="1000" w:top="749" w:right="1080" w:bottom="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18"/>
        </w:trPr>
        <w:tc>
          <w:tcPr>
            <w:tcW w:w="820" w:type="dxa"/>
            <w:vAlign w:val="bottom"/>
          </w:tcPr>
          <w:p>
            <w:pPr>
              <w:spacing w:after="0"/>
              <w:rPr>
                <w:sz w:val="20"/>
                <w:szCs w:val="20"/>
                <w:color w:val="auto"/>
              </w:rPr>
            </w:pPr>
            <w:r>
              <w:rPr>
                <w:rFonts w:ascii="Arial" w:cs="Arial" w:eastAsia="Arial" w:hAnsi="Arial"/>
                <w:sz w:val="19"/>
                <w:szCs w:val="19"/>
                <w:color w:val="auto"/>
              </w:rPr>
              <w:t>10.1</w:t>
            </w:r>
          </w:p>
        </w:tc>
        <w:tc>
          <w:tcPr>
            <w:tcW w:w="9020" w:type="dxa"/>
            <w:vAlign w:val="bottom"/>
          </w:tcPr>
          <w:p>
            <w:pPr>
              <w:ind w:left="200"/>
              <w:spacing w:after="0"/>
              <w:rPr>
                <w:sz w:val="20"/>
                <w:szCs w:val="20"/>
                <w:color w:val="auto"/>
              </w:rPr>
            </w:pPr>
            <w:r>
              <w:rPr>
                <w:rFonts w:ascii="Arial" w:cs="Arial" w:eastAsia="Arial" w:hAnsi="Arial"/>
                <w:sz w:val="19"/>
                <w:szCs w:val="19"/>
                <w:color w:val="auto"/>
              </w:rPr>
              <w:t>—  Credit Agreement dated as of August 20, 2021, among Plains All American Pipeline, L.P. and Plains</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w w:val="94"/>
              </w:rPr>
              <w:t>Midstream Canada ULC, as Borrowers; certain subsidiaries of Plains All American Pipeline, L.P. from time</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w w:val="94"/>
              </w:rPr>
              <w:t>to time party thereto, as Designated Borrowers; Bank of America, N.A., as Administrative Agent and Swing</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w w:val="96"/>
              </w:rPr>
              <w:t>Line Lender; Bank of America, N.A., Citibank, N.A., JPMorgan Chase Bank, N.A. and Wells Fargo Bank,</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w w:val="97"/>
              </w:rPr>
              <w:t>National Association, as L/C Issuers; and the other Lenders party thereto (incorporated by reference to</w:t>
            </w:r>
          </w:p>
        </w:tc>
      </w:tr>
      <w:tr>
        <w:trPr>
          <w:trHeight w:val="254"/>
        </w:trPr>
        <w:tc>
          <w:tcPr>
            <w:tcW w:w="820" w:type="dxa"/>
            <w:vAlign w:val="bottom"/>
          </w:tcPr>
          <w:p>
            <w:pPr>
              <w:spacing w:after="0"/>
              <w:rPr>
                <w:sz w:val="22"/>
                <w:szCs w:val="22"/>
                <w:color w:val="auto"/>
              </w:rPr>
            </w:pPr>
          </w:p>
        </w:tc>
        <w:tc>
          <w:tcPr>
            <w:tcW w:w="9020" w:type="dxa"/>
            <w:vAlign w:val="bottom"/>
          </w:tcPr>
          <w:p>
            <w:pPr>
              <w:ind w:left="580"/>
              <w:spacing w:after="0"/>
              <w:rPr>
                <w:sz w:val="20"/>
                <w:szCs w:val="20"/>
                <w:color w:val="auto"/>
              </w:rPr>
            </w:pPr>
            <w:r>
              <w:rPr>
                <w:rFonts w:ascii="Arial" w:cs="Arial" w:eastAsia="Arial" w:hAnsi="Arial"/>
                <w:sz w:val="19"/>
                <w:szCs w:val="19"/>
                <w:color w:val="auto"/>
              </w:rPr>
              <w:t>Exhibit 10.1 to our Current Report on Form 8-K filed August 26, 2021).</w:t>
            </w:r>
          </w:p>
        </w:tc>
      </w:tr>
      <w:tr>
        <w:trPr>
          <w:trHeight w:val="443"/>
        </w:trPr>
        <w:tc>
          <w:tcPr>
            <w:tcW w:w="820" w:type="dxa"/>
            <w:vAlign w:val="bottom"/>
          </w:tcPr>
          <w:p>
            <w:pPr>
              <w:spacing w:after="0"/>
              <w:rPr>
                <w:sz w:val="20"/>
                <w:szCs w:val="20"/>
                <w:color w:val="auto"/>
              </w:rPr>
            </w:pPr>
            <w:r>
              <w:rPr>
                <w:rFonts w:ascii="Arial" w:cs="Arial" w:eastAsia="Arial" w:hAnsi="Arial"/>
                <w:sz w:val="19"/>
                <w:szCs w:val="19"/>
                <w:color w:val="auto"/>
              </w:rPr>
              <w:t>10.2</w:t>
            </w:r>
          </w:p>
        </w:tc>
        <w:tc>
          <w:tcPr>
            <w:tcW w:w="9020" w:type="dxa"/>
            <w:vAlign w:val="bottom"/>
          </w:tcPr>
          <w:p>
            <w:pPr>
              <w:ind w:left="200"/>
              <w:spacing w:after="0"/>
              <w:rPr>
                <w:sz w:val="20"/>
                <w:szCs w:val="20"/>
                <w:color w:val="auto"/>
              </w:rPr>
            </w:pPr>
            <w:r>
              <w:rPr>
                <w:rFonts w:ascii="Arial" w:cs="Arial" w:eastAsia="Arial" w:hAnsi="Arial"/>
                <w:sz w:val="19"/>
                <w:szCs w:val="19"/>
                <w:color w:val="auto"/>
                <w:w w:val="96"/>
              </w:rPr>
              <w:t>—  First Amendment to Credit Agreement dated as of August 22, 2022, among Plains All American Pipeline,</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rPr>
              <w:t>L.P. and Plains Midstream Canada ULC, as Borrowers; certain subsidiaries of Plains All American</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rPr>
              <w:t>Pipeline, L.P. from time to time party thereto, as Designated Borrowers; Bank of America, N.A., as</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w w:val="98"/>
              </w:rPr>
              <w:t>Administrative Agent and Swing Line Lender; Bank of America, N.A., Citibank, N.A., JPMorgan Chase</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rPr>
              <w:t>Bank, N.A. and Wells Fargo Bank, National Association, as L/C Issuers; and the other Lenders party</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w w:val="99"/>
              </w:rPr>
              <w:t>thereto (incorporated by reference to Exhibit 10.1 to our Current Report on Form 8-K filed August 25,</w:t>
            </w:r>
          </w:p>
        </w:tc>
      </w:tr>
      <w:tr>
        <w:trPr>
          <w:trHeight w:val="254"/>
        </w:trPr>
        <w:tc>
          <w:tcPr>
            <w:tcW w:w="820" w:type="dxa"/>
            <w:vAlign w:val="bottom"/>
          </w:tcPr>
          <w:p>
            <w:pPr>
              <w:spacing w:after="0"/>
              <w:rPr>
                <w:sz w:val="22"/>
                <w:szCs w:val="22"/>
                <w:color w:val="auto"/>
              </w:rPr>
            </w:pPr>
          </w:p>
        </w:tc>
        <w:tc>
          <w:tcPr>
            <w:tcW w:w="9020" w:type="dxa"/>
            <w:vAlign w:val="bottom"/>
          </w:tcPr>
          <w:p>
            <w:pPr>
              <w:ind w:left="580"/>
              <w:spacing w:after="0"/>
              <w:rPr>
                <w:sz w:val="20"/>
                <w:szCs w:val="20"/>
                <w:color w:val="auto"/>
              </w:rPr>
            </w:pPr>
            <w:r>
              <w:rPr>
                <w:rFonts w:ascii="Arial" w:cs="Arial" w:eastAsia="Arial" w:hAnsi="Arial"/>
                <w:sz w:val="19"/>
                <w:szCs w:val="19"/>
                <w:color w:val="auto"/>
              </w:rPr>
              <w:t>2022).</w:t>
            </w:r>
          </w:p>
        </w:tc>
      </w:tr>
      <w:tr>
        <w:trPr>
          <w:trHeight w:val="383"/>
        </w:trPr>
        <w:tc>
          <w:tcPr>
            <w:tcW w:w="820" w:type="dxa"/>
            <w:vAlign w:val="bottom"/>
          </w:tcPr>
          <w:p>
            <w:pPr>
              <w:spacing w:after="0"/>
              <w:rPr>
                <w:sz w:val="20"/>
                <w:szCs w:val="20"/>
                <w:color w:val="auto"/>
              </w:rPr>
            </w:pPr>
            <w:r>
              <w:rPr>
                <w:rFonts w:ascii="Arial" w:cs="Arial" w:eastAsia="Arial" w:hAnsi="Arial"/>
                <w:sz w:val="19"/>
                <w:szCs w:val="19"/>
                <w:color w:val="auto"/>
              </w:rPr>
              <w:t>10.3</w:t>
            </w:r>
          </w:p>
        </w:tc>
        <w:tc>
          <w:tcPr>
            <w:tcW w:w="9020" w:type="dxa"/>
            <w:vAlign w:val="bottom"/>
          </w:tcPr>
          <w:p>
            <w:pPr>
              <w:ind w:left="200"/>
              <w:spacing w:after="0"/>
              <w:rPr>
                <w:sz w:val="20"/>
                <w:szCs w:val="20"/>
                <w:color w:val="auto"/>
              </w:rPr>
            </w:pPr>
            <w:r>
              <w:rPr>
                <w:rFonts w:ascii="Arial" w:cs="Arial" w:eastAsia="Arial" w:hAnsi="Arial"/>
                <w:sz w:val="19"/>
                <w:szCs w:val="19"/>
                <w:color w:val="auto"/>
                <w:w w:val="97"/>
              </w:rPr>
              <w:t>—  Fourth Amended and Restated Credit Agreement dated as of August 20, 2021, among Plains Marketing,</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w w:val="96"/>
              </w:rPr>
              <w:t>L.P. and Plains Midstream Canada ULC, as Borrowers; Plains All American Pipeline, L.P., as guarantor;</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w w:val="95"/>
              </w:rPr>
              <w:t>Bank of America, N.A., as Administrative Agent and Swing Line Lender; Bank of America, N.A., Citibank,</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w w:val="96"/>
              </w:rPr>
              <w:t>N.A., JPMorgan Chase Bank, N.A. and Wells Fargo Bank, National Association, as L/C Issuers; and the</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w w:val="95"/>
              </w:rPr>
              <w:t>other Lenders party thereto (incorporated by reference to Exhibit 10.2 to our Current Report on Form 8-K</w:t>
            </w:r>
          </w:p>
        </w:tc>
      </w:tr>
      <w:tr>
        <w:trPr>
          <w:trHeight w:val="254"/>
        </w:trPr>
        <w:tc>
          <w:tcPr>
            <w:tcW w:w="820" w:type="dxa"/>
            <w:vAlign w:val="bottom"/>
          </w:tcPr>
          <w:p>
            <w:pPr>
              <w:spacing w:after="0"/>
              <w:rPr>
                <w:sz w:val="22"/>
                <w:szCs w:val="22"/>
                <w:color w:val="auto"/>
              </w:rPr>
            </w:pPr>
          </w:p>
        </w:tc>
        <w:tc>
          <w:tcPr>
            <w:tcW w:w="9020" w:type="dxa"/>
            <w:vAlign w:val="bottom"/>
          </w:tcPr>
          <w:p>
            <w:pPr>
              <w:ind w:left="580"/>
              <w:spacing w:after="0"/>
              <w:rPr>
                <w:sz w:val="20"/>
                <w:szCs w:val="20"/>
                <w:color w:val="auto"/>
              </w:rPr>
            </w:pPr>
            <w:r>
              <w:rPr>
                <w:rFonts w:ascii="Arial" w:cs="Arial" w:eastAsia="Arial" w:hAnsi="Arial"/>
                <w:sz w:val="19"/>
                <w:szCs w:val="19"/>
                <w:color w:val="auto"/>
              </w:rPr>
              <w:t>filed August 26, 2021).</w:t>
            </w:r>
          </w:p>
        </w:tc>
      </w:tr>
      <w:tr>
        <w:trPr>
          <w:trHeight w:val="338"/>
        </w:trPr>
        <w:tc>
          <w:tcPr>
            <w:tcW w:w="820" w:type="dxa"/>
            <w:vAlign w:val="bottom"/>
          </w:tcPr>
          <w:p>
            <w:pPr>
              <w:spacing w:after="0"/>
              <w:rPr>
                <w:sz w:val="20"/>
                <w:szCs w:val="20"/>
                <w:color w:val="auto"/>
              </w:rPr>
            </w:pPr>
            <w:r>
              <w:rPr>
                <w:rFonts w:ascii="Arial" w:cs="Arial" w:eastAsia="Arial" w:hAnsi="Arial"/>
                <w:sz w:val="19"/>
                <w:szCs w:val="19"/>
                <w:color w:val="auto"/>
              </w:rPr>
              <w:t>10.4</w:t>
            </w:r>
          </w:p>
        </w:tc>
        <w:tc>
          <w:tcPr>
            <w:tcW w:w="9020" w:type="dxa"/>
            <w:vAlign w:val="bottom"/>
          </w:tcPr>
          <w:p>
            <w:pPr>
              <w:ind w:left="200"/>
              <w:spacing w:after="0"/>
              <w:rPr>
                <w:sz w:val="20"/>
                <w:szCs w:val="20"/>
                <w:color w:val="auto"/>
              </w:rPr>
            </w:pPr>
            <w:r>
              <w:rPr>
                <w:rFonts w:ascii="Arial" w:cs="Arial" w:eastAsia="Arial" w:hAnsi="Arial"/>
                <w:sz w:val="19"/>
                <w:szCs w:val="19"/>
                <w:color w:val="auto"/>
                <w:w w:val="95"/>
              </w:rPr>
              <w:t>—  First Amendment to Fourth Amended and Restated Credit Agreement dated as of August 22, 2022, among</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w w:val="97"/>
              </w:rPr>
              <w:t>Plains Marketing, L.P. and Plains Midstream Canada ULC, as Borrowers; Plains All American Pipeline,</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rPr>
              <w:t>L.P., as guarantor; Bank of America, N.A., as Administrative Agent and Swing Line Lender; Bank of</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w w:val="95"/>
              </w:rPr>
              <w:t>America, N.A., Citibank, N.A., JPMorgan Chase Bank, N.A. and Wells Fargo Bank, National Association,</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w w:val="92"/>
              </w:rPr>
              <w:t>as L/C Issuers; and the other Lenders party thereto (incorporated by reference to Exhibit 10.2 to our Current</w:t>
            </w:r>
          </w:p>
        </w:tc>
      </w:tr>
      <w:tr>
        <w:trPr>
          <w:trHeight w:val="254"/>
        </w:trPr>
        <w:tc>
          <w:tcPr>
            <w:tcW w:w="820" w:type="dxa"/>
            <w:vAlign w:val="bottom"/>
          </w:tcPr>
          <w:p>
            <w:pPr>
              <w:spacing w:after="0"/>
              <w:rPr>
                <w:sz w:val="22"/>
                <w:szCs w:val="22"/>
                <w:color w:val="auto"/>
              </w:rPr>
            </w:pPr>
          </w:p>
        </w:tc>
        <w:tc>
          <w:tcPr>
            <w:tcW w:w="9020" w:type="dxa"/>
            <w:vAlign w:val="bottom"/>
          </w:tcPr>
          <w:p>
            <w:pPr>
              <w:ind w:left="580"/>
              <w:spacing w:after="0"/>
              <w:rPr>
                <w:sz w:val="20"/>
                <w:szCs w:val="20"/>
                <w:color w:val="auto"/>
              </w:rPr>
            </w:pPr>
            <w:r>
              <w:rPr>
                <w:rFonts w:ascii="Arial" w:cs="Arial" w:eastAsia="Arial" w:hAnsi="Arial"/>
                <w:sz w:val="19"/>
                <w:szCs w:val="19"/>
                <w:color w:val="auto"/>
              </w:rPr>
              <w:t>Report on Form 8-K filed August 25, 2022).</w:t>
            </w:r>
          </w:p>
        </w:tc>
      </w:tr>
      <w:tr>
        <w:trPr>
          <w:trHeight w:val="473"/>
        </w:trPr>
        <w:tc>
          <w:tcPr>
            <w:tcW w:w="820" w:type="dxa"/>
            <w:vAlign w:val="bottom"/>
          </w:tcPr>
          <w:p>
            <w:pPr>
              <w:spacing w:after="0"/>
              <w:rPr>
                <w:sz w:val="20"/>
                <w:szCs w:val="20"/>
                <w:color w:val="auto"/>
              </w:rPr>
            </w:pPr>
            <w:r>
              <w:rPr>
                <w:rFonts w:ascii="Arial" w:cs="Arial" w:eastAsia="Arial" w:hAnsi="Arial"/>
                <w:sz w:val="19"/>
                <w:szCs w:val="19"/>
                <w:color w:val="auto"/>
              </w:rPr>
              <w:t>10.5</w:t>
            </w:r>
          </w:p>
        </w:tc>
        <w:tc>
          <w:tcPr>
            <w:tcW w:w="9020" w:type="dxa"/>
            <w:vAlign w:val="bottom"/>
          </w:tcPr>
          <w:p>
            <w:pPr>
              <w:ind w:left="200"/>
              <w:spacing w:after="0"/>
              <w:rPr>
                <w:sz w:val="20"/>
                <w:szCs w:val="20"/>
                <w:color w:val="auto"/>
              </w:rPr>
            </w:pPr>
            <w:r>
              <w:rPr>
                <w:rFonts w:ascii="Arial" w:cs="Arial" w:eastAsia="Arial" w:hAnsi="Arial"/>
                <w:sz w:val="19"/>
                <w:szCs w:val="19"/>
                <w:color w:val="auto"/>
                <w:w w:val="95"/>
              </w:rPr>
              <w:t>—  Contribution and Assumption Agreement dated December 28, 2007, by and between Plains AAP, L.P. and</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rPr>
              <w:t>PAA GP LLC (incorporated by reference to Exhibit 10.2 to PAA’s Current Report on Form 8-K filed</w:t>
            </w:r>
          </w:p>
        </w:tc>
      </w:tr>
      <w:tr>
        <w:trPr>
          <w:trHeight w:val="254"/>
        </w:trPr>
        <w:tc>
          <w:tcPr>
            <w:tcW w:w="820" w:type="dxa"/>
            <w:vAlign w:val="bottom"/>
          </w:tcPr>
          <w:p>
            <w:pPr>
              <w:spacing w:after="0"/>
              <w:rPr>
                <w:sz w:val="22"/>
                <w:szCs w:val="22"/>
                <w:color w:val="auto"/>
              </w:rPr>
            </w:pPr>
          </w:p>
        </w:tc>
        <w:tc>
          <w:tcPr>
            <w:tcW w:w="9020" w:type="dxa"/>
            <w:vAlign w:val="bottom"/>
          </w:tcPr>
          <w:p>
            <w:pPr>
              <w:ind w:left="580"/>
              <w:spacing w:after="0"/>
              <w:rPr>
                <w:sz w:val="20"/>
                <w:szCs w:val="20"/>
                <w:color w:val="auto"/>
              </w:rPr>
            </w:pPr>
            <w:r>
              <w:rPr>
                <w:rFonts w:ascii="Arial" w:cs="Arial" w:eastAsia="Arial" w:hAnsi="Arial"/>
                <w:sz w:val="19"/>
                <w:szCs w:val="19"/>
                <w:color w:val="auto"/>
              </w:rPr>
              <w:t>January 4, 2008).</w:t>
            </w:r>
          </w:p>
        </w:tc>
      </w:tr>
      <w:tr>
        <w:trPr>
          <w:trHeight w:val="356"/>
        </w:trPr>
        <w:tc>
          <w:tcPr>
            <w:tcW w:w="820" w:type="dxa"/>
            <w:vAlign w:val="bottom"/>
          </w:tcPr>
          <w:p>
            <w:pPr>
              <w:spacing w:after="0"/>
              <w:rPr>
                <w:sz w:val="20"/>
                <w:szCs w:val="20"/>
                <w:color w:val="auto"/>
              </w:rPr>
            </w:pPr>
            <w:r>
              <w:rPr>
                <w:rFonts w:ascii="Arial" w:cs="Arial" w:eastAsia="Arial" w:hAnsi="Arial"/>
                <w:sz w:val="19"/>
                <w:szCs w:val="19"/>
                <w:color w:val="auto"/>
              </w:rPr>
              <w:t>10.6</w:t>
            </w:r>
          </w:p>
        </w:tc>
        <w:tc>
          <w:tcPr>
            <w:tcW w:w="9020" w:type="dxa"/>
            <w:vAlign w:val="bottom"/>
          </w:tcPr>
          <w:p>
            <w:pPr>
              <w:ind w:left="200"/>
              <w:spacing w:after="0"/>
              <w:rPr>
                <w:sz w:val="20"/>
                <w:szCs w:val="20"/>
                <w:color w:val="auto"/>
              </w:rPr>
            </w:pPr>
            <w:r>
              <w:rPr>
                <w:rFonts w:ascii="Arial" w:cs="Arial" w:eastAsia="Arial" w:hAnsi="Arial"/>
                <w:sz w:val="19"/>
                <w:szCs w:val="19"/>
                <w:color w:val="auto"/>
                <w:w w:val="95"/>
              </w:rPr>
              <w:t>—  Omnibus Agreement by and among PAA GP Holdings LLC, Plains GP Holdings, L.P., Plains All American</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w w:val="99"/>
              </w:rPr>
              <w:t>GP LLC, Plains AAP, L.P., PAA GP LLC, and Plains All American Pipeline, L.P., dated November 15,</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w w:val="98"/>
              </w:rPr>
              <w:t>2016 (incorporated by reference to Exhibit 10.1 to our Current Report on Form 8-K filed November 21,</w:t>
            </w:r>
          </w:p>
        </w:tc>
      </w:tr>
      <w:tr>
        <w:trPr>
          <w:trHeight w:val="254"/>
        </w:trPr>
        <w:tc>
          <w:tcPr>
            <w:tcW w:w="820" w:type="dxa"/>
            <w:vAlign w:val="bottom"/>
          </w:tcPr>
          <w:p>
            <w:pPr>
              <w:spacing w:after="0"/>
              <w:rPr>
                <w:sz w:val="22"/>
                <w:szCs w:val="22"/>
                <w:color w:val="auto"/>
              </w:rPr>
            </w:pPr>
          </w:p>
        </w:tc>
        <w:tc>
          <w:tcPr>
            <w:tcW w:w="9020" w:type="dxa"/>
            <w:vAlign w:val="bottom"/>
          </w:tcPr>
          <w:p>
            <w:pPr>
              <w:ind w:left="580"/>
              <w:spacing w:after="0"/>
              <w:rPr>
                <w:sz w:val="20"/>
                <w:szCs w:val="20"/>
                <w:color w:val="auto"/>
              </w:rPr>
            </w:pPr>
            <w:r>
              <w:rPr>
                <w:rFonts w:ascii="Arial" w:cs="Arial" w:eastAsia="Arial" w:hAnsi="Arial"/>
                <w:sz w:val="19"/>
                <w:szCs w:val="19"/>
                <w:color w:val="auto"/>
              </w:rPr>
              <w:t>2016).</w:t>
            </w:r>
          </w:p>
        </w:tc>
      </w:tr>
      <w:tr>
        <w:trPr>
          <w:trHeight w:val="351"/>
        </w:trPr>
        <w:tc>
          <w:tcPr>
            <w:tcW w:w="820" w:type="dxa"/>
            <w:vAlign w:val="bottom"/>
          </w:tcPr>
          <w:p>
            <w:pPr>
              <w:spacing w:after="0"/>
              <w:rPr>
                <w:sz w:val="20"/>
                <w:szCs w:val="20"/>
                <w:color w:val="auto"/>
              </w:rPr>
            </w:pPr>
            <w:r>
              <w:rPr>
                <w:rFonts w:ascii="Arial" w:cs="Arial" w:eastAsia="Arial" w:hAnsi="Arial"/>
                <w:sz w:val="19"/>
                <w:szCs w:val="19"/>
                <w:color w:val="auto"/>
              </w:rPr>
              <w:t>10.7</w:t>
            </w:r>
          </w:p>
        </w:tc>
        <w:tc>
          <w:tcPr>
            <w:tcW w:w="9020" w:type="dxa"/>
            <w:vAlign w:val="bottom"/>
          </w:tcPr>
          <w:p>
            <w:pPr>
              <w:ind w:left="200"/>
              <w:spacing w:after="0"/>
              <w:rPr>
                <w:sz w:val="20"/>
                <w:szCs w:val="20"/>
                <w:color w:val="auto"/>
              </w:rPr>
            </w:pPr>
            <w:r>
              <w:rPr>
                <w:rFonts w:ascii="Arial" w:cs="Arial" w:eastAsia="Arial" w:hAnsi="Arial"/>
                <w:sz w:val="19"/>
                <w:szCs w:val="19"/>
                <w:color w:val="auto"/>
              </w:rPr>
              <w:t>—  Amended and Restated Administrative Agreement by and among PAA GP Holdings LLC, Plains GP</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w w:val="99"/>
              </w:rPr>
              <w:t>Holdings, L.P., Plains All American GP LLC, Plains AAP, L.P., PAA GP LLC, and Plains All American</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w w:val="95"/>
              </w:rPr>
              <w:t>Pipeline, L.P., dated November 15, 2016 (incorporated by reference to Exhibit 10.2 to our Current Report</w:t>
            </w:r>
          </w:p>
        </w:tc>
      </w:tr>
      <w:tr>
        <w:trPr>
          <w:trHeight w:val="254"/>
        </w:trPr>
        <w:tc>
          <w:tcPr>
            <w:tcW w:w="820" w:type="dxa"/>
            <w:vAlign w:val="bottom"/>
          </w:tcPr>
          <w:p>
            <w:pPr>
              <w:spacing w:after="0"/>
              <w:rPr>
                <w:sz w:val="22"/>
                <w:szCs w:val="22"/>
                <w:color w:val="auto"/>
              </w:rPr>
            </w:pPr>
          </w:p>
        </w:tc>
        <w:tc>
          <w:tcPr>
            <w:tcW w:w="9020" w:type="dxa"/>
            <w:vAlign w:val="bottom"/>
          </w:tcPr>
          <w:p>
            <w:pPr>
              <w:ind w:left="580"/>
              <w:spacing w:after="0"/>
              <w:rPr>
                <w:sz w:val="20"/>
                <w:szCs w:val="20"/>
                <w:color w:val="auto"/>
              </w:rPr>
            </w:pPr>
            <w:r>
              <w:rPr>
                <w:rFonts w:ascii="Arial" w:cs="Arial" w:eastAsia="Arial" w:hAnsi="Arial"/>
                <w:sz w:val="19"/>
                <w:szCs w:val="19"/>
                <w:color w:val="auto"/>
              </w:rPr>
              <w:t>on Form 8-K filed November 21, 2016).</w:t>
            </w:r>
          </w:p>
        </w:tc>
      </w:tr>
      <w:tr>
        <w:trPr>
          <w:trHeight w:val="336"/>
        </w:trPr>
        <w:tc>
          <w:tcPr>
            <w:tcW w:w="820" w:type="dxa"/>
            <w:vAlign w:val="bottom"/>
          </w:tcPr>
          <w:p>
            <w:pPr>
              <w:spacing w:after="0"/>
              <w:rPr>
                <w:sz w:val="20"/>
                <w:szCs w:val="20"/>
                <w:color w:val="auto"/>
              </w:rPr>
            </w:pPr>
            <w:r>
              <w:rPr>
                <w:rFonts w:ascii="Arial" w:cs="Arial" w:eastAsia="Arial" w:hAnsi="Arial"/>
                <w:sz w:val="19"/>
                <w:szCs w:val="19"/>
                <w:color w:val="auto"/>
              </w:rPr>
              <w:t>10.8**</w:t>
            </w:r>
          </w:p>
        </w:tc>
        <w:tc>
          <w:tcPr>
            <w:tcW w:w="9020" w:type="dxa"/>
            <w:vAlign w:val="bottom"/>
          </w:tcPr>
          <w:p>
            <w:pPr>
              <w:ind w:left="200"/>
              <w:spacing w:after="0"/>
              <w:rPr>
                <w:sz w:val="20"/>
                <w:szCs w:val="20"/>
                <w:color w:val="auto"/>
              </w:rPr>
            </w:pPr>
            <w:r>
              <w:rPr>
                <w:rFonts w:ascii="Arial" w:cs="Arial" w:eastAsia="Arial" w:hAnsi="Arial"/>
                <w:sz w:val="19"/>
                <w:szCs w:val="19"/>
                <w:color w:val="auto"/>
              </w:rPr>
              <w:t>—  Amended and Restated Employment Agreement between Plains All American GP LLC and Greg L.</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w w:val="94"/>
              </w:rPr>
              <w:t>Armstrong dated as of June 30, 2001 (incorporated by reference to Exhibit 10.1 to PAA’s Quarterly Report</w:t>
            </w:r>
          </w:p>
        </w:tc>
      </w:tr>
      <w:tr>
        <w:trPr>
          <w:trHeight w:val="254"/>
        </w:trPr>
        <w:tc>
          <w:tcPr>
            <w:tcW w:w="820" w:type="dxa"/>
            <w:vAlign w:val="bottom"/>
          </w:tcPr>
          <w:p>
            <w:pPr>
              <w:spacing w:after="0"/>
              <w:rPr>
                <w:sz w:val="22"/>
                <w:szCs w:val="22"/>
                <w:color w:val="auto"/>
              </w:rPr>
            </w:pPr>
          </w:p>
        </w:tc>
        <w:tc>
          <w:tcPr>
            <w:tcW w:w="9020" w:type="dxa"/>
            <w:vAlign w:val="bottom"/>
          </w:tcPr>
          <w:p>
            <w:pPr>
              <w:ind w:left="580"/>
              <w:spacing w:after="0"/>
              <w:rPr>
                <w:sz w:val="20"/>
                <w:szCs w:val="20"/>
                <w:color w:val="auto"/>
              </w:rPr>
            </w:pPr>
            <w:r>
              <w:rPr>
                <w:rFonts w:ascii="Arial" w:cs="Arial" w:eastAsia="Arial" w:hAnsi="Arial"/>
                <w:sz w:val="19"/>
                <w:szCs w:val="19"/>
                <w:color w:val="auto"/>
              </w:rPr>
              <w:t>on Form 10-Q for the quarter ended September 30, 2001).</w:t>
            </w:r>
          </w:p>
        </w:tc>
      </w:tr>
      <w:tr>
        <w:trPr>
          <w:trHeight w:val="356"/>
        </w:trPr>
        <w:tc>
          <w:tcPr>
            <w:tcW w:w="820" w:type="dxa"/>
            <w:vAlign w:val="bottom"/>
          </w:tcPr>
          <w:p>
            <w:pPr>
              <w:spacing w:after="0"/>
              <w:rPr>
                <w:sz w:val="20"/>
                <w:szCs w:val="20"/>
                <w:color w:val="auto"/>
              </w:rPr>
            </w:pPr>
            <w:r>
              <w:rPr>
                <w:rFonts w:ascii="Arial" w:cs="Arial" w:eastAsia="Arial" w:hAnsi="Arial"/>
                <w:sz w:val="19"/>
                <w:szCs w:val="19"/>
                <w:color w:val="auto"/>
              </w:rPr>
              <w:t>10.9**</w:t>
            </w:r>
          </w:p>
        </w:tc>
        <w:tc>
          <w:tcPr>
            <w:tcW w:w="9020" w:type="dxa"/>
            <w:vAlign w:val="bottom"/>
          </w:tcPr>
          <w:p>
            <w:pPr>
              <w:ind w:left="200"/>
              <w:spacing w:after="0"/>
              <w:rPr>
                <w:sz w:val="20"/>
                <w:szCs w:val="20"/>
                <w:color w:val="auto"/>
              </w:rPr>
            </w:pPr>
            <w:r>
              <w:rPr>
                <w:rFonts w:ascii="Arial" w:cs="Arial" w:eastAsia="Arial" w:hAnsi="Arial"/>
                <w:sz w:val="19"/>
                <w:szCs w:val="19"/>
                <w:color w:val="auto"/>
                <w:w w:val="97"/>
              </w:rPr>
              <w:t>—  First Amendment to Amended and Restated Employment Agreement dated December 4, 2008 between</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w w:val="95"/>
              </w:rPr>
              <w:t>Plains All American GP LLC and Greg L. Armstrong (incorporated by reference to Exhibit 10.49 to PAA’s</w:t>
            </w:r>
          </w:p>
        </w:tc>
      </w:tr>
      <w:tr>
        <w:trPr>
          <w:trHeight w:val="254"/>
        </w:trPr>
        <w:tc>
          <w:tcPr>
            <w:tcW w:w="820" w:type="dxa"/>
            <w:vAlign w:val="bottom"/>
          </w:tcPr>
          <w:p>
            <w:pPr>
              <w:spacing w:after="0"/>
              <w:rPr>
                <w:sz w:val="22"/>
                <w:szCs w:val="22"/>
                <w:color w:val="auto"/>
              </w:rPr>
            </w:pPr>
          </w:p>
        </w:tc>
        <w:tc>
          <w:tcPr>
            <w:tcW w:w="9020" w:type="dxa"/>
            <w:vAlign w:val="bottom"/>
          </w:tcPr>
          <w:p>
            <w:pPr>
              <w:ind w:left="580"/>
              <w:spacing w:after="0"/>
              <w:rPr>
                <w:sz w:val="20"/>
                <w:szCs w:val="20"/>
                <w:color w:val="auto"/>
              </w:rPr>
            </w:pPr>
            <w:r>
              <w:rPr>
                <w:rFonts w:ascii="Arial" w:cs="Arial" w:eastAsia="Arial" w:hAnsi="Arial"/>
                <w:sz w:val="19"/>
                <w:szCs w:val="19"/>
                <w:color w:val="auto"/>
              </w:rPr>
              <w:t>Annual Report on Form 10-K for the year ended December 31, 2008).</w:t>
            </w:r>
          </w:p>
        </w:tc>
      </w:tr>
      <w:tr>
        <w:trPr>
          <w:trHeight w:val="385"/>
        </w:trPr>
        <w:tc>
          <w:tcPr>
            <w:tcW w:w="820" w:type="dxa"/>
            <w:vAlign w:val="bottom"/>
          </w:tcPr>
          <w:p>
            <w:pPr>
              <w:spacing w:after="0"/>
              <w:rPr>
                <w:sz w:val="20"/>
                <w:szCs w:val="20"/>
                <w:color w:val="auto"/>
              </w:rPr>
            </w:pPr>
            <w:r>
              <w:rPr>
                <w:rFonts w:ascii="Arial" w:cs="Arial" w:eastAsia="Arial" w:hAnsi="Arial"/>
                <w:sz w:val="19"/>
                <w:szCs w:val="19"/>
                <w:color w:val="auto"/>
              </w:rPr>
              <w:t>10.10**</w:t>
            </w:r>
          </w:p>
        </w:tc>
        <w:tc>
          <w:tcPr>
            <w:tcW w:w="9020" w:type="dxa"/>
            <w:vAlign w:val="bottom"/>
          </w:tcPr>
          <w:p>
            <w:pPr>
              <w:ind w:left="200"/>
              <w:spacing w:after="0"/>
              <w:rPr>
                <w:sz w:val="20"/>
                <w:szCs w:val="20"/>
                <w:color w:val="auto"/>
              </w:rPr>
            </w:pPr>
            <w:r>
              <w:rPr>
                <w:rFonts w:ascii="Arial" w:cs="Arial" w:eastAsia="Arial" w:hAnsi="Arial"/>
                <w:sz w:val="19"/>
                <w:szCs w:val="19"/>
                <w:color w:val="auto"/>
                <w:w w:val="99"/>
              </w:rPr>
              <w:t>—  Waiver Agreement dated as of December 23, 2010 between Plains All American GP LLC and Greg L.</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w w:val="95"/>
              </w:rPr>
              <w:t>Armstrong (incorporated by reference to Exhibit 10.31 to PAA’s Annual Report on Form 10-K for the year</w:t>
            </w:r>
          </w:p>
        </w:tc>
      </w:tr>
      <w:tr>
        <w:trPr>
          <w:trHeight w:val="254"/>
        </w:trPr>
        <w:tc>
          <w:tcPr>
            <w:tcW w:w="820" w:type="dxa"/>
            <w:vAlign w:val="bottom"/>
          </w:tcPr>
          <w:p>
            <w:pPr>
              <w:spacing w:after="0"/>
              <w:rPr>
                <w:sz w:val="22"/>
                <w:szCs w:val="22"/>
                <w:color w:val="auto"/>
              </w:rPr>
            </w:pPr>
          </w:p>
        </w:tc>
        <w:tc>
          <w:tcPr>
            <w:tcW w:w="9020" w:type="dxa"/>
            <w:vAlign w:val="bottom"/>
          </w:tcPr>
          <w:p>
            <w:pPr>
              <w:ind w:left="580"/>
              <w:spacing w:after="0"/>
              <w:rPr>
                <w:sz w:val="20"/>
                <w:szCs w:val="20"/>
                <w:color w:val="auto"/>
              </w:rPr>
            </w:pPr>
            <w:r>
              <w:rPr>
                <w:rFonts w:ascii="Arial" w:cs="Arial" w:eastAsia="Arial" w:hAnsi="Arial"/>
                <w:sz w:val="19"/>
                <w:szCs w:val="19"/>
                <w:color w:val="auto"/>
              </w:rPr>
              <w:t>ended December 31, 2010).</w:t>
            </w:r>
          </w:p>
        </w:tc>
      </w:tr>
      <w:tr>
        <w:trPr>
          <w:trHeight w:val="356"/>
        </w:trPr>
        <w:tc>
          <w:tcPr>
            <w:tcW w:w="820" w:type="dxa"/>
            <w:vAlign w:val="bottom"/>
          </w:tcPr>
          <w:p>
            <w:pPr>
              <w:spacing w:after="0"/>
              <w:rPr>
                <w:sz w:val="20"/>
                <w:szCs w:val="20"/>
                <w:color w:val="auto"/>
              </w:rPr>
            </w:pPr>
            <w:r>
              <w:rPr>
                <w:rFonts w:ascii="Arial" w:cs="Arial" w:eastAsia="Arial" w:hAnsi="Arial"/>
                <w:sz w:val="19"/>
                <w:szCs w:val="19"/>
                <w:color w:val="auto"/>
              </w:rPr>
              <w:t>10.11**</w:t>
            </w:r>
          </w:p>
        </w:tc>
        <w:tc>
          <w:tcPr>
            <w:tcW w:w="9020" w:type="dxa"/>
            <w:vAlign w:val="bottom"/>
          </w:tcPr>
          <w:p>
            <w:pPr>
              <w:ind w:left="200"/>
              <w:spacing w:after="0"/>
              <w:rPr>
                <w:sz w:val="20"/>
                <w:szCs w:val="20"/>
                <w:color w:val="auto"/>
              </w:rPr>
            </w:pPr>
            <w:r>
              <w:rPr>
                <w:rFonts w:ascii="Arial" w:cs="Arial" w:eastAsia="Arial" w:hAnsi="Arial"/>
                <w:sz w:val="19"/>
                <w:szCs w:val="19"/>
                <w:color w:val="auto"/>
                <w:w w:val="96"/>
              </w:rPr>
              <w:t>—  Waiver Agreement dated October 21, 2013 to the Amended and Restated Employment Agreement dated</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w w:val="96"/>
              </w:rPr>
              <w:t>June 30, 2001 of Greg L. Armstrong (incorporated by reference to Exhibit 10.4 to our Current Report on</w:t>
            </w:r>
          </w:p>
        </w:tc>
      </w:tr>
      <w:tr>
        <w:trPr>
          <w:trHeight w:val="254"/>
        </w:trPr>
        <w:tc>
          <w:tcPr>
            <w:tcW w:w="820" w:type="dxa"/>
            <w:vAlign w:val="bottom"/>
          </w:tcPr>
          <w:p>
            <w:pPr>
              <w:spacing w:after="0"/>
              <w:rPr>
                <w:sz w:val="22"/>
                <w:szCs w:val="22"/>
                <w:color w:val="auto"/>
              </w:rPr>
            </w:pPr>
          </w:p>
        </w:tc>
        <w:tc>
          <w:tcPr>
            <w:tcW w:w="9020" w:type="dxa"/>
            <w:vAlign w:val="bottom"/>
          </w:tcPr>
          <w:p>
            <w:pPr>
              <w:ind w:left="580"/>
              <w:spacing w:after="0"/>
              <w:rPr>
                <w:sz w:val="20"/>
                <w:szCs w:val="20"/>
                <w:color w:val="auto"/>
              </w:rPr>
            </w:pPr>
            <w:r>
              <w:rPr>
                <w:rFonts w:ascii="Arial" w:cs="Arial" w:eastAsia="Arial" w:hAnsi="Arial"/>
                <w:sz w:val="19"/>
                <w:szCs w:val="19"/>
                <w:color w:val="auto"/>
              </w:rPr>
              <w:t>Form 8-K filed October 25, 2013).</w:t>
            </w:r>
          </w:p>
        </w:tc>
      </w:tr>
      <w:tr>
        <w:trPr>
          <w:trHeight w:val="356"/>
        </w:trPr>
        <w:tc>
          <w:tcPr>
            <w:tcW w:w="820" w:type="dxa"/>
            <w:vAlign w:val="bottom"/>
          </w:tcPr>
          <w:p>
            <w:pPr>
              <w:spacing w:after="0"/>
              <w:rPr>
                <w:sz w:val="20"/>
                <w:szCs w:val="20"/>
                <w:color w:val="auto"/>
              </w:rPr>
            </w:pPr>
            <w:r>
              <w:rPr>
                <w:rFonts w:ascii="Arial" w:cs="Arial" w:eastAsia="Arial" w:hAnsi="Arial"/>
                <w:sz w:val="19"/>
                <w:szCs w:val="19"/>
                <w:color w:val="auto"/>
              </w:rPr>
              <w:t>10.12**</w:t>
            </w:r>
          </w:p>
        </w:tc>
        <w:tc>
          <w:tcPr>
            <w:tcW w:w="9020" w:type="dxa"/>
            <w:vAlign w:val="bottom"/>
          </w:tcPr>
          <w:p>
            <w:pPr>
              <w:ind w:left="200"/>
              <w:spacing w:after="0"/>
              <w:rPr>
                <w:sz w:val="20"/>
                <w:szCs w:val="20"/>
                <w:color w:val="auto"/>
              </w:rPr>
            </w:pPr>
            <w:r>
              <w:rPr>
                <w:rFonts w:ascii="Arial" w:cs="Arial" w:eastAsia="Arial" w:hAnsi="Arial"/>
                <w:sz w:val="19"/>
                <w:szCs w:val="19"/>
                <w:color w:val="auto"/>
                <w:w w:val="93"/>
              </w:rPr>
              <w:t>—  Second Amended and Restated Employment Agreement dated effective October 1, 2018 between Plains All</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w w:val="99"/>
              </w:rPr>
              <w:t>American GP LLC and Greg L. Armstrong (incorporated by reference to Exhibit 10.6 to our Quarterly</w:t>
            </w:r>
          </w:p>
        </w:tc>
      </w:tr>
      <w:tr>
        <w:trPr>
          <w:trHeight w:val="254"/>
        </w:trPr>
        <w:tc>
          <w:tcPr>
            <w:tcW w:w="820" w:type="dxa"/>
            <w:vAlign w:val="bottom"/>
          </w:tcPr>
          <w:p>
            <w:pPr>
              <w:spacing w:after="0"/>
              <w:rPr>
                <w:sz w:val="22"/>
                <w:szCs w:val="22"/>
                <w:color w:val="auto"/>
              </w:rPr>
            </w:pPr>
          </w:p>
        </w:tc>
        <w:tc>
          <w:tcPr>
            <w:tcW w:w="9020" w:type="dxa"/>
            <w:vAlign w:val="bottom"/>
          </w:tcPr>
          <w:p>
            <w:pPr>
              <w:ind w:left="580"/>
              <w:spacing w:after="0"/>
              <w:rPr>
                <w:sz w:val="20"/>
                <w:szCs w:val="20"/>
                <w:color w:val="auto"/>
              </w:rPr>
            </w:pPr>
            <w:r>
              <w:rPr>
                <w:rFonts w:ascii="Arial" w:cs="Arial" w:eastAsia="Arial" w:hAnsi="Arial"/>
                <w:sz w:val="19"/>
                <w:szCs w:val="19"/>
                <w:color w:val="auto"/>
              </w:rPr>
              <w:t>Report on Form 10-Q for the quarter ended September 30, 2018).</w:t>
            </w:r>
          </w:p>
        </w:tc>
      </w:tr>
      <w:tr>
        <w:trPr>
          <w:trHeight w:val="356"/>
        </w:trPr>
        <w:tc>
          <w:tcPr>
            <w:tcW w:w="820" w:type="dxa"/>
            <w:vAlign w:val="bottom"/>
          </w:tcPr>
          <w:p>
            <w:pPr>
              <w:spacing w:after="0"/>
              <w:rPr>
                <w:sz w:val="20"/>
                <w:szCs w:val="20"/>
                <w:color w:val="auto"/>
              </w:rPr>
            </w:pPr>
            <w:r>
              <w:rPr>
                <w:rFonts w:ascii="Arial" w:cs="Arial" w:eastAsia="Arial" w:hAnsi="Arial"/>
                <w:sz w:val="19"/>
                <w:szCs w:val="19"/>
                <w:color w:val="auto"/>
              </w:rPr>
              <w:t>10.13**</w:t>
            </w:r>
          </w:p>
        </w:tc>
        <w:tc>
          <w:tcPr>
            <w:tcW w:w="9020" w:type="dxa"/>
            <w:vAlign w:val="bottom"/>
          </w:tcPr>
          <w:p>
            <w:pPr>
              <w:ind w:left="200"/>
              <w:spacing w:after="0"/>
              <w:rPr>
                <w:sz w:val="20"/>
                <w:szCs w:val="20"/>
                <w:color w:val="auto"/>
              </w:rPr>
            </w:pPr>
            <w:r>
              <w:rPr>
                <w:rFonts w:ascii="Arial" w:cs="Arial" w:eastAsia="Arial" w:hAnsi="Arial"/>
                <w:sz w:val="19"/>
                <w:szCs w:val="19"/>
                <w:color w:val="auto"/>
                <w:w w:val="95"/>
              </w:rPr>
              <w:t>—  Third Amended and Restated Employment Agreement dated effective January 1, 2020 between Plains All</w:t>
            </w:r>
          </w:p>
        </w:tc>
      </w:tr>
      <w:tr>
        <w:trPr>
          <w:trHeight w:val="195"/>
        </w:trPr>
        <w:tc>
          <w:tcPr>
            <w:tcW w:w="820" w:type="dxa"/>
            <w:vAlign w:val="bottom"/>
          </w:tcPr>
          <w:p>
            <w:pPr>
              <w:spacing w:after="0"/>
              <w:rPr>
                <w:sz w:val="16"/>
                <w:szCs w:val="16"/>
                <w:color w:val="auto"/>
              </w:rPr>
            </w:pPr>
          </w:p>
        </w:tc>
        <w:tc>
          <w:tcPr>
            <w:tcW w:w="9020" w:type="dxa"/>
            <w:vAlign w:val="bottom"/>
          </w:tcPr>
          <w:p>
            <w:pPr>
              <w:ind w:left="580"/>
              <w:spacing w:after="0" w:line="195" w:lineRule="exact"/>
              <w:rPr>
                <w:sz w:val="20"/>
                <w:szCs w:val="20"/>
                <w:color w:val="auto"/>
              </w:rPr>
            </w:pPr>
            <w:r>
              <w:rPr>
                <w:rFonts w:ascii="Arial" w:cs="Arial" w:eastAsia="Arial" w:hAnsi="Arial"/>
                <w:sz w:val="19"/>
                <w:szCs w:val="19"/>
                <w:color w:val="auto"/>
              </w:rPr>
              <w:t>American GP LLC and Greg L. Armstrong (incorporated by reference to Exhibit 10.31 to our Annual</w:t>
            </w:r>
          </w:p>
        </w:tc>
      </w:tr>
      <w:tr>
        <w:trPr>
          <w:trHeight w:val="254"/>
        </w:trPr>
        <w:tc>
          <w:tcPr>
            <w:tcW w:w="820" w:type="dxa"/>
            <w:vAlign w:val="bottom"/>
          </w:tcPr>
          <w:p>
            <w:pPr>
              <w:spacing w:after="0"/>
              <w:rPr>
                <w:sz w:val="22"/>
                <w:szCs w:val="22"/>
                <w:color w:val="auto"/>
              </w:rPr>
            </w:pPr>
          </w:p>
        </w:tc>
        <w:tc>
          <w:tcPr>
            <w:tcW w:w="9020" w:type="dxa"/>
            <w:vAlign w:val="bottom"/>
          </w:tcPr>
          <w:p>
            <w:pPr>
              <w:ind w:left="580"/>
              <w:spacing w:after="0"/>
              <w:rPr>
                <w:sz w:val="20"/>
                <w:szCs w:val="20"/>
                <w:color w:val="auto"/>
              </w:rPr>
            </w:pPr>
            <w:r>
              <w:rPr>
                <w:rFonts w:ascii="Arial" w:cs="Arial" w:eastAsia="Arial" w:hAnsi="Arial"/>
                <w:sz w:val="19"/>
                <w:szCs w:val="19"/>
                <w:color w:val="auto"/>
              </w:rPr>
              <w:t>Report on Form 10-K for the year ended December 31, 2019).</w:t>
            </w:r>
          </w:p>
        </w:tc>
      </w:tr>
    </w:tbl>
    <w:p>
      <w:pPr>
        <w:spacing w:after="0" w:line="200" w:lineRule="exact"/>
        <w:rPr>
          <w:sz w:val="20"/>
          <w:szCs w:val="20"/>
          <w:color w:val="auto"/>
        </w:rPr>
      </w:pPr>
    </w:p>
    <w:p>
      <w:pPr>
        <w:sectPr>
          <w:pgSz w:w="11880" w:h="15480" w:orient="portrait"/>
          <w:cols w:equalWidth="0" w:num="1">
            <w:col w:w="9840"/>
          </w:cols>
          <w:pgMar w:left="1000" w:top="726" w:right="1040"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99</w:t>
      </w:r>
    </w:p>
    <w:p>
      <w:pPr>
        <w:sectPr>
          <w:pgSz w:w="11880" w:h="15480" w:orient="portrait"/>
          <w:cols w:equalWidth="0" w:num="1">
            <w:col w:w="9840"/>
          </w:cols>
          <w:pgMar w:left="1000" w:top="726" w:right="1040" w:bottom="0" w:gutter="0" w:footer="0" w:header="0"/>
          <w:type w:val="continuous"/>
        </w:sectPr>
      </w:pPr>
    </w:p>
    <w:bookmarkStart w:id="99" w:name="page100"/>
    <w:bookmarkEnd w:id="99"/>
    <w:p>
      <w:pPr>
        <w:spacing w:after="0"/>
        <w:tabs>
          <w:tab w:leader="none" w:pos="1000" w:val="left"/>
          <w:tab w:leader="none" w:pos="1380" w:val="left"/>
        </w:tabs>
        <w:rPr>
          <w:sz w:val="20"/>
          <w:szCs w:val="20"/>
          <w:color w:val="auto"/>
        </w:rPr>
      </w:pPr>
      <w:r>
        <w:rPr>
          <w:rFonts w:ascii="Arial" w:cs="Arial" w:eastAsia="Arial" w:hAnsi="Arial"/>
          <w:sz w:val="19"/>
          <w:szCs w:val="19"/>
          <w:color w:val="auto"/>
        </w:rPr>
        <w:t>10.14**</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Amendment No. 1 to Third Amended and Restated Employment Agreement dated effective December 31,</w:t>
      </w:r>
    </w:p>
    <w:p>
      <w:pPr>
        <w:ind w:left="1400"/>
        <w:spacing w:after="0" w:line="226" w:lineRule="auto"/>
        <w:rPr>
          <w:sz w:val="20"/>
          <w:szCs w:val="20"/>
          <w:color w:val="auto"/>
        </w:rPr>
      </w:pPr>
      <w:r>
        <w:rPr>
          <w:rFonts w:ascii="Arial" w:cs="Arial" w:eastAsia="Arial" w:hAnsi="Arial"/>
          <w:sz w:val="18"/>
          <w:szCs w:val="18"/>
          <w:color w:val="auto"/>
        </w:rPr>
        <w:t>2021 between Plains All American GP LLC and Greg L. Armstrong (incorporated by reference to Exhibit</w:t>
      </w:r>
    </w:p>
    <w:p>
      <w:pPr>
        <w:ind w:left="1400"/>
        <w:spacing w:after="0"/>
        <w:rPr>
          <w:sz w:val="20"/>
          <w:szCs w:val="20"/>
          <w:color w:val="auto"/>
        </w:rPr>
      </w:pPr>
      <w:r>
        <w:rPr>
          <w:rFonts w:ascii="Arial" w:cs="Arial" w:eastAsia="Arial" w:hAnsi="Arial"/>
          <w:sz w:val="19"/>
          <w:szCs w:val="19"/>
          <w:color w:val="auto"/>
        </w:rPr>
        <w:t>10.12 to our Annual Report on Form 10-K for the year ended December 31, 2021).</w:t>
      </w:r>
    </w:p>
    <w:p>
      <w:pPr>
        <w:spacing w:after="0" w:line="232" w:lineRule="exact"/>
        <w:rPr>
          <w:sz w:val="20"/>
          <w:szCs w:val="20"/>
          <w:color w:val="auto"/>
        </w:rPr>
      </w:pPr>
    </w:p>
    <w:p>
      <w:pPr>
        <w:ind w:left="1020" w:right="80" w:hanging="1403"/>
        <w:spacing w:after="0" w:line="235" w:lineRule="auto"/>
        <w:tabs>
          <w:tab w:leader="none" w:pos="1000" w:val="left"/>
        </w:tabs>
        <w:rPr>
          <w:sz w:val="20"/>
          <w:szCs w:val="20"/>
          <w:color w:val="auto"/>
        </w:rPr>
      </w:pPr>
      <w:r>
        <w:rPr>
          <w:rFonts w:ascii="Arial" w:cs="Arial" w:eastAsia="Arial" w:hAnsi="Arial"/>
          <w:sz w:val="19"/>
          <w:szCs w:val="19"/>
          <w:color w:val="auto"/>
        </w:rPr>
        <w:t>10.15**</w:t>
      </w:r>
      <w:r>
        <w:rPr>
          <w:sz w:val="20"/>
          <w:szCs w:val="20"/>
          <w:color w:val="auto"/>
        </w:rPr>
        <w:tab/>
      </w:r>
      <w:r>
        <w:rPr>
          <w:rFonts w:ascii="Arial" w:cs="Arial" w:eastAsia="Arial" w:hAnsi="Arial"/>
          <w:sz w:val="19"/>
          <w:szCs w:val="19"/>
          <w:color w:val="auto"/>
        </w:rPr>
        <w:t>— Amended and Restated Employment Agreement between Plains All American GP LLC and Harry N. Pefanis dated as of June 30, 2001 (incorporated by reference to Exhibit 10.2 to PAA’s Quarterly Report on Form 10-Q for the quarter ended September 30, 2001).</w:t>
      </w:r>
    </w:p>
    <w:p>
      <w:pPr>
        <w:spacing w:after="0" w:line="162" w:lineRule="exact"/>
        <w:rPr>
          <w:sz w:val="20"/>
          <w:szCs w:val="20"/>
          <w:color w:val="auto"/>
        </w:rPr>
      </w:pPr>
    </w:p>
    <w:p>
      <w:pPr>
        <w:ind w:left="1020" w:right="200" w:hanging="1403"/>
        <w:spacing w:after="0" w:line="235" w:lineRule="auto"/>
        <w:tabs>
          <w:tab w:leader="none" w:pos="1000" w:val="left"/>
        </w:tabs>
        <w:rPr>
          <w:sz w:val="20"/>
          <w:szCs w:val="20"/>
          <w:color w:val="auto"/>
        </w:rPr>
      </w:pPr>
      <w:r>
        <w:rPr>
          <w:rFonts w:ascii="Arial" w:cs="Arial" w:eastAsia="Arial" w:hAnsi="Arial"/>
          <w:sz w:val="19"/>
          <w:szCs w:val="19"/>
          <w:color w:val="auto"/>
        </w:rPr>
        <w:t>10.16**</w:t>
      </w:r>
      <w:r>
        <w:rPr>
          <w:sz w:val="20"/>
          <w:szCs w:val="20"/>
          <w:color w:val="auto"/>
        </w:rPr>
        <w:tab/>
      </w:r>
      <w:r>
        <w:rPr>
          <w:rFonts w:ascii="Arial" w:cs="Arial" w:eastAsia="Arial" w:hAnsi="Arial"/>
          <w:sz w:val="19"/>
          <w:szCs w:val="19"/>
          <w:color w:val="auto"/>
        </w:rPr>
        <w:t>— First Amendment to Amended and Restated Employment Agreement dated December 4, 2008 between Plains All American GP LLC and Harry N. Pefanis (incorporated by reference to Exhibit 10.50 to PAA’s Annual Report on Form 10-K for the year ended December 31, 2008).</w:t>
      </w:r>
    </w:p>
    <w:p>
      <w:pPr>
        <w:spacing w:after="0" w:line="162" w:lineRule="exact"/>
        <w:rPr>
          <w:sz w:val="20"/>
          <w:szCs w:val="20"/>
          <w:color w:val="auto"/>
        </w:rPr>
      </w:pPr>
    </w:p>
    <w:p>
      <w:pPr>
        <w:ind w:left="1020" w:hanging="1403"/>
        <w:spacing w:after="0" w:line="243" w:lineRule="auto"/>
        <w:tabs>
          <w:tab w:leader="none" w:pos="1000" w:val="left"/>
        </w:tabs>
        <w:rPr>
          <w:sz w:val="20"/>
          <w:szCs w:val="20"/>
          <w:color w:val="auto"/>
        </w:rPr>
      </w:pPr>
      <w:r>
        <w:rPr>
          <w:rFonts w:ascii="Arial" w:cs="Arial" w:eastAsia="Arial" w:hAnsi="Arial"/>
          <w:sz w:val="19"/>
          <w:szCs w:val="19"/>
          <w:color w:val="auto"/>
        </w:rPr>
        <w:t>10.17**</w:t>
      </w:r>
      <w:r>
        <w:rPr>
          <w:sz w:val="20"/>
          <w:szCs w:val="20"/>
          <w:color w:val="auto"/>
        </w:rPr>
        <w:tab/>
      </w:r>
      <w:r>
        <w:rPr>
          <w:rFonts w:ascii="Arial" w:cs="Arial" w:eastAsia="Arial" w:hAnsi="Arial"/>
          <w:sz w:val="19"/>
          <w:szCs w:val="19"/>
          <w:color w:val="auto"/>
        </w:rPr>
        <w:t>— Amendment No. 2 dated August 15, 2019 to Harry Pefanis Amended and Restated Employment Agreement (incorporated by reference to Exhibit 10.1 to our Quarterly Report on Form 10-Q for the quarter ended September 30, 2019).</w:t>
      </w:r>
    </w:p>
    <w:p>
      <w:pPr>
        <w:spacing w:after="0" w:line="141" w:lineRule="exact"/>
        <w:rPr>
          <w:sz w:val="20"/>
          <w:szCs w:val="20"/>
          <w:color w:val="auto"/>
        </w:rPr>
      </w:pPr>
    </w:p>
    <w:p>
      <w:pPr>
        <w:jc w:val="both"/>
        <w:ind w:left="1020" w:right="320" w:hanging="1403"/>
        <w:spacing w:after="0" w:line="235" w:lineRule="auto"/>
        <w:tabs>
          <w:tab w:leader="none" w:pos="1000" w:val="left"/>
        </w:tabs>
        <w:rPr>
          <w:sz w:val="20"/>
          <w:szCs w:val="20"/>
          <w:color w:val="auto"/>
        </w:rPr>
      </w:pPr>
      <w:r>
        <w:rPr>
          <w:rFonts w:ascii="Arial" w:cs="Arial" w:eastAsia="Arial" w:hAnsi="Arial"/>
          <w:sz w:val="19"/>
          <w:szCs w:val="19"/>
          <w:color w:val="auto"/>
        </w:rPr>
        <w:t>10.18**</w:t>
      </w:r>
      <w:r>
        <w:rPr>
          <w:sz w:val="20"/>
          <w:szCs w:val="20"/>
          <w:color w:val="auto"/>
        </w:rPr>
        <w:tab/>
      </w:r>
      <w:r>
        <w:rPr>
          <w:rFonts w:ascii="Arial" w:cs="Arial" w:eastAsia="Arial" w:hAnsi="Arial"/>
          <w:sz w:val="19"/>
          <w:szCs w:val="19"/>
          <w:color w:val="auto"/>
        </w:rPr>
        <w:t>— Waiver Agreement dated as of December 23, 2010 between Plains All American GP LLC and Harry N. Pefanis (incorporated by reference to Exhibit 10.32 to PAA’s Annual Report on Form 10-K for the year ended December 31, 2010).</w:t>
      </w:r>
    </w:p>
    <w:p>
      <w:pPr>
        <w:spacing w:after="0" w:line="162" w:lineRule="exact"/>
        <w:rPr>
          <w:sz w:val="20"/>
          <w:szCs w:val="20"/>
          <w:color w:val="auto"/>
        </w:rPr>
      </w:pPr>
    </w:p>
    <w:p>
      <w:pPr>
        <w:ind w:left="1020" w:right="260" w:hanging="1403"/>
        <w:spacing w:after="0" w:line="235" w:lineRule="auto"/>
        <w:tabs>
          <w:tab w:leader="none" w:pos="1000" w:val="left"/>
        </w:tabs>
        <w:rPr>
          <w:sz w:val="20"/>
          <w:szCs w:val="20"/>
          <w:color w:val="auto"/>
        </w:rPr>
      </w:pPr>
      <w:r>
        <w:rPr>
          <w:rFonts w:ascii="Arial" w:cs="Arial" w:eastAsia="Arial" w:hAnsi="Arial"/>
          <w:sz w:val="19"/>
          <w:szCs w:val="19"/>
          <w:color w:val="auto"/>
        </w:rPr>
        <w:t>10.19**</w:t>
      </w:r>
      <w:r>
        <w:rPr>
          <w:sz w:val="20"/>
          <w:szCs w:val="20"/>
          <w:color w:val="auto"/>
        </w:rPr>
        <w:tab/>
      </w:r>
      <w:r>
        <w:rPr>
          <w:rFonts w:ascii="Arial" w:cs="Arial" w:eastAsia="Arial" w:hAnsi="Arial"/>
          <w:sz w:val="19"/>
          <w:szCs w:val="19"/>
          <w:color w:val="auto"/>
        </w:rPr>
        <w:t>— Waiver Agreement dated October 21, 2013 to the Amended and Restated Employment Agreement dated June 30, 2001 of Harry N. Pefanis (incorporated by reference to Exhibit 10.5 to our Current Report on Form 8-K filed October 25, 2013).</w:t>
      </w:r>
    </w:p>
    <w:p>
      <w:pPr>
        <w:spacing w:after="0" w:line="162" w:lineRule="exact"/>
        <w:rPr>
          <w:sz w:val="20"/>
          <w:szCs w:val="20"/>
          <w:color w:val="auto"/>
        </w:rPr>
      </w:pPr>
    </w:p>
    <w:p>
      <w:pPr>
        <w:jc w:val="both"/>
        <w:ind w:left="1020" w:right="380" w:hanging="1403"/>
        <w:spacing w:after="0" w:line="235" w:lineRule="auto"/>
        <w:tabs>
          <w:tab w:leader="none" w:pos="1000" w:val="left"/>
        </w:tabs>
        <w:rPr>
          <w:sz w:val="20"/>
          <w:szCs w:val="20"/>
          <w:color w:val="auto"/>
        </w:rPr>
      </w:pPr>
      <w:r>
        <w:rPr>
          <w:rFonts w:ascii="Arial" w:cs="Arial" w:eastAsia="Arial" w:hAnsi="Arial"/>
          <w:sz w:val="19"/>
          <w:szCs w:val="19"/>
          <w:color w:val="auto"/>
        </w:rPr>
        <w:t>10.20**</w:t>
      </w:r>
      <w:r>
        <w:rPr>
          <w:sz w:val="20"/>
          <w:szCs w:val="20"/>
          <w:color w:val="auto"/>
        </w:rPr>
        <w:tab/>
      </w:r>
      <w:r>
        <w:rPr>
          <w:rFonts w:ascii="Arial" w:cs="Arial" w:eastAsia="Arial" w:hAnsi="Arial"/>
          <w:sz w:val="19"/>
          <w:szCs w:val="19"/>
          <w:color w:val="auto"/>
        </w:rPr>
        <w:t>— Employment Agreement between Plains All American GP LLC and Willie Chiang dated July 10, 2015 (incorporated by reference to Exhibit 10.53 to PAA’s Annual Report on Form 10-K for the year ended December 31, 2015).</w:t>
      </w:r>
    </w:p>
    <w:p>
      <w:pPr>
        <w:spacing w:after="0" w:line="162" w:lineRule="exact"/>
        <w:rPr>
          <w:sz w:val="20"/>
          <w:szCs w:val="20"/>
          <w:color w:val="auto"/>
        </w:rPr>
      </w:pPr>
    </w:p>
    <w:p>
      <w:pPr>
        <w:ind w:left="1020" w:hanging="1403"/>
        <w:spacing w:after="0" w:line="235" w:lineRule="auto"/>
        <w:tabs>
          <w:tab w:leader="none" w:pos="1000" w:val="left"/>
        </w:tabs>
        <w:rPr>
          <w:sz w:val="20"/>
          <w:szCs w:val="20"/>
          <w:color w:val="auto"/>
        </w:rPr>
      </w:pPr>
      <w:r>
        <w:rPr>
          <w:rFonts w:ascii="Arial" w:cs="Arial" w:eastAsia="Arial" w:hAnsi="Arial"/>
          <w:sz w:val="19"/>
          <w:szCs w:val="19"/>
          <w:color w:val="auto"/>
        </w:rPr>
        <w:t>10.21**</w:t>
      </w:r>
      <w:r>
        <w:rPr>
          <w:sz w:val="20"/>
          <w:szCs w:val="20"/>
          <w:color w:val="auto"/>
        </w:rPr>
        <w:tab/>
      </w:r>
      <w:r>
        <w:rPr>
          <w:rFonts w:ascii="Arial" w:cs="Arial" w:eastAsia="Arial" w:hAnsi="Arial"/>
          <w:sz w:val="19"/>
          <w:szCs w:val="19"/>
          <w:color w:val="auto"/>
        </w:rPr>
        <w:t>— Amended and Restated Employment Agreement dated effective October 1, 2018 between Plains All American GP LLC and Willie Chiang (incorporated by reference to Exhibit 10.7 to our Quarterly Report on Form 10-Q for the quarter ended September 30, 2018).</w:t>
      </w:r>
    </w:p>
    <w:p>
      <w:pPr>
        <w:spacing w:after="0" w:line="162" w:lineRule="exact"/>
        <w:rPr>
          <w:sz w:val="20"/>
          <w:szCs w:val="20"/>
          <w:color w:val="auto"/>
        </w:rPr>
      </w:pPr>
    </w:p>
    <w:p>
      <w:pPr>
        <w:ind w:left="1020" w:right="120" w:hanging="1403"/>
        <w:spacing w:after="0" w:line="252" w:lineRule="auto"/>
        <w:tabs>
          <w:tab w:leader="none" w:pos="1000" w:val="left"/>
        </w:tabs>
        <w:rPr>
          <w:sz w:val="20"/>
          <w:szCs w:val="20"/>
          <w:color w:val="auto"/>
        </w:rPr>
      </w:pPr>
      <w:r>
        <w:rPr>
          <w:rFonts w:ascii="Arial" w:cs="Arial" w:eastAsia="Arial" w:hAnsi="Arial"/>
          <w:sz w:val="19"/>
          <w:szCs w:val="19"/>
          <w:color w:val="auto"/>
        </w:rPr>
        <w:t>10.22**</w:t>
      </w:r>
      <w:r>
        <w:rPr>
          <w:sz w:val="20"/>
          <w:szCs w:val="20"/>
          <w:color w:val="auto"/>
        </w:rPr>
        <w:tab/>
      </w:r>
      <w:r>
        <w:rPr>
          <w:rFonts w:ascii="Arial" w:cs="Arial" w:eastAsia="Arial" w:hAnsi="Arial"/>
          <w:sz w:val="19"/>
          <w:szCs w:val="19"/>
          <w:color w:val="auto"/>
        </w:rPr>
        <w:t>— LTIP Grant Letter dated August 16, 2018 (Willie Chiang) incorporated by reference to Exhibit 10.8 to our Quarterly Report on Form 10-Q for the quarter ended September 30, 2018).</w:t>
      </w:r>
    </w:p>
    <w:p>
      <w:pPr>
        <w:spacing w:after="0" w:line="141" w:lineRule="exact"/>
        <w:rPr>
          <w:sz w:val="20"/>
          <w:szCs w:val="20"/>
          <w:color w:val="auto"/>
        </w:rPr>
      </w:pPr>
    </w:p>
    <w:p>
      <w:pPr>
        <w:ind w:left="1020" w:right="360" w:hanging="1403"/>
        <w:spacing w:after="0" w:line="252" w:lineRule="auto"/>
        <w:tabs>
          <w:tab w:leader="none" w:pos="1000" w:val="left"/>
        </w:tabs>
        <w:rPr>
          <w:sz w:val="20"/>
          <w:szCs w:val="20"/>
          <w:color w:val="auto"/>
        </w:rPr>
      </w:pPr>
      <w:r>
        <w:rPr>
          <w:rFonts w:ascii="Arial" w:cs="Arial" w:eastAsia="Arial" w:hAnsi="Arial"/>
          <w:sz w:val="19"/>
          <w:szCs w:val="19"/>
          <w:color w:val="auto"/>
        </w:rPr>
        <w:t>10.23**</w:t>
      </w:r>
      <w:r>
        <w:rPr>
          <w:sz w:val="20"/>
          <w:szCs w:val="20"/>
          <w:color w:val="auto"/>
        </w:rPr>
        <w:tab/>
      </w:r>
      <w:r>
        <w:rPr>
          <w:rFonts w:ascii="Arial" w:cs="Arial" w:eastAsia="Arial" w:hAnsi="Arial"/>
          <w:sz w:val="19"/>
          <w:szCs w:val="19"/>
          <w:color w:val="auto"/>
        </w:rPr>
        <w:t>— Plains All American 2021 Long-Term Incentive Plan (incorporated by reference to Exhibit A to PAA’s Definitive Proxy Statement filed on April 12, 2021).</w:t>
      </w:r>
    </w:p>
    <w:p>
      <w:pPr>
        <w:spacing w:after="0" w:line="243" w:lineRule="exact"/>
        <w:rPr>
          <w:sz w:val="20"/>
          <w:szCs w:val="20"/>
          <w:color w:val="auto"/>
        </w:rPr>
      </w:pPr>
    </w:p>
    <w:p>
      <w:pPr>
        <w:ind w:left="1020" w:right="360" w:hanging="1403"/>
        <w:spacing w:after="0" w:line="252" w:lineRule="auto"/>
        <w:tabs>
          <w:tab w:leader="none" w:pos="1000" w:val="left"/>
        </w:tabs>
        <w:rPr>
          <w:sz w:val="20"/>
          <w:szCs w:val="20"/>
          <w:color w:val="auto"/>
        </w:rPr>
      </w:pPr>
      <w:r>
        <w:rPr>
          <w:rFonts w:ascii="Arial" w:cs="Arial" w:eastAsia="Arial" w:hAnsi="Arial"/>
          <w:sz w:val="19"/>
          <w:szCs w:val="19"/>
          <w:color w:val="auto"/>
        </w:rPr>
        <w:t>10.24**</w:t>
      </w:r>
      <w:r>
        <w:rPr>
          <w:sz w:val="20"/>
          <w:szCs w:val="20"/>
          <w:color w:val="auto"/>
        </w:rPr>
        <w:tab/>
      </w:r>
      <w:r>
        <w:rPr>
          <w:rFonts w:ascii="Arial" w:cs="Arial" w:eastAsia="Arial" w:hAnsi="Arial"/>
          <w:sz w:val="19"/>
          <w:szCs w:val="19"/>
          <w:color w:val="auto"/>
        </w:rPr>
        <w:t>— Plains All American 2013 Long-Term Incentive Plan (incorporated by reference to Exhibit A to PAA’s Definitive Proxy Statement filed on October 3, 2013).</w:t>
      </w:r>
    </w:p>
    <w:p>
      <w:pPr>
        <w:spacing w:after="0" w:line="243" w:lineRule="exact"/>
        <w:rPr>
          <w:sz w:val="20"/>
          <w:szCs w:val="20"/>
          <w:color w:val="auto"/>
        </w:rPr>
      </w:pPr>
    </w:p>
    <w:p>
      <w:pPr>
        <w:ind w:left="1020" w:hanging="1403"/>
        <w:spacing w:after="0" w:line="252" w:lineRule="auto"/>
        <w:tabs>
          <w:tab w:leader="none" w:pos="1000" w:val="left"/>
        </w:tabs>
        <w:rPr>
          <w:sz w:val="20"/>
          <w:szCs w:val="20"/>
          <w:color w:val="auto"/>
        </w:rPr>
      </w:pPr>
      <w:r>
        <w:rPr>
          <w:rFonts w:ascii="Arial" w:cs="Arial" w:eastAsia="Arial" w:hAnsi="Arial"/>
          <w:sz w:val="19"/>
          <w:szCs w:val="19"/>
          <w:color w:val="auto"/>
        </w:rPr>
        <w:t>10.25**</w:t>
      </w:r>
      <w:r>
        <w:rPr>
          <w:sz w:val="20"/>
          <w:szCs w:val="20"/>
          <w:color w:val="auto"/>
        </w:rPr>
        <w:tab/>
      </w:r>
      <w:r>
        <w:rPr>
          <w:rFonts w:ascii="Arial" w:cs="Arial" w:eastAsia="Arial" w:hAnsi="Arial"/>
          <w:sz w:val="19"/>
          <w:szCs w:val="19"/>
          <w:color w:val="auto"/>
        </w:rPr>
        <w:t>— Plains All American PNG Successor Long-Term Incentive Plan (incorporated by reference to Exhibit 4.4 to PAA’s Registration Statement on Form S-8 (333-193139) filed December 31, 2013).</w:t>
      </w:r>
    </w:p>
    <w:p>
      <w:pPr>
        <w:spacing w:after="0" w:line="243" w:lineRule="exact"/>
        <w:rPr>
          <w:sz w:val="20"/>
          <w:szCs w:val="20"/>
          <w:color w:val="auto"/>
        </w:rPr>
      </w:pPr>
    </w:p>
    <w:p>
      <w:pPr>
        <w:ind w:left="1020" w:right="80" w:hanging="1403"/>
        <w:spacing w:after="0" w:line="252" w:lineRule="auto"/>
        <w:tabs>
          <w:tab w:leader="none" w:pos="1000" w:val="left"/>
        </w:tabs>
        <w:rPr>
          <w:sz w:val="20"/>
          <w:szCs w:val="20"/>
          <w:color w:val="auto"/>
        </w:rPr>
      </w:pPr>
      <w:r>
        <w:rPr>
          <w:rFonts w:ascii="Arial" w:cs="Arial" w:eastAsia="Arial" w:hAnsi="Arial"/>
          <w:sz w:val="19"/>
          <w:szCs w:val="19"/>
          <w:color w:val="auto"/>
        </w:rPr>
        <w:t>10.26**</w:t>
      </w:r>
      <w:r>
        <w:rPr>
          <w:sz w:val="20"/>
          <w:szCs w:val="20"/>
          <w:color w:val="auto"/>
        </w:rPr>
        <w:tab/>
      </w:r>
      <w:r>
        <w:rPr>
          <w:rFonts w:ascii="Arial" w:cs="Arial" w:eastAsia="Arial" w:hAnsi="Arial"/>
          <w:sz w:val="19"/>
          <w:szCs w:val="19"/>
          <w:color w:val="auto"/>
        </w:rPr>
        <w:t>— PAA Natural Gas Storage, L.P. 2010 Long-Term Incentive Plan (incorporated by reference to Exhibit 10.2 to PNG’s Current Report on Form 8-K filed May 11, 2010).</w:t>
      </w:r>
    </w:p>
    <w:p>
      <w:pPr>
        <w:spacing w:after="0" w:line="243" w:lineRule="exact"/>
        <w:rPr>
          <w:sz w:val="20"/>
          <w:szCs w:val="20"/>
          <w:color w:val="auto"/>
        </w:rPr>
      </w:pPr>
    </w:p>
    <w:p>
      <w:pPr>
        <w:ind w:left="1020" w:right="520" w:hanging="1403"/>
        <w:spacing w:after="0" w:line="252" w:lineRule="auto"/>
        <w:tabs>
          <w:tab w:leader="none" w:pos="1000" w:val="left"/>
        </w:tabs>
        <w:rPr>
          <w:sz w:val="20"/>
          <w:szCs w:val="20"/>
          <w:color w:val="auto"/>
        </w:rPr>
      </w:pPr>
      <w:r>
        <w:rPr>
          <w:rFonts w:ascii="Arial" w:cs="Arial" w:eastAsia="Arial" w:hAnsi="Arial"/>
          <w:sz w:val="19"/>
          <w:szCs w:val="19"/>
          <w:color w:val="auto"/>
        </w:rPr>
        <w:t>10.27**</w:t>
      </w:r>
      <w:r>
        <w:rPr>
          <w:sz w:val="20"/>
          <w:szCs w:val="20"/>
          <w:color w:val="auto"/>
        </w:rPr>
        <w:tab/>
      </w:r>
      <w:r>
        <w:rPr>
          <w:rFonts w:ascii="Arial" w:cs="Arial" w:eastAsia="Arial" w:hAnsi="Arial"/>
          <w:sz w:val="19"/>
          <w:szCs w:val="19"/>
          <w:color w:val="auto"/>
        </w:rPr>
        <w:t>— Plains GP Holdings, L.P. Long Term Incentive Plan (incorporated by reference to Exhibit 10.3 to our Current Report on Form 8-K filed October 25, 2013).</w:t>
      </w:r>
    </w:p>
    <w:p>
      <w:pPr>
        <w:spacing w:after="0" w:line="243" w:lineRule="exact"/>
        <w:rPr>
          <w:sz w:val="20"/>
          <w:szCs w:val="20"/>
          <w:color w:val="auto"/>
        </w:rPr>
      </w:pPr>
    </w:p>
    <w:p>
      <w:pPr>
        <w:ind w:left="1020" w:right="140" w:hanging="1403"/>
        <w:spacing w:after="0" w:line="252" w:lineRule="auto"/>
        <w:tabs>
          <w:tab w:leader="none" w:pos="1000" w:val="left"/>
        </w:tabs>
        <w:rPr>
          <w:sz w:val="20"/>
          <w:szCs w:val="20"/>
          <w:color w:val="auto"/>
        </w:rPr>
      </w:pPr>
      <w:r>
        <w:rPr>
          <w:rFonts w:ascii="Arial" w:cs="Arial" w:eastAsia="Arial" w:hAnsi="Arial"/>
          <w:sz w:val="19"/>
          <w:szCs w:val="19"/>
          <w:color w:val="auto"/>
        </w:rPr>
        <w:t>10.28**</w:t>
      </w:r>
      <w:r>
        <w:rPr>
          <w:sz w:val="20"/>
          <w:szCs w:val="20"/>
          <w:color w:val="auto"/>
        </w:rPr>
        <w:tab/>
      </w:r>
      <w:r>
        <w:rPr>
          <w:rFonts w:ascii="Arial" w:cs="Arial" w:eastAsia="Arial" w:hAnsi="Arial"/>
          <w:sz w:val="19"/>
          <w:szCs w:val="19"/>
          <w:color w:val="auto"/>
        </w:rPr>
        <w:t>— Form of LTIP Grant Letter dated August 15, 2019 (Officers) (incorporated by reference to Exhibit 10.2 to our Quarterly Report on Form 10-Q for the quarter ended September 30, 2019).</w:t>
      </w:r>
    </w:p>
    <w:p>
      <w:pPr>
        <w:spacing w:after="0" w:line="141" w:lineRule="exact"/>
        <w:rPr>
          <w:sz w:val="20"/>
          <w:szCs w:val="20"/>
          <w:color w:val="auto"/>
        </w:rPr>
      </w:pPr>
    </w:p>
    <w:p>
      <w:pPr>
        <w:ind w:left="1020" w:right="60" w:hanging="1403"/>
        <w:spacing w:after="0" w:line="252" w:lineRule="auto"/>
        <w:tabs>
          <w:tab w:leader="none" w:pos="1000" w:val="left"/>
        </w:tabs>
        <w:rPr>
          <w:sz w:val="20"/>
          <w:szCs w:val="20"/>
          <w:color w:val="auto"/>
        </w:rPr>
      </w:pPr>
      <w:r>
        <w:rPr>
          <w:rFonts w:ascii="Arial" w:cs="Arial" w:eastAsia="Arial" w:hAnsi="Arial"/>
          <w:sz w:val="19"/>
          <w:szCs w:val="19"/>
          <w:color w:val="auto"/>
        </w:rPr>
        <w:t>10.29**</w:t>
      </w:r>
      <w:r>
        <w:rPr>
          <w:sz w:val="20"/>
          <w:szCs w:val="20"/>
          <w:color w:val="auto"/>
        </w:rPr>
        <w:tab/>
      </w:r>
      <w:r>
        <w:rPr>
          <w:rFonts w:ascii="Arial" w:cs="Arial" w:eastAsia="Arial" w:hAnsi="Arial"/>
          <w:sz w:val="19"/>
          <w:szCs w:val="19"/>
          <w:color w:val="auto"/>
        </w:rPr>
        <w:t>— Form of LTIP Grant Letter dated August 13, 2020 (Directors) (incorporated by reference to Exhibit 10.2 to our Quarterly Report on Form 10-Q for the quarter ended September 30, 2020).</w:t>
      </w:r>
    </w:p>
    <w:p>
      <w:pPr>
        <w:spacing w:after="0" w:line="170" w:lineRule="exact"/>
        <w:rPr>
          <w:sz w:val="20"/>
          <w:szCs w:val="20"/>
          <w:color w:val="auto"/>
        </w:rPr>
      </w:pPr>
    </w:p>
    <w:p>
      <w:pPr>
        <w:ind w:left="1020" w:right="440" w:hanging="1403"/>
        <w:spacing w:after="0" w:line="235" w:lineRule="auto"/>
        <w:tabs>
          <w:tab w:leader="none" w:pos="1000" w:val="left"/>
        </w:tabs>
        <w:rPr>
          <w:sz w:val="20"/>
          <w:szCs w:val="20"/>
          <w:color w:val="auto"/>
        </w:rPr>
      </w:pPr>
      <w:r>
        <w:rPr>
          <w:rFonts w:ascii="Arial" w:cs="Arial" w:eastAsia="Arial" w:hAnsi="Arial"/>
          <w:sz w:val="19"/>
          <w:szCs w:val="19"/>
          <w:color w:val="auto"/>
        </w:rPr>
        <w:t>10.30</w:t>
      </w:r>
      <w:r>
        <w:rPr>
          <w:sz w:val="20"/>
          <w:szCs w:val="20"/>
          <w:color w:val="auto"/>
        </w:rPr>
        <w:tab/>
      </w:r>
      <w:r>
        <w:rPr>
          <w:rFonts w:ascii="Arial" w:cs="Arial" w:eastAsia="Arial" w:hAnsi="Arial"/>
          <w:sz w:val="19"/>
          <w:szCs w:val="19"/>
          <w:color w:val="auto"/>
        </w:rPr>
        <w:t>— Contribution Agreement dated October 21, 2013, by and among Plains GP Holdings, L.P., PAA GP Holdings LLC and the other parties signatory thereto (incorporated by reference to Exhibit 10.2 to our Current Report on Form 8-K filed October 25, 2013).</w:t>
      </w:r>
    </w:p>
    <w:p>
      <w:pPr>
        <w:spacing w:after="0" w:line="162" w:lineRule="exact"/>
        <w:rPr>
          <w:sz w:val="20"/>
          <w:szCs w:val="20"/>
          <w:color w:val="auto"/>
        </w:rPr>
      </w:pPr>
    </w:p>
    <w:p>
      <w:pPr>
        <w:ind w:left="1020" w:right="500" w:hanging="1403"/>
        <w:spacing w:after="0" w:line="280" w:lineRule="auto"/>
        <w:tabs>
          <w:tab w:leader="none" w:pos="1000" w:val="left"/>
        </w:tabs>
        <w:rPr>
          <w:sz w:val="20"/>
          <w:szCs w:val="20"/>
          <w:color w:val="auto"/>
        </w:rPr>
      </w:pPr>
      <w:r>
        <w:rPr>
          <w:rFonts w:ascii="Arial" w:cs="Arial" w:eastAsia="Arial" w:hAnsi="Arial"/>
          <w:sz w:val="19"/>
          <w:szCs w:val="19"/>
          <w:color w:val="auto"/>
        </w:rPr>
        <w:t>10.31**</w:t>
      </w:r>
      <w:r>
        <w:rPr>
          <w:sz w:val="20"/>
          <w:szCs w:val="20"/>
          <w:color w:val="auto"/>
        </w:rPr>
        <w:tab/>
      </w:r>
      <w:r>
        <w:rPr>
          <w:rFonts w:ascii="Arial" w:cs="Arial" w:eastAsia="Arial" w:hAnsi="Arial"/>
          <w:sz w:val="18"/>
          <w:szCs w:val="18"/>
          <w:color w:val="auto"/>
        </w:rPr>
        <w:t>— Form of Special Retention LTIP Grant Letter dated November 20, 2019 (incorporated by reference to Exhibit 10.54 to our Annual Report on Form 10-K for the year ended December 31, 2020).</w:t>
      </w:r>
    </w:p>
    <w:p>
      <w:pPr>
        <w:sectPr>
          <w:pgSz w:w="11880" w:h="15480" w:orient="portrait"/>
          <w:cols w:equalWidth="0" w:num="1">
            <w:col w:w="9800"/>
          </w:cols>
          <w:pgMar w:left="1000" w:top="74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100</w:t>
      </w:r>
    </w:p>
    <w:p>
      <w:pPr>
        <w:sectPr>
          <w:pgSz w:w="11880" w:h="15480" w:orient="portrait"/>
          <w:cols w:equalWidth="0" w:num="1">
            <w:col w:w="9800"/>
          </w:cols>
          <w:pgMar w:left="1000" w:top="747" w:right="1080" w:bottom="0" w:gutter="0" w:footer="0" w:header="0"/>
          <w:type w:val="continuous"/>
        </w:sectPr>
      </w:pPr>
    </w:p>
    <w:bookmarkStart w:id="100" w:name="page101"/>
    <w:bookmarkEnd w:id="100"/>
    <w:p>
      <w:pPr>
        <w:ind w:left="1081" w:right="340" w:hanging="1403"/>
        <w:spacing w:after="0" w:line="235" w:lineRule="auto"/>
        <w:tabs>
          <w:tab w:leader="none" w:pos="1061" w:val="left"/>
        </w:tabs>
        <w:rPr>
          <w:sz w:val="20"/>
          <w:szCs w:val="20"/>
          <w:color w:val="auto"/>
        </w:rPr>
      </w:pPr>
      <w:r>
        <w:rPr>
          <w:rFonts w:ascii="Arial" w:cs="Arial" w:eastAsia="Arial" w:hAnsi="Arial"/>
          <w:sz w:val="19"/>
          <w:szCs w:val="19"/>
          <w:color w:val="auto"/>
        </w:rPr>
        <w:t>10.32**</w:t>
      </w:r>
      <w:r>
        <w:rPr>
          <w:sz w:val="20"/>
          <w:szCs w:val="20"/>
          <w:color w:val="auto"/>
        </w:rPr>
        <w:tab/>
      </w:r>
      <w:r>
        <w:rPr>
          <w:rFonts w:ascii="Arial" w:cs="Arial" w:eastAsia="Arial" w:hAnsi="Arial"/>
          <w:sz w:val="19"/>
          <w:szCs w:val="19"/>
          <w:color w:val="auto"/>
        </w:rPr>
        <w:t>— Form of Amended and Restated Special Retention LTIP Grant Letter Dated February 24, 2022 (incorporated by reference to Exhibit 10.1 to our Quarterly Report on Form 10-Q for the quarter ended March 31, 2022).</w:t>
      </w:r>
    </w:p>
    <w:p>
      <w:pPr>
        <w:spacing w:after="0" w:line="177" w:lineRule="exact"/>
        <w:rPr>
          <w:sz w:val="20"/>
          <w:szCs w:val="20"/>
          <w:color w:val="auto"/>
        </w:rPr>
      </w:pPr>
    </w:p>
    <w:p>
      <w:pPr>
        <w:ind w:left="1081" w:right="60" w:hanging="1403"/>
        <w:spacing w:after="0" w:line="280" w:lineRule="auto"/>
        <w:tabs>
          <w:tab w:leader="none" w:pos="1061" w:val="left"/>
        </w:tabs>
        <w:rPr>
          <w:sz w:val="20"/>
          <w:szCs w:val="20"/>
          <w:color w:val="auto"/>
        </w:rPr>
      </w:pPr>
      <w:r>
        <w:rPr>
          <w:rFonts w:ascii="Arial" w:cs="Arial" w:eastAsia="Arial" w:hAnsi="Arial"/>
          <w:sz w:val="19"/>
          <w:szCs w:val="19"/>
          <w:color w:val="auto"/>
        </w:rPr>
        <w:t>10.33**</w:t>
      </w:r>
      <w:r>
        <w:rPr>
          <w:sz w:val="20"/>
          <w:szCs w:val="20"/>
          <w:color w:val="auto"/>
        </w:rPr>
        <w:tab/>
      </w:r>
      <w:r>
        <w:rPr>
          <w:rFonts w:ascii="Arial" w:cs="Arial" w:eastAsia="Arial" w:hAnsi="Arial"/>
          <w:sz w:val="18"/>
          <w:szCs w:val="18"/>
          <w:color w:val="auto"/>
        </w:rPr>
        <w:t>— Form of LTIP Grant Letter dated August 19, 2021 (Named Executive Officers) (incorporated by reference to Exhibit 10.3 to our Quarterly Report on Form 10-Q for the quarter ended September 30, 2021).</w:t>
      </w:r>
    </w:p>
    <w:p>
      <w:pPr>
        <w:spacing w:after="0" w:line="146" w:lineRule="exact"/>
        <w:rPr>
          <w:sz w:val="20"/>
          <w:szCs w:val="20"/>
          <w:color w:val="auto"/>
        </w:rPr>
      </w:pPr>
    </w:p>
    <w:p>
      <w:pPr>
        <w:ind w:left="1081" w:hanging="1403"/>
        <w:spacing w:after="0" w:line="252" w:lineRule="auto"/>
        <w:tabs>
          <w:tab w:leader="none" w:pos="1061" w:val="left"/>
        </w:tabs>
        <w:rPr>
          <w:sz w:val="20"/>
          <w:szCs w:val="20"/>
          <w:color w:val="auto"/>
        </w:rPr>
      </w:pPr>
      <w:r>
        <w:rPr>
          <w:rFonts w:ascii="Arial" w:cs="Arial" w:eastAsia="Arial" w:hAnsi="Arial"/>
          <w:sz w:val="19"/>
          <w:szCs w:val="19"/>
          <w:color w:val="auto"/>
        </w:rPr>
        <w:t>10.34**</w:t>
      </w:r>
      <w:r>
        <w:rPr>
          <w:sz w:val="20"/>
          <w:szCs w:val="20"/>
          <w:color w:val="auto"/>
        </w:rPr>
        <w:tab/>
      </w:r>
      <w:r>
        <w:rPr>
          <w:rFonts w:ascii="Arial" w:cs="Arial" w:eastAsia="Arial" w:hAnsi="Arial"/>
          <w:sz w:val="19"/>
          <w:szCs w:val="19"/>
          <w:color w:val="auto"/>
        </w:rPr>
        <w:t>— Form of LTIP Grant Letter dated August 19, 2021 (Directors) (incorporated by reference to Exhibit 10.4 to our Quarterly Report on Form 10-Q for the quarter ended September 30, 2021).</w:t>
      </w:r>
    </w:p>
    <w:p>
      <w:pPr>
        <w:spacing w:after="0" w:line="170" w:lineRule="exact"/>
        <w:rPr>
          <w:sz w:val="20"/>
          <w:szCs w:val="20"/>
          <w:color w:val="auto"/>
        </w:rPr>
      </w:pPr>
    </w:p>
    <w:p>
      <w:pPr>
        <w:ind w:left="1081" w:right="60" w:hanging="1403"/>
        <w:spacing w:after="0" w:line="280" w:lineRule="auto"/>
        <w:tabs>
          <w:tab w:leader="none" w:pos="1061" w:val="left"/>
        </w:tabs>
        <w:rPr>
          <w:sz w:val="20"/>
          <w:szCs w:val="20"/>
          <w:color w:val="auto"/>
        </w:rPr>
      </w:pPr>
      <w:r>
        <w:rPr>
          <w:rFonts w:ascii="Arial" w:cs="Arial" w:eastAsia="Arial" w:hAnsi="Arial"/>
          <w:sz w:val="19"/>
          <w:szCs w:val="19"/>
          <w:color w:val="auto"/>
        </w:rPr>
        <w:t>10.35**</w:t>
      </w:r>
      <w:r>
        <w:rPr>
          <w:sz w:val="20"/>
          <w:szCs w:val="20"/>
          <w:color w:val="auto"/>
        </w:rPr>
        <w:tab/>
      </w:r>
      <w:r>
        <w:rPr>
          <w:rFonts w:ascii="Arial" w:cs="Arial" w:eastAsia="Arial" w:hAnsi="Arial"/>
          <w:sz w:val="18"/>
          <w:szCs w:val="18"/>
          <w:color w:val="auto"/>
        </w:rPr>
        <w:t>— Form of LTIP Grant Letter dated August 18, 2022 (Named Executive Officers) (incorporated by reference to Exhibit 10.4 to our Quarterly Report on Form 10-Q for the quarter ended September 30, 2022).</w:t>
      </w:r>
    </w:p>
    <w:p>
      <w:pPr>
        <w:spacing w:after="0" w:line="234" w:lineRule="exact"/>
        <w:rPr>
          <w:sz w:val="20"/>
          <w:szCs w:val="20"/>
          <w:color w:val="auto"/>
        </w:rPr>
      </w:pPr>
    </w:p>
    <w:p>
      <w:pPr>
        <w:ind w:left="1081" w:right="60" w:hanging="1403"/>
        <w:spacing w:after="0" w:line="280" w:lineRule="auto"/>
        <w:tabs>
          <w:tab w:leader="none" w:pos="1061" w:val="left"/>
        </w:tabs>
        <w:rPr>
          <w:sz w:val="20"/>
          <w:szCs w:val="20"/>
          <w:color w:val="auto"/>
        </w:rPr>
      </w:pPr>
      <w:r>
        <w:rPr>
          <w:rFonts w:ascii="Arial" w:cs="Arial" w:eastAsia="Arial" w:hAnsi="Arial"/>
          <w:sz w:val="19"/>
          <w:szCs w:val="19"/>
          <w:color w:val="auto"/>
        </w:rPr>
        <w:t>10.36**</w:t>
      </w:r>
      <w:r>
        <w:rPr>
          <w:sz w:val="20"/>
          <w:szCs w:val="20"/>
          <w:color w:val="auto"/>
        </w:rPr>
        <w:tab/>
      </w:r>
      <w:r>
        <w:rPr>
          <w:rFonts w:ascii="Arial" w:cs="Arial" w:eastAsia="Arial" w:hAnsi="Arial"/>
          <w:sz w:val="18"/>
          <w:szCs w:val="18"/>
          <w:color w:val="auto"/>
        </w:rPr>
        <w:t>— Form of LTIP Grant Letter dated August 17, 2023 (Named Executive Officers) (incorporated by reference to Exhibit 10.1 to our Quarterly Report on Form 10-Q for the quarter ended September 30, 2023).</w:t>
      </w:r>
    </w:p>
    <w:p>
      <w:pPr>
        <w:spacing w:after="0" w:line="146" w:lineRule="exact"/>
        <w:rPr>
          <w:sz w:val="20"/>
          <w:szCs w:val="20"/>
          <w:color w:val="auto"/>
        </w:rPr>
      </w:pPr>
    </w:p>
    <w:p>
      <w:pPr>
        <w:ind w:left="1081" w:hanging="1403"/>
        <w:spacing w:after="0" w:line="252" w:lineRule="auto"/>
        <w:tabs>
          <w:tab w:leader="none" w:pos="1061" w:val="left"/>
        </w:tabs>
        <w:rPr>
          <w:sz w:val="20"/>
          <w:szCs w:val="20"/>
          <w:color w:val="auto"/>
        </w:rPr>
      </w:pPr>
      <w:r>
        <w:rPr>
          <w:rFonts w:ascii="Arial" w:cs="Arial" w:eastAsia="Arial" w:hAnsi="Arial"/>
          <w:sz w:val="19"/>
          <w:szCs w:val="19"/>
          <w:color w:val="auto"/>
        </w:rPr>
        <w:t>10.37**</w:t>
      </w:r>
      <w:r>
        <w:rPr>
          <w:sz w:val="20"/>
          <w:szCs w:val="20"/>
          <w:color w:val="auto"/>
        </w:rPr>
        <w:tab/>
      </w:r>
      <w:r>
        <w:rPr>
          <w:rFonts w:ascii="Arial" w:cs="Arial" w:eastAsia="Arial" w:hAnsi="Arial"/>
          <w:sz w:val="19"/>
          <w:szCs w:val="19"/>
          <w:color w:val="auto"/>
        </w:rPr>
        <w:t>— Form of LTIP Grant Letter dated August 17, 2023 (Directors) (incorporated by reference to Exhibit 10.2 to our Quarterly Report on Form 10-Q for the quarter ended September 30, 2023).</w:t>
      </w:r>
    </w:p>
    <w:p>
      <w:pPr>
        <w:spacing w:after="0" w:line="170" w:lineRule="exact"/>
        <w:rPr>
          <w:sz w:val="20"/>
          <w:szCs w:val="20"/>
          <w:color w:val="auto"/>
        </w:rPr>
      </w:pPr>
    </w:p>
    <w:p>
      <w:pPr>
        <w:ind w:left="61"/>
        <w:spacing w:after="0"/>
        <w:tabs>
          <w:tab w:leader="none" w:pos="1061" w:val="left"/>
          <w:tab w:leader="none" w:pos="1441" w:val="left"/>
        </w:tabs>
        <w:rPr>
          <w:sz w:val="20"/>
          <w:szCs w:val="20"/>
          <w:color w:val="auto"/>
        </w:rPr>
      </w:pPr>
      <w:r>
        <w:rPr>
          <w:rFonts w:ascii="Arial" w:cs="Arial" w:eastAsia="Arial" w:hAnsi="Arial"/>
          <w:sz w:val="19"/>
          <w:szCs w:val="19"/>
          <w:color w:val="auto"/>
        </w:rPr>
        <w:t>21.1 †</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List of Subsidiaries of Plains GP Holdings, L.P.</w:t>
      </w:r>
    </w:p>
    <w:p>
      <w:pPr>
        <w:spacing w:after="0" w:line="191" w:lineRule="exact"/>
        <w:rPr>
          <w:sz w:val="20"/>
          <w:szCs w:val="20"/>
          <w:color w:val="auto"/>
        </w:rPr>
      </w:pPr>
    </w:p>
    <w:p>
      <w:pPr>
        <w:ind w:left="61"/>
        <w:spacing w:after="0"/>
        <w:tabs>
          <w:tab w:leader="none" w:pos="1061" w:val="left"/>
          <w:tab w:leader="none" w:pos="1441" w:val="left"/>
        </w:tabs>
        <w:rPr>
          <w:sz w:val="20"/>
          <w:szCs w:val="20"/>
          <w:color w:val="auto"/>
        </w:rPr>
      </w:pPr>
      <w:r>
        <w:rPr>
          <w:rFonts w:ascii="Arial" w:cs="Arial" w:eastAsia="Arial" w:hAnsi="Arial"/>
          <w:sz w:val="19"/>
          <w:szCs w:val="19"/>
          <w:color w:val="auto"/>
        </w:rPr>
        <w:t>23.1 †</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Consent of PricewaterhouseCoopers LLP.</w:t>
      </w:r>
    </w:p>
    <w:p>
      <w:pPr>
        <w:spacing w:after="0" w:line="191" w:lineRule="exact"/>
        <w:rPr>
          <w:sz w:val="20"/>
          <w:szCs w:val="20"/>
          <w:color w:val="auto"/>
        </w:rPr>
      </w:pPr>
    </w:p>
    <w:p>
      <w:pPr>
        <w:ind w:left="61"/>
        <w:spacing w:after="0"/>
        <w:tabs>
          <w:tab w:leader="none" w:pos="1061" w:val="left"/>
          <w:tab w:leader="none" w:pos="1441" w:val="left"/>
        </w:tabs>
        <w:rPr>
          <w:sz w:val="20"/>
          <w:szCs w:val="20"/>
          <w:color w:val="auto"/>
        </w:rPr>
      </w:pPr>
      <w:r>
        <w:rPr>
          <w:rFonts w:ascii="Arial" w:cs="Arial" w:eastAsia="Arial" w:hAnsi="Arial"/>
          <w:sz w:val="19"/>
          <w:szCs w:val="19"/>
          <w:color w:val="auto"/>
        </w:rPr>
        <w:t>31.1 †</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Certification of Principal Executive Officer pursuant to Exchange Act Rules 13a-14(a) and 15d-14(a).</w:t>
      </w:r>
    </w:p>
    <w:p>
      <w:pPr>
        <w:spacing w:after="0" w:line="191" w:lineRule="exact"/>
        <w:rPr>
          <w:sz w:val="20"/>
          <w:szCs w:val="20"/>
          <w:color w:val="auto"/>
        </w:rPr>
      </w:pPr>
    </w:p>
    <w:p>
      <w:pPr>
        <w:ind w:left="61"/>
        <w:spacing w:after="0"/>
        <w:tabs>
          <w:tab w:leader="none" w:pos="1061" w:val="left"/>
          <w:tab w:leader="none" w:pos="1441" w:val="left"/>
        </w:tabs>
        <w:rPr>
          <w:sz w:val="20"/>
          <w:szCs w:val="20"/>
          <w:color w:val="auto"/>
        </w:rPr>
      </w:pPr>
      <w:r>
        <w:rPr>
          <w:rFonts w:ascii="Arial" w:cs="Arial" w:eastAsia="Arial" w:hAnsi="Arial"/>
          <w:sz w:val="19"/>
          <w:szCs w:val="19"/>
          <w:color w:val="auto"/>
        </w:rPr>
        <w:t>31.2 †</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Certification of Principal Financial Officer pursuant to Exchange Act Rules 13a-14(a) and 15d-14(a).</w:t>
      </w:r>
    </w:p>
    <w:p>
      <w:pPr>
        <w:spacing w:after="0" w:line="191" w:lineRule="exact"/>
        <w:rPr>
          <w:sz w:val="20"/>
          <w:szCs w:val="20"/>
          <w:color w:val="auto"/>
        </w:rPr>
      </w:pPr>
    </w:p>
    <w:p>
      <w:pPr>
        <w:ind w:left="61"/>
        <w:spacing w:after="0"/>
        <w:tabs>
          <w:tab w:leader="none" w:pos="1061" w:val="left"/>
          <w:tab w:leader="none" w:pos="1441" w:val="left"/>
        </w:tabs>
        <w:rPr>
          <w:sz w:val="20"/>
          <w:szCs w:val="20"/>
          <w:color w:val="auto"/>
        </w:rPr>
      </w:pPr>
      <w:r>
        <w:rPr>
          <w:rFonts w:ascii="Arial" w:cs="Arial" w:eastAsia="Arial" w:hAnsi="Arial"/>
          <w:sz w:val="19"/>
          <w:szCs w:val="19"/>
          <w:color w:val="auto"/>
        </w:rPr>
        <w:t>32.1 ††</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8"/>
          <w:szCs w:val="18"/>
          <w:color w:val="auto"/>
        </w:rPr>
        <w:t>Certification of Principal Executive Officer pursuant to 18 U.S.C. 1350.</w:t>
      </w:r>
    </w:p>
    <w:p>
      <w:pPr>
        <w:spacing w:after="0" w:line="191" w:lineRule="exact"/>
        <w:rPr>
          <w:sz w:val="20"/>
          <w:szCs w:val="20"/>
          <w:color w:val="auto"/>
        </w:rPr>
      </w:pPr>
    </w:p>
    <w:p>
      <w:pPr>
        <w:ind w:left="61"/>
        <w:spacing w:after="0"/>
        <w:tabs>
          <w:tab w:leader="none" w:pos="1061" w:val="left"/>
          <w:tab w:leader="none" w:pos="1441" w:val="left"/>
        </w:tabs>
        <w:rPr>
          <w:sz w:val="20"/>
          <w:szCs w:val="20"/>
          <w:color w:val="auto"/>
        </w:rPr>
      </w:pPr>
      <w:r>
        <w:rPr>
          <w:rFonts w:ascii="Arial" w:cs="Arial" w:eastAsia="Arial" w:hAnsi="Arial"/>
          <w:sz w:val="19"/>
          <w:szCs w:val="19"/>
          <w:color w:val="auto"/>
        </w:rPr>
        <w:t>32.2 ††</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8"/>
          <w:szCs w:val="18"/>
          <w:color w:val="auto"/>
        </w:rPr>
        <w:t>Certification of Principal Financial Officer pursuant to 18 U.S.C. 1350.</w:t>
      </w:r>
    </w:p>
    <w:p>
      <w:pPr>
        <w:spacing w:after="0" w:line="191" w:lineRule="exact"/>
        <w:rPr>
          <w:sz w:val="20"/>
          <w:szCs w:val="20"/>
          <w:color w:val="auto"/>
        </w:rPr>
      </w:pPr>
    </w:p>
    <w:p>
      <w:pPr>
        <w:ind w:left="61"/>
        <w:spacing w:after="0"/>
        <w:tabs>
          <w:tab w:leader="none" w:pos="1061" w:val="left"/>
          <w:tab w:leader="none" w:pos="1441" w:val="left"/>
        </w:tabs>
        <w:rPr>
          <w:sz w:val="20"/>
          <w:szCs w:val="20"/>
          <w:color w:val="auto"/>
        </w:rPr>
      </w:pPr>
      <w:r>
        <w:rPr>
          <w:rFonts w:ascii="Arial" w:cs="Arial" w:eastAsia="Arial" w:hAnsi="Arial"/>
          <w:sz w:val="19"/>
          <w:szCs w:val="19"/>
          <w:color w:val="auto"/>
        </w:rPr>
        <w:t>97.1 †</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Amended and Restated Clawback Policy.</w:t>
      </w:r>
    </w:p>
    <w:p>
      <w:pPr>
        <w:spacing w:after="0" w:line="191" w:lineRule="exact"/>
        <w:rPr>
          <w:sz w:val="20"/>
          <w:szCs w:val="20"/>
          <w:color w:val="auto"/>
        </w:rPr>
      </w:pPr>
    </w:p>
    <w:p>
      <w:pPr>
        <w:ind w:left="1461" w:right="60" w:hanging="1410"/>
        <w:spacing w:after="0" w:line="252" w:lineRule="auto"/>
        <w:tabs>
          <w:tab w:leader="none" w:pos="447" w:val="left"/>
        </w:tabs>
        <w:numPr>
          <w:ilvl w:val="0"/>
          <w:numId w:val="60"/>
        </w:numPr>
        <w:rPr>
          <w:rFonts w:ascii="Arial" w:cs="Arial" w:eastAsia="Arial" w:hAnsi="Arial"/>
          <w:sz w:val="19"/>
          <w:szCs w:val="19"/>
          <w:color w:val="auto"/>
        </w:rPr>
      </w:pPr>
      <w:r>
        <w:rPr>
          <w:rFonts w:ascii="Arial" w:cs="Arial" w:eastAsia="Arial" w:hAnsi="Arial"/>
          <w:sz w:val="19"/>
          <w:szCs w:val="19"/>
          <w:color w:val="auto"/>
        </w:rPr>
        <w:t>INS† — XBRL Instance Document - the instance document does not appear in the Interactive Data File because its XBRL tags are embedded within the Inline XBRL document.</w:t>
      </w:r>
    </w:p>
    <w:p>
      <w:pPr>
        <w:spacing w:after="0" w:line="141" w:lineRule="exact"/>
        <w:rPr>
          <w:sz w:val="20"/>
          <w:szCs w:val="20"/>
          <w:color w:val="auto"/>
        </w:rPr>
      </w:pPr>
    </w:p>
    <w:p>
      <w:pPr>
        <w:ind w:left="61"/>
        <w:spacing w:after="0"/>
        <w:tabs>
          <w:tab w:leader="none" w:pos="1061" w:val="left"/>
          <w:tab w:leader="none" w:pos="1441" w:val="left"/>
        </w:tabs>
        <w:rPr>
          <w:sz w:val="20"/>
          <w:szCs w:val="20"/>
          <w:color w:val="auto"/>
        </w:rPr>
      </w:pPr>
      <w:r>
        <w:rPr>
          <w:rFonts w:ascii="Arial" w:cs="Arial" w:eastAsia="Arial" w:hAnsi="Arial"/>
          <w:sz w:val="19"/>
          <w:szCs w:val="19"/>
          <w:color w:val="auto"/>
        </w:rPr>
        <w:t>101.SCH†</w:t>
        <w:tab/>
        <w:t>—</w:t>
      </w:r>
      <w:r>
        <w:rPr>
          <w:sz w:val="20"/>
          <w:szCs w:val="20"/>
          <w:color w:val="auto"/>
        </w:rPr>
        <w:tab/>
      </w:r>
      <w:r>
        <w:rPr>
          <w:rFonts w:ascii="Arial" w:cs="Arial" w:eastAsia="Arial" w:hAnsi="Arial"/>
          <w:sz w:val="17"/>
          <w:szCs w:val="17"/>
          <w:color w:val="auto"/>
        </w:rPr>
        <w:t>Inline XBRL Taxonomy Extension Schema Document</w:t>
      </w:r>
    </w:p>
    <w:p>
      <w:pPr>
        <w:spacing w:after="0" w:line="191" w:lineRule="exact"/>
        <w:rPr>
          <w:sz w:val="20"/>
          <w:szCs w:val="20"/>
          <w:color w:val="auto"/>
        </w:rPr>
      </w:pPr>
    </w:p>
    <w:p>
      <w:pPr>
        <w:ind w:left="61"/>
        <w:spacing w:after="0"/>
        <w:tabs>
          <w:tab w:leader="none" w:pos="1061" w:val="left"/>
          <w:tab w:leader="none" w:pos="1441" w:val="left"/>
        </w:tabs>
        <w:rPr>
          <w:sz w:val="20"/>
          <w:szCs w:val="20"/>
          <w:color w:val="auto"/>
        </w:rPr>
      </w:pPr>
      <w:r>
        <w:rPr>
          <w:rFonts w:ascii="Arial" w:cs="Arial" w:eastAsia="Arial" w:hAnsi="Arial"/>
          <w:sz w:val="19"/>
          <w:szCs w:val="19"/>
          <w:color w:val="auto"/>
        </w:rPr>
        <w:t>101.CAL†</w:t>
        <w:tab/>
        <w:t>—</w:t>
      </w:r>
      <w:r>
        <w:rPr>
          <w:sz w:val="20"/>
          <w:szCs w:val="20"/>
          <w:color w:val="auto"/>
        </w:rPr>
        <w:tab/>
      </w:r>
      <w:r>
        <w:rPr>
          <w:rFonts w:ascii="Arial" w:cs="Arial" w:eastAsia="Arial" w:hAnsi="Arial"/>
          <w:sz w:val="18"/>
          <w:szCs w:val="18"/>
          <w:color w:val="auto"/>
        </w:rPr>
        <w:t>Inline XBRL Taxonomy Extension Calculation Linkbase Document</w:t>
      </w:r>
    </w:p>
    <w:p>
      <w:pPr>
        <w:spacing w:after="0" w:line="191" w:lineRule="exact"/>
        <w:rPr>
          <w:sz w:val="20"/>
          <w:szCs w:val="20"/>
          <w:color w:val="auto"/>
        </w:rPr>
      </w:pPr>
    </w:p>
    <w:p>
      <w:pPr>
        <w:ind w:left="61"/>
        <w:spacing w:after="0"/>
        <w:tabs>
          <w:tab w:leader="none" w:pos="1061" w:val="left"/>
          <w:tab w:leader="none" w:pos="1441" w:val="left"/>
        </w:tabs>
        <w:rPr>
          <w:sz w:val="20"/>
          <w:szCs w:val="20"/>
          <w:color w:val="auto"/>
        </w:rPr>
      </w:pPr>
      <w:r>
        <w:rPr>
          <w:rFonts w:ascii="Arial" w:cs="Arial" w:eastAsia="Arial" w:hAnsi="Arial"/>
          <w:sz w:val="19"/>
          <w:szCs w:val="19"/>
          <w:color w:val="auto"/>
        </w:rPr>
        <w:t>101.DEF†</w:t>
        <w:tab/>
        <w:t>—</w:t>
      </w:r>
      <w:r>
        <w:rPr>
          <w:sz w:val="20"/>
          <w:szCs w:val="20"/>
          <w:color w:val="auto"/>
        </w:rPr>
        <w:tab/>
      </w:r>
      <w:r>
        <w:rPr>
          <w:rFonts w:ascii="Arial" w:cs="Arial" w:eastAsia="Arial" w:hAnsi="Arial"/>
          <w:sz w:val="18"/>
          <w:szCs w:val="18"/>
          <w:color w:val="auto"/>
        </w:rPr>
        <w:t>Inline XBRL Taxonomy Extension Definition Linkbase Document</w:t>
      </w:r>
    </w:p>
    <w:p>
      <w:pPr>
        <w:spacing w:after="0" w:line="191" w:lineRule="exact"/>
        <w:rPr>
          <w:sz w:val="20"/>
          <w:szCs w:val="20"/>
          <w:color w:val="auto"/>
        </w:rPr>
      </w:pPr>
    </w:p>
    <w:p>
      <w:pPr>
        <w:ind w:left="61"/>
        <w:spacing w:after="0"/>
        <w:tabs>
          <w:tab w:leader="none" w:pos="1061" w:val="left"/>
          <w:tab w:leader="none" w:pos="1441" w:val="left"/>
        </w:tabs>
        <w:rPr>
          <w:sz w:val="20"/>
          <w:szCs w:val="20"/>
          <w:color w:val="auto"/>
        </w:rPr>
      </w:pPr>
      <w:r>
        <w:rPr>
          <w:rFonts w:ascii="Arial" w:cs="Arial" w:eastAsia="Arial" w:hAnsi="Arial"/>
          <w:sz w:val="19"/>
          <w:szCs w:val="19"/>
          <w:color w:val="auto"/>
        </w:rPr>
        <w:t>101.LAB†</w:t>
        <w:tab/>
        <w:t>—</w:t>
      </w:r>
      <w:r>
        <w:rPr>
          <w:sz w:val="20"/>
          <w:szCs w:val="20"/>
          <w:color w:val="auto"/>
        </w:rPr>
        <w:tab/>
      </w:r>
      <w:r>
        <w:rPr>
          <w:rFonts w:ascii="Arial" w:cs="Arial" w:eastAsia="Arial" w:hAnsi="Arial"/>
          <w:sz w:val="18"/>
          <w:szCs w:val="18"/>
          <w:color w:val="auto"/>
        </w:rPr>
        <w:t>Inline XBRL Taxonomy Extension Label Linkbase Document</w:t>
      </w:r>
    </w:p>
    <w:p>
      <w:pPr>
        <w:spacing w:after="0" w:line="191" w:lineRule="exact"/>
        <w:rPr>
          <w:sz w:val="20"/>
          <w:szCs w:val="20"/>
          <w:color w:val="auto"/>
        </w:rPr>
      </w:pPr>
    </w:p>
    <w:p>
      <w:pPr>
        <w:ind w:left="61"/>
        <w:spacing w:after="0"/>
        <w:tabs>
          <w:tab w:leader="none" w:pos="1061" w:val="left"/>
          <w:tab w:leader="none" w:pos="1441" w:val="left"/>
        </w:tabs>
        <w:rPr>
          <w:sz w:val="20"/>
          <w:szCs w:val="20"/>
          <w:color w:val="auto"/>
        </w:rPr>
      </w:pPr>
      <w:r>
        <w:rPr>
          <w:rFonts w:ascii="Arial" w:cs="Arial" w:eastAsia="Arial" w:hAnsi="Arial"/>
          <w:sz w:val="19"/>
          <w:szCs w:val="19"/>
          <w:color w:val="auto"/>
        </w:rPr>
        <w:t>101.PRE†</w:t>
        <w:tab/>
        <w:t>—</w:t>
      </w:r>
      <w:r>
        <w:rPr>
          <w:sz w:val="20"/>
          <w:szCs w:val="20"/>
          <w:color w:val="auto"/>
        </w:rPr>
        <w:tab/>
      </w:r>
      <w:r>
        <w:rPr>
          <w:rFonts w:ascii="Arial" w:cs="Arial" w:eastAsia="Arial" w:hAnsi="Arial"/>
          <w:sz w:val="17"/>
          <w:szCs w:val="17"/>
          <w:color w:val="auto"/>
        </w:rPr>
        <w:t>Inline XBRL Taxonomy Extension Presentation Linkbase Document</w:t>
      </w:r>
    </w:p>
    <w:p>
      <w:pPr>
        <w:spacing w:after="0" w:line="191" w:lineRule="exact"/>
        <w:rPr>
          <w:sz w:val="20"/>
          <w:szCs w:val="20"/>
          <w:color w:val="auto"/>
        </w:rPr>
      </w:pPr>
    </w:p>
    <w:p>
      <w:pPr>
        <w:ind w:left="61"/>
        <w:spacing w:after="0"/>
        <w:tabs>
          <w:tab w:leader="none" w:pos="1061" w:val="left"/>
          <w:tab w:leader="none" w:pos="1441" w:val="left"/>
        </w:tabs>
        <w:rPr>
          <w:sz w:val="20"/>
          <w:szCs w:val="20"/>
          <w:color w:val="auto"/>
        </w:rPr>
      </w:pPr>
      <w:r>
        <w:rPr>
          <w:rFonts w:ascii="Arial" w:cs="Arial" w:eastAsia="Arial" w:hAnsi="Arial"/>
          <w:sz w:val="19"/>
          <w:szCs w:val="19"/>
          <w:color w:val="auto"/>
        </w:rPr>
        <w:t>104†</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204279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27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5pt" to="160.85pt,11.55pt" o:allowincell="f" strokecolor="#000000" strokeweight="1pt"/>
            </w:pict>
          </mc:Fallback>
        </mc:AlternateContent>
      </w:r>
    </w:p>
    <w:p>
      <w:pPr>
        <w:spacing w:after="0" w:line="365" w:lineRule="exact"/>
        <w:rPr>
          <w:sz w:val="20"/>
          <w:szCs w:val="20"/>
          <w:color w:val="auto"/>
        </w:rPr>
      </w:pPr>
    </w:p>
    <w:p>
      <w:pPr>
        <w:ind w:left="361" w:hanging="361"/>
        <w:spacing w:after="0"/>
        <w:tabs>
          <w:tab w:leader="none" w:pos="361" w:val="left"/>
        </w:tabs>
        <w:numPr>
          <w:ilvl w:val="0"/>
          <w:numId w:val="61"/>
        </w:numPr>
        <w:rPr>
          <w:rFonts w:ascii="Arial" w:cs="Arial" w:eastAsia="Arial" w:hAnsi="Arial"/>
          <w:sz w:val="14"/>
          <w:szCs w:val="14"/>
          <w:color w:val="auto"/>
        </w:rPr>
      </w:pPr>
      <w:r>
        <w:rPr>
          <w:rFonts w:ascii="Arial" w:cs="Arial" w:eastAsia="Arial" w:hAnsi="Arial"/>
          <w:sz w:val="19"/>
          <w:szCs w:val="19"/>
          <w:color w:val="auto"/>
        </w:rPr>
        <w:t>Filed herewith.</w:t>
      </w:r>
    </w:p>
    <w:p>
      <w:pPr>
        <w:spacing w:after="0" w:line="132" w:lineRule="exact"/>
        <w:rPr>
          <w:sz w:val="20"/>
          <w:szCs w:val="20"/>
          <w:color w:val="auto"/>
        </w:rPr>
      </w:pPr>
    </w:p>
    <w:p>
      <w:pPr>
        <w:ind w:left="361" w:hanging="361"/>
        <w:spacing w:after="0"/>
        <w:tabs>
          <w:tab w:leader="none" w:pos="361" w:val="left"/>
        </w:tabs>
        <w:numPr>
          <w:ilvl w:val="0"/>
          <w:numId w:val="62"/>
        </w:numPr>
        <w:rPr>
          <w:rFonts w:ascii="Arial" w:cs="Arial" w:eastAsia="Arial" w:hAnsi="Arial"/>
          <w:sz w:val="14"/>
          <w:szCs w:val="14"/>
          <w:color w:val="auto"/>
        </w:rPr>
      </w:pPr>
      <w:r>
        <w:rPr>
          <w:rFonts w:ascii="Arial" w:cs="Arial" w:eastAsia="Arial" w:hAnsi="Arial"/>
          <w:sz w:val="19"/>
          <w:szCs w:val="19"/>
          <w:color w:val="auto"/>
        </w:rPr>
        <w:t>Furnished herewith.</w:t>
      </w:r>
    </w:p>
    <w:p>
      <w:pPr>
        <w:spacing w:after="0" w:line="132" w:lineRule="exact"/>
        <w:rPr>
          <w:sz w:val="20"/>
          <w:szCs w:val="20"/>
          <w:color w:val="auto"/>
        </w:rPr>
      </w:pPr>
    </w:p>
    <w:p>
      <w:pPr>
        <w:ind w:left="701" w:right="60" w:hanging="701"/>
        <w:spacing w:after="0" w:line="295" w:lineRule="auto"/>
        <w:tabs>
          <w:tab w:leader="none" w:pos="701" w:val="left"/>
        </w:tabs>
        <w:numPr>
          <w:ilvl w:val="0"/>
          <w:numId w:val="63"/>
        </w:numPr>
        <w:rPr>
          <w:rFonts w:ascii="Arial" w:cs="Arial" w:eastAsia="Arial" w:hAnsi="Arial"/>
          <w:sz w:val="19"/>
          <w:szCs w:val="19"/>
          <w:color w:val="auto"/>
        </w:rPr>
      </w:pPr>
      <w:r>
        <w:rPr>
          <w:rFonts w:ascii="Arial" w:cs="Arial" w:eastAsia="Arial" w:hAnsi="Arial"/>
          <w:sz w:val="19"/>
          <w:szCs w:val="19"/>
          <w:color w:val="auto"/>
        </w:rPr>
        <w:t>Certain schedules have been omitted pursuant to Item 601(b)(2) of Regulation S-K. A copy of any omitted schedule will be furnished supplementally to the SEC upon request.</w:t>
      </w:r>
    </w:p>
    <w:p>
      <w:pPr>
        <w:spacing w:after="0" w:line="48" w:lineRule="exact"/>
        <w:rPr>
          <w:sz w:val="20"/>
          <w:szCs w:val="20"/>
          <w:color w:val="auto"/>
        </w:rPr>
      </w:pPr>
    </w:p>
    <w:p>
      <w:pPr>
        <w:ind w:left="701" w:hanging="701"/>
        <w:spacing w:after="0"/>
        <w:tabs>
          <w:tab w:leader="none" w:pos="701" w:val="left"/>
        </w:tabs>
        <w:numPr>
          <w:ilvl w:val="0"/>
          <w:numId w:val="64"/>
        </w:numPr>
        <w:rPr>
          <w:rFonts w:ascii="Arial" w:cs="Arial" w:eastAsia="Arial" w:hAnsi="Arial"/>
          <w:sz w:val="19"/>
          <w:szCs w:val="19"/>
          <w:color w:val="auto"/>
        </w:rPr>
      </w:pPr>
      <w:r>
        <w:rPr>
          <w:rFonts w:ascii="Arial" w:cs="Arial" w:eastAsia="Arial" w:hAnsi="Arial"/>
          <w:sz w:val="19"/>
          <w:szCs w:val="19"/>
          <w:color w:val="auto"/>
        </w:rPr>
        <w:t>Management compensatory plan or arrangement.</w:t>
      </w:r>
    </w:p>
    <w:p>
      <w:pPr>
        <w:spacing w:after="0" w:line="242"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 xml:space="preserve">Item 16. </w:t>
      </w:r>
      <w:r>
        <w:rPr>
          <w:rFonts w:ascii="Arial" w:cs="Arial" w:eastAsia="Arial" w:hAnsi="Arial"/>
          <w:sz w:val="19"/>
          <w:szCs w:val="19"/>
          <w:b w:val="1"/>
          <w:bCs w:val="1"/>
          <w:i w:val="1"/>
          <w:iCs w:val="1"/>
          <w:color w:val="auto"/>
        </w:rPr>
        <w:t>Form 10-K Summary</w:t>
      </w:r>
    </w:p>
    <w:p>
      <w:pPr>
        <w:spacing w:after="0" w:line="257" w:lineRule="exact"/>
        <w:rPr>
          <w:sz w:val="20"/>
          <w:szCs w:val="20"/>
          <w:color w:val="auto"/>
        </w:rPr>
      </w:pPr>
    </w:p>
    <w:p>
      <w:pPr>
        <w:ind w:left="701"/>
        <w:spacing w:after="0"/>
        <w:rPr>
          <w:sz w:val="20"/>
          <w:szCs w:val="20"/>
          <w:color w:val="auto"/>
        </w:rPr>
      </w:pPr>
      <w:r>
        <w:rPr>
          <w:rFonts w:ascii="Arial" w:cs="Arial" w:eastAsia="Arial" w:hAnsi="Arial"/>
          <w:sz w:val="19"/>
          <w:szCs w:val="19"/>
          <w:color w:val="auto"/>
        </w:rPr>
        <w:t>None.</w:t>
      </w:r>
    </w:p>
    <w:p>
      <w:pPr>
        <w:sectPr>
          <w:pgSz w:w="11880" w:h="15480" w:orient="portrait"/>
          <w:cols w:equalWidth="0" w:num="1">
            <w:col w:w="9801"/>
          </w:cols>
          <w:pgMar w:left="939" w:top="749"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101</w:t>
      </w:r>
    </w:p>
    <w:p>
      <w:pPr>
        <w:sectPr>
          <w:pgSz w:w="11880" w:h="15480" w:orient="portrait"/>
          <w:cols w:equalWidth="0" w:num="1">
            <w:col w:w="9801"/>
          </w:cols>
          <w:pgMar w:left="939" w:top="749" w:right="1140" w:bottom="0" w:gutter="0" w:footer="0" w:header="0"/>
          <w:type w:val="continuous"/>
        </w:sectPr>
      </w:pPr>
    </w:p>
    <w:bookmarkStart w:id="101" w:name="page102"/>
    <w:bookmarkEnd w:id="101"/>
    <w:p>
      <w:pPr>
        <w:jc w:val="center"/>
        <w:ind w:right="-179"/>
        <w:spacing w:after="0"/>
        <w:rPr>
          <w:sz w:val="20"/>
          <w:szCs w:val="20"/>
          <w:color w:val="auto"/>
        </w:rPr>
      </w:pPr>
      <w:r>
        <w:rPr>
          <w:rFonts w:ascii="Arial" w:cs="Arial" w:eastAsia="Arial" w:hAnsi="Arial"/>
          <w:sz w:val="19"/>
          <w:szCs w:val="19"/>
          <w:b w:val="1"/>
          <w:bCs w:val="1"/>
          <w:color w:val="auto"/>
        </w:rPr>
        <w:t>SIGNATURES</w:t>
      </w:r>
    </w:p>
    <w:p>
      <w:pPr>
        <w:spacing w:after="0" w:line="257" w:lineRule="exact"/>
        <w:rPr>
          <w:sz w:val="20"/>
          <w:szCs w:val="20"/>
          <w:color w:val="auto"/>
        </w:rPr>
      </w:pPr>
    </w:p>
    <w:p>
      <w:pPr>
        <w:ind w:right="180" w:firstLine="702"/>
        <w:spacing w:after="0" w:line="295" w:lineRule="auto"/>
        <w:rPr>
          <w:sz w:val="20"/>
          <w:szCs w:val="20"/>
          <w:color w:val="auto"/>
        </w:rPr>
      </w:pPr>
      <w:r>
        <w:rPr>
          <w:rFonts w:ascii="Arial" w:cs="Arial" w:eastAsia="Arial" w:hAnsi="Arial"/>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231" w:lineRule="exact"/>
        <w:rPr>
          <w:sz w:val="20"/>
          <w:szCs w:val="20"/>
          <w:color w:val="auto"/>
        </w:rPr>
      </w:pPr>
    </w:p>
    <w:p>
      <w:pPr>
        <w:ind w:left="5020"/>
        <w:spacing w:after="0"/>
        <w:rPr>
          <w:sz w:val="20"/>
          <w:szCs w:val="20"/>
          <w:color w:val="auto"/>
        </w:rPr>
      </w:pPr>
      <w:r>
        <w:rPr>
          <w:rFonts w:ascii="Arial" w:cs="Arial" w:eastAsia="Arial" w:hAnsi="Arial"/>
          <w:sz w:val="19"/>
          <w:szCs w:val="19"/>
          <w:b w:val="1"/>
          <w:bCs w:val="1"/>
          <w:color w:val="auto"/>
        </w:rPr>
        <w:t>PLAINS GP HOLDINGS, L.P.</w:t>
      </w:r>
    </w:p>
    <w:p>
      <w:pPr>
        <w:spacing w:after="0" w:line="66"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By:  PAA GP HOLDINGS LLC,</w:t>
      </w:r>
    </w:p>
    <w:p>
      <w:pPr>
        <w:spacing w:after="0" w:line="72" w:lineRule="exact"/>
        <w:rPr>
          <w:sz w:val="20"/>
          <w:szCs w:val="20"/>
          <w:color w:val="auto"/>
        </w:rPr>
      </w:pPr>
    </w:p>
    <w:p>
      <w:pPr>
        <w:ind w:left="5420"/>
        <w:spacing w:after="0"/>
        <w:rPr>
          <w:sz w:val="20"/>
          <w:szCs w:val="20"/>
          <w:color w:val="auto"/>
        </w:rPr>
      </w:pPr>
      <w:r>
        <w:rPr>
          <w:rFonts w:ascii="Arial" w:cs="Arial" w:eastAsia="Arial" w:hAnsi="Arial"/>
          <w:sz w:val="19"/>
          <w:szCs w:val="19"/>
          <w:b w:val="1"/>
          <w:bCs w:val="1"/>
          <w:i w:val="1"/>
          <w:iCs w:val="1"/>
          <w:color w:val="auto"/>
        </w:rPr>
        <w:t>its general partner</w:t>
      </w:r>
    </w:p>
    <w:p>
      <w:pPr>
        <w:spacing w:after="0" w:line="310"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By:  /s/ Willie Chiang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3411220</wp:posOffset>
                </wp:positionH>
                <wp:positionV relativeFrom="paragraph">
                  <wp:posOffset>38735</wp:posOffset>
                </wp:positionV>
                <wp:extent cx="293433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343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6pt,3.05pt" to="499.65pt,3.05pt" o:allowincell="f" strokecolor="#000000" strokeweight="1pt"/>
            </w:pict>
          </mc:Fallback>
        </mc:AlternateContent>
      </w:r>
    </w:p>
    <w:p>
      <w:pPr>
        <w:spacing w:after="0" w:line="47" w:lineRule="exact"/>
        <w:rPr>
          <w:sz w:val="20"/>
          <w:szCs w:val="20"/>
          <w:color w:val="auto"/>
        </w:rPr>
      </w:pPr>
    </w:p>
    <w:p>
      <w:pPr>
        <w:ind w:left="5420"/>
        <w:spacing w:after="0"/>
        <w:rPr>
          <w:sz w:val="20"/>
          <w:szCs w:val="20"/>
          <w:color w:val="auto"/>
        </w:rPr>
      </w:pPr>
      <w:r>
        <w:rPr>
          <w:rFonts w:ascii="Arial" w:cs="Arial" w:eastAsia="Arial" w:hAnsi="Arial"/>
          <w:sz w:val="19"/>
          <w:szCs w:val="19"/>
          <w:b w:val="1"/>
          <w:bCs w:val="1"/>
          <w:color w:val="auto"/>
        </w:rPr>
        <w:t>Willie Chiang,</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9"/>
          <w:szCs w:val="19"/>
          <w:b w:val="1"/>
          <w:bCs w:val="1"/>
          <w:i w:val="1"/>
          <w:iCs w:val="1"/>
          <w:color w:val="auto"/>
        </w:rPr>
        <w:t>Chairman of the Board and Chief Executive Officer of</w:t>
      </w:r>
    </w:p>
    <w:p>
      <w:pPr>
        <w:spacing w:after="0" w:line="2" w:lineRule="exact"/>
        <w:rPr>
          <w:sz w:val="20"/>
          <w:szCs w:val="20"/>
          <w:color w:val="auto"/>
        </w:rPr>
      </w:pPr>
    </w:p>
    <w:p>
      <w:pPr>
        <w:ind w:left="5420"/>
        <w:spacing w:after="0"/>
        <w:rPr>
          <w:sz w:val="20"/>
          <w:szCs w:val="20"/>
          <w:color w:val="auto"/>
        </w:rPr>
      </w:pPr>
      <w:r>
        <w:rPr>
          <w:rFonts w:ascii="Arial" w:cs="Arial" w:eastAsia="Arial" w:hAnsi="Arial"/>
          <w:sz w:val="19"/>
          <w:szCs w:val="19"/>
          <w:b w:val="1"/>
          <w:bCs w:val="1"/>
          <w:i w:val="1"/>
          <w:iCs w:val="1"/>
          <w:color w:val="auto"/>
        </w:rPr>
        <w:t>PAA GP Holdings LLC</w:t>
      </w:r>
    </w:p>
    <w:p>
      <w:pPr>
        <w:spacing w:after="0" w:line="43" w:lineRule="exact"/>
        <w:rPr>
          <w:sz w:val="20"/>
          <w:szCs w:val="20"/>
          <w:color w:val="auto"/>
        </w:rPr>
      </w:pPr>
    </w:p>
    <w:p>
      <w:pPr>
        <w:ind w:left="5420"/>
        <w:spacing w:after="0"/>
        <w:rPr>
          <w:sz w:val="20"/>
          <w:szCs w:val="20"/>
          <w:color w:val="auto"/>
        </w:rPr>
      </w:pPr>
      <w:r>
        <w:rPr>
          <w:rFonts w:ascii="Arial" w:cs="Arial" w:eastAsia="Arial" w:hAnsi="Arial"/>
          <w:sz w:val="19"/>
          <w:szCs w:val="19"/>
          <w:b w:val="1"/>
          <w:bCs w:val="1"/>
          <w:i w:val="1"/>
          <w:iCs w:val="1"/>
          <w:color w:val="auto"/>
        </w:rPr>
        <w:t>(Principal Executive Officer)</w:t>
      </w:r>
    </w:p>
    <w:p>
      <w:pPr>
        <w:spacing w:after="0" w:line="300" w:lineRule="exact"/>
        <w:rPr>
          <w:sz w:val="20"/>
          <w:szCs w:val="20"/>
          <w:color w:val="auto"/>
        </w:rPr>
      </w:pPr>
    </w:p>
    <w:p>
      <w:pPr>
        <w:ind w:left="60"/>
        <w:spacing w:after="0"/>
        <w:rPr>
          <w:sz w:val="20"/>
          <w:szCs w:val="20"/>
          <w:color w:val="auto"/>
        </w:rPr>
      </w:pPr>
      <w:r>
        <w:rPr>
          <w:rFonts w:ascii="Arial" w:cs="Arial" w:eastAsia="Arial" w:hAnsi="Arial"/>
          <w:sz w:val="19"/>
          <w:szCs w:val="19"/>
          <w:color w:val="auto"/>
        </w:rPr>
        <w:t>February 28, 2024</w:t>
      </w:r>
    </w:p>
    <w:p>
      <w:pPr>
        <w:spacing w:after="0" w:line="366"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By:  /s/ Al Swanson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3411220</wp:posOffset>
                </wp:positionH>
                <wp:positionV relativeFrom="paragraph">
                  <wp:posOffset>38735</wp:posOffset>
                </wp:positionV>
                <wp:extent cx="293433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343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6pt,3.05pt" to="499.65pt,3.05pt" o:allowincell="f" strokecolor="#000000" strokeweight="1pt"/>
            </w:pict>
          </mc:Fallback>
        </mc:AlternateContent>
      </w:r>
    </w:p>
    <w:p>
      <w:pPr>
        <w:spacing w:after="0" w:line="47" w:lineRule="exact"/>
        <w:rPr>
          <w:sz w:val="20"/>
          <w:szCs w:val="20"/>
          <w:color w:val="auto"/>
        </w:rPr>
      </w:pPr>
    </w:p>
    <w:p>
      <w:pPr>
        <w:ind w:left="5420"/>
        <w:spacing w:after="0"/>
        <w:rPr>
          <w:sz w:val="20"/>
          <w:szCs w:val="20"/>
          <w:color w:val="auto"/>
        </w:rPr>
      </w:pPr>
      <w:r>
        <w:rPr>
          <w:rFonts w:ascii="Arial" w:cs="Arial" w:eastAsia="Arial" w:hAnsi="Arial"/>
          <w:sz w:val="19"/>
          <w:szCs w:val="19"/>
          <w:b w:val="1"/>
          <w:bCs w:val="1"/>
          <w:color w:val="auto"/>
        </w:rPr>
        <w:t>Al Swanson,</w:t>
      </w:r>
    </w:p>
    <w:p>
      <w:pPr>
        <w:spacing w:after="0" w:line="59" w:lineRule="exact"/>
        <w:rPr>
          <w:sz w:val="20"/>
          <w:szCs w:val="20"/>
          <w:color w:val="auto"/>
        </w:rPr>
      </w:pPr>
    </w:p>
    <w:p>
      <w:pPr>
        <w:ind w:left="5420"/>
        <w:spacing w:after="0"/>
        <w:rPr>
          <w:sz w:val="20"/>
          <w:szCs w:val="20"/>
          <w:color w:val="auto"/>
        </w:rPr>
      </w:pPr>
      <w:r>
        <w:rPr>
          <w:rFonts w:ascii="Arial" w:cs="Arial" w:eastAsia="Arial" w:hAnsi="Arial"/>
          <w:sz w:val="17"/>
          <w:szCs w:val="17"/>
          <w:b w:val="1"/>
          <w:bCs w:val="1"/>
          <w:i w:val="1"/>
          <w:iCs w:val="1"/>
          <w:color w:val="auto"/>
        </w:rPr>
        <w:t>Executive Vice President and Chief Financial Officer</w:t>
      </w:r>
    </w:p>
    <w:p>
      <w:pPr>
        <w:spacing w:after="0" w:line="82" w:lineRule="exact"/>
        <w:rPr>
          <w:sz w:val="20"/>
          <w:szCs w:val="20"/>
          <w:color w:val="auto"/>
        </w:rPr>
      </w:pPr>
    </w:p>
    <w:p>
      <w:pPr>
        <w:ind w:left="5420"/>
        <w:spacing w:after="0"/>
        <w:rPr>
          <w:sz w:val="20"/>
          <w:szCs w:val="20"/>
          <w:color w:val="auto"/>
        </w:rPr>
      </w:pPr>
      <w:r>
        <w:rPr>
          <w:rFonts w:ascii="Arial" w:cs="Arial" w:eastAsia="Arial" w:hAnsi="Arial"/>
          <w:sz w:val="19"/>
          <w:szCs w:val="19"/>
          <w:b w:val="1"/>
          <w:bCs w:val="1"/>
          <w:i w:val="1"/>
          <w:iCs w:val="1"/>
          <w:color w:val="auto"/>
        </w:rPr>
        <w:t>of PAA GP Holdings LLC</w:t>
      </w:r>
    </w:p>
    <w:p>
      <w:pPr>
        <w:spacing w:after="0" w:line="59" w:lineRule="exact"/>
        <w:rPr>
          <w:sz w:val="20"/>
          <w:szCs w:val="20"/>
          <w:color w:val="auto"/>
        </w:rPr>
      </w:pPr>
    </w:p>
    <w:p>
      <w:pPr>
        <w:ind w:left="5420"/>
        <w:spacing w:after="0"/>
        <w:rPr>
          <w:sz w:val="20"/>
          <w:szCs w:val="20"/>
          <w:color w:val="auto"/>
        </w:rPr>
      </w:pPr>
      <w:r>
        <w:rPr>
          <w:rFonts w:ascii="Arial" w:cs="Arial" w:eastAsia="Arial" w:hAnsi="Arial"/>
          <w:sz w:val="19"/>
          <w:szCs w:val="19"/>
          <w:b w:val="1"/>
          <w:bCs w:val="1"/>
          <w:i w:val="1"/>
          <w:iCs w:val="1"/>
          <w:color w:val="auto"/>
        </w:rPr>
        <w:t>(Principal Financial Officer)</w:t>
      </w:r>
    </w:p>
    <w:p>
      <w:pPr>
        <w:spacing w:after="0" w:line="300" w:lineRule="exact"/>
        <w:rPr>
          <w:sz w:val="20"/>
          <w:szCs w:val="20"/>
          <w:color w:val="auto"/>
        </w:rPr>
      </w:pPr>
    </w:p>
    <w:p>
      <w:pPr>
        <w:ind w:left="60"/>
        <w:spacing w:after="0"/>
        <w:rPr>
          <w:sz w:val="20"/>
          <w:szCs w:val="20"/>
          <w:color w:val="auto"/>
        </w:rPr>
      </w:pPr>
      <w:r>
        <w:rPr>
          <w:rFonts w:ascii="Arial" w:cs="Arial" w:eastAsia="Arial" w:hAnsi="Arial"/>
          <w:sz w:val="19"/>
          <w:szCs w:val="19"/>
          <w:color w:val="auto"/>
        </w:rPr>
        <w:t>February 28, 2024</w:t>
      </w:r>
    </w:p>
    <w:p>
      <w:pPr>
        <w:spacing w:after="0" w:line="366"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By:  /s/ Chris Herbold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3411220</wp:posOffset>
                </wp:positionH>
                <wp:positionV relativeFrom="paragraph">
                  <wp:posOffset>38735</wp:posOffset>
                </wp:positionV>
                <wp:extent cx="293433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343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6pt,3.05pt" to="499.65pt,3.05pt" o:allowincell="f" strokecolor="#000000" strokeweight="1pt"/>
            </w:pict>
          </mc:Fallback>
        </mc:AlternateContent>
      </w:r>
    </w:p>
    <w:p>
      <w:pPr>
        <w:spacing w:after="0" w:line="47" w:lineRule="exact"/>
        <w:rPr>
          <w:sz w:val="20"/>
          <w:szCs w:val="20"/>
          <w:color w:val="auto"/>
        </w:rPr>
      </w:pPr>
    </w:p>
    <w:p>
      <w:pPr>
        <w:ind w:left="5420"/>
        <w:spacing w:after="0"/>
        <w:rPr>
          <w:sz w:val="20"/>
          <w:szCs w:val="20"/>
          <w:color w:val="auto"/>
        </w:rPr>
      </w:pPr>
      <w:r>
        <w:rPr>
          <w:rFonts w:ascii="Arial" w:cs="Arial" w:eastAsia="Arial" w:hAnsi="Arial"/>
          <w:sz w:val="19"/>
          <w:szCs w:val="19"/>
          <w:b w:val="1"/>
          <w:bCs w:val="1"/>
          <w:color w:val="auto"/>
        </w:rPr>
        <w:t>Chris Herbold,</w:t>
      </w:r>
    </w:p>
    <w:p>
      <w:pPr>
        <w:spacing w:after="0" w:line="59" w:lineRule="exact"/>
        <w:rPr>
          <w:sz w:val="20"/>
          <w:szCs w:val="20"/>
          <w:color w:val="auto"/>
        </w:rPr>
      </w:pPr>
    </w:p>
    <w:p>
      <w:pPr>
        <w:ind w:left="5420"/>
        <w:spacing w:after="0"/>
        <w:rPr>
          <w:sz w:val="20"/>
          <w:szCs w:val="20"/>
          <w:color w:val="auto"/>
        </w:rPr>
      </w:pPr>
      <w:r>
        <w:rPr>
          <w:rFonts w:ascii="Arial" w:cs="Arial" w:eastAsia="Arial" w:hAnsi="Arial"/>
          <w:sz w:val="17"/>
          <w:szCs w:val="17"/>
          <w:b w:val="1"/>
          <w:bCs w:val="1"/>
          <w:i w:val="1"/>
          <w:iCs w:val="1"/>
          <w:color w:val="auto"/>
        </w:rPr>
        <w:t>Senior Vice President, Finance and Chief Accounting</w:t>
      </w:r>
    </w:p>
    <w:p>
      <w:pPr>
        <w:spacing w:after="0" w:line="26" w:lineRule="exact"/>
        <w:rPr>
          <w:sz w:val="20"/>
          <w:szCs w:val="20"/>
          <w:color w:val="auto"/>
        </w:rPr>
      </w:pPr>
    </w:p>
    <w:p>
      <w:pPr>
        <w:ind w:left="5420"/>
        <w:spacing w:after="0"/>
        <w:rPr>
          <w:sz w:val="20"/>
          <w:szCs w:val="20"/>
          <w:color w:val="auto"/>
        </w:rPr>
      </w:pPr>
      <w:r>
        <w:rPr>
          <w:rFonts w:ascii="Arial" w:cs="Arial" w:eastAsia="Arial" w:hAnsi="Arial"/>
          <w:sz w:val="19"/>
          <w:szCs w:val="19"/>
          <w:b w:val="1"/>
          <w:bCs w:val="1"/>
          <w:i w:val="1"/>
          <w:iCs w:val="1"/>
          <w:color w:val="auto"/>
        </w:rPr>
        <w:t>Officer of PAA GP Holdings LLC</w:t>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9"/>
          <w:szCs w:val="19"/>
          <w:b w:val="1"/>
          <w:bCs w:val="1"/>
          <w:i w:val="1"/>
          <w:iCs w:val="1"/>
          <w:color w:val="auto"/>
        </w:rPr>
        <w:t>(Principal Accounting Officer)</w:t>
      </w:r>
    </w:p>
    <w:p>
      <w:pPr>
        <w:spacing w:after="0" w:line="359" w:lineRule="exact"/>
        <w:rPr>
          <w:sz w:val="20"/>
          <w:szCs w:val="20"/>
          <w:color w:val="auto"/>
        </w:rPr>
      </w:pPr>
    </w:p>
    <w:p>
      <w:pPr>
        <w:ind w:left="60"/>
        <w:spacing w:after="0"/>
        <w:rPr>
          <w:sz w:val="20"/>
          <w:szCs w:val="20"/>
          <w:color w:val="auto"/>
        </w:rPr>
      </w:pPr>
      <w:r>
        <w:rPr>
          <w:rFonts w:ascii="Arial" w:cs="Arial" w:eastAsia="Arial" w:hAnsi="Arial"/>
          <w:sz w:val="19"/>
          <w:szCs w:val="19"/>
          <w:color w:val="auto"/>
        </w:rPr>
        <w:t>February 28, 2024</w:t>
      </w:r>
    </w:p>
    <w:p>
      <w:pPr>
        <w:sectPr>
          <w:pgSz w:w="11880" w:h="15480" w:orient="portrait"/>
          <w:cols w:equalWidth="0" w:num="1">
            <w:col w:w="9820"/>
          </w:cols>
          <w:pgMar w:left="940" w:top="669"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102</w:t>
      </w:r>
    </w:p>
    <w:p>
      <w:pPr>
        <w:sectPr>
          <w:pgSz w:w="11880" w:h="15480" w:orient="portrait"/>
          <w:cols w:equalWidth="0" w:num="1">
            <w:col w:w="9820"/>
          </w:cols>
          <w:pgMar w:left="940" w:top="669" w:right="1120" w:bottom="0" w:gutter="0" w:footer="0" w:header="0"/>
          <w:type w:val="continuous"/>
        </w:sectPr>
      </w:pPr>
    </w:p>
    <w:bookmarkStart w:id="102" w:name="page103"/>
    <w:bookmarkEnd w:id="102"/>
    <w:p>
      <w:pPr>
        <w:ind w:right="640" w:firstLine="702"/>
        <w:spacing w:after="0" w:line="295" w:lineRule="auto"/>
        <w:rPr>
          <w:sz w:val="20"/>
          <w:szCs w:val="20"/>
          <w:color w:val="auto"/>
        </w:rPr>
      </w:pPr>
      <w:r>
        <w:rPr>
          <w:rFonts w:ascii="Arial" w:cs="Arial" w:eastAsia="Arial" w:hAnsi="Arial"/>
          <w:sz w:val="19"/>
          <w:szCs w:val="19"/>
          <w:color w:val="auto"/>
        </w:rPr>
        <w:t>Pursuant to the requirements of the Securities Exchange Act of 1934, this report has been signed below by the following persons on behalf of the registrant and in the capacities and on the dates indicated.</w:t>
      </w:r>
    </w:p>
    <w:p>
      <w:pPr>
        <w:spacing w:after="0" w:line="252" w:lineRule="exact"/>
        <w:rPr>
          <w:sz w:val="20"/>
          <w:szCs w:val="20"/>
          <w:color w:val="auto"/>
        </w:rPr>
      </w:pPr>
    </w:p>
    <w:p>
      <w:pPr>
        <w:jc w:val="both"/>
        <w:ind w:left="980"/>
        <w:spacing w:after="0"/>
        <w:tabs>
          <w:tab w:leader="none" w:pos="5200" w:val="left"/>
          <w:tab w:leader="none" w:pos="9040" w:val="left"/>
        </w:tabs>
        <w:rPr>
          <w:sz w:val="20"/>
          <w:szCs w:val="20"/>
          <w:color w:val="auto"/>
        </w:rPr>
      </w:pPr>
      <w:r>
        <w:rPr>
          <w:rFonts w:ascii="Arial" w:cs="Arial" w:eastAsia="Arial" w:hAnsi="Arial"/>
          <w:sz w:val="16"/>
          <w:szCs w:val="16"/>
          <w:b w:val="1"/>
          <w:bCs w:val="1"/>
          <w:color w:val="auto"/>
        </w:rPr>
        <w:t>Name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23495</wp:posOffset>
                </wp:positionV>
                <wp:extent cx="147637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6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85pt" to="116.55pt,1.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1526540</wp:posOffset>
                </wp:positionH>
                <wp:positionV relativeFrom="paragraph">
                  <wp:posOffset>23495</wp:posOffset>
                </wp:positionV>
                <wp:extent cx="377888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788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0.2pt,1.85pt" to="417.75pt,1.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5351780</wp:posOffset>
                </wp:positionH>
                <wp:positionV relativeFrom="paragraph">
                  <wp:posOffset>23495</wp:posOffset>
                </wp:positionV>
                <wp:extent cx="99377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37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4pt,1.85pt" to="499.65pt,1.85pt" o:allowincell="f" strokecolor="#000000" strokeweight="1pt"/>
            </w:pict>
          </mc:Fallback>
        </mc:AlternateContent>
      </w:r>
    </w:p>
    <w:p>
      <w:pPr>
        <w:sectPr>
          <w:pgSz w:w="11880" w:h="15480" w:orient="portrait"/>
          <w:cols w:equalWidth="0" w:num="1">
            <w:col w:w="9920"/>
          </w:cols>
          <w:pgMar w:left="940" w:top="676" w:right="1020" w:bottom="0" w:gutter="0" w:footer="0" w:header="0"/>
        </w:sectPr>
      </w:pPr>
    </w:p>
    <w:p>
      <w:pPr>
        <w:spacing w:after="0" w:line="312"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/s/ Willie Chiang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30480</wp:posOffset>
                </wp:positionV>
                <wp:extent cx="147637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6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4pt" to="116.55pt,2.4pt" o:allowincell="f" strokecolor="#000000" strokeweight="1pt"/>
            </w:pict>
          </mc:Fallback>
        </mc:AlternateContent>
      </w:r>
    </w:p>
    <w:p>
      <w:pPr>
        <w:spacing w:after="0" w:line="54"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Willie Chiang</w:t>
      </w:r>
    </w:p>
    <w:p>
      <w:pPr>
        <w:spacing w:after="0" w:line="323"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/s/ Harry N. Pefanis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30480</wp:posOffset>
                </wp:positionV>
                <wp:extent cx="147637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6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4pt" to="116.55pt,2.4pt" o:allowincell="f" strokecolor="#000000" strokeweight="1pt"/>
            </w:pict>
          </mc:Fallback>
        </mc:AlternateContent>
      </w:r>
    </w:p>
    <w:p>
      <w:pPr>
        <w:spacing w:after="0" w:line="54"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Harry N. Pefanis</w:t>
      </w:r>
    </w:p>
    <w:p>
      <w:pPr>
        <w:spacing w:after="0" w:line="323"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/s/ Al Swanson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30480</wp:posOffset>
                </wp:positionV>
                <wp:extent cx="147637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6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4pt" to="116.55pt,2.4pt" o:allowincell="f" strokecolor="#000000" strokeweight="1pt"/>
            </w:pict>
          </mc:Fallback>
        </mc:AlternateContent>
      </w:r>
    </w:p>
    <w:p>
      <w:pPr>
        <w:spacing w:after="0" w:line="54"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Al Swanson</w:t>
      </w:r>
    </w:p>
    <w:p>
      <w:pPr>
        <w:spacing w:after="0" w:line="323"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/s/ Chris Herbold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30480</wp:posOffset>
                </wp:positionV>
                <wp:extent cx="147637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6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4pt" to="116.55pt,2.4pt" o:allowincell="f" strokecolor="#000000" strokeweight="1pt"/>
            </w:pict>
          </mc:Fallback>
        </mc:AlternateContent>
      </w:r>
    </w:p>
    <w:p>
      <w:pPr>
        <w:spacing w:after="0" w:line="54"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Chris Herbold</w:t>
      </w:r>
    </w:p>
    <w:p>
      <w:pPr>
        <w:spacing w:after="0" w:line="323"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/s/ Greg L. Armstrong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30480</wp:posOffset>
                </wp:positionV>
                <wp:extent cx="147637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6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4pt" to="116.55pt,2.4pt" o:allowincell="f" strokecolor="#000000" strokeweight="1pt"/>
            </w:pict>
          </mc:Fallback>
        </mc:AlternateContent>
      </w:r>
    </w:p>
    <w:p>
      <w:pPr>
        <w:spacing w:after="0" w:line="54"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Greg L. Armstrong</w:t>
      </w:r>
    </w:p>
    <w:p>
      <w:pPr>
        <w:spacing w:after="0" w:line="323"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/s/ Victor Burk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30480</wp:posOffset>
                </wp:positionV>
                <wp:extent cx="147637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6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4pt" to="116.55pt,2.4pt" o:allowincell="f" strokecolor="#000000" strokeweight="1pt"/>
            </w:pict>
          </mc:Fallback>
        </mc:AlternateContent>
      </w:r>
    </w:p>
    <w:p>
      <w:pPr>
        <w:spacing w:after="0" w:line="54"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Victor Burk</w:t>
      </w:r>
    </w:p>
    <w:p>
      <w:pPr>
        <w:spacing w:after="0" w:line="279"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/s/ Ellen R. DeSanctis</w:t>
      </w:r>
    </w:p>
    <w:p>
      <w:pPr>
        <w:spacing w:after="0" w:line="35"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Ellen R. DeSanctis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-130175</wp:posOffset>
                </wp:positionV>
                <wp:extent cx="147637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6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0.2499pt" to="116.55pt,-10.2499pt" o:allowincell="f" strokecolor="#000000" strokeweight="1pt"/>
            </w:pict>
          </mc:Fallback>
        </mc:AlternateContent>
      </w:r>
    </w:p>
    <w:p>
      <w:pPr>
        <w:spacing w:after="0" w:line="297"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/s/ Kevin McCarthy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30480</wp:posOffset>
                </wp:positionV>
                <wp:extent cx="147637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6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4pt" to="116.55pt,2.4pt" o:allowincell="f" strokecolor="#000000" strokeweight="1pt"/>
            </w:pict>
          </mc:Fallback>
        </mc:AlternateContent>
      </w:r>
    </w:p>
    <w:p>
      <w:pPr>
        <w:spacing w:after="0" w:line="54"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Kevin McCarthy</w:t>
      </w:r>
    </w:p>
    <w:p>
      <w:pPr>
        <w:spacing w:after="0" w:line="337"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/s/ Gary R. Petersen</w:t>
      </w:r>
    </w:p>
    <w:p>
      <w:pPr>
        <w:spacing w:after="0" w:line="35"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Gary R. Petersen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-130175</wp:posOffset>
                </wp:positionV>
                <wp:extent cx="147637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6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0.2499pt" to="116.55pt,-10.2499pt" o:allowincell="f" strokecolor="#000000" strokeweight="1pt"/>
            </w:pict>
          </mc:Fallback>
        </mc:AlternateContent>
      </w:r>
    </w:p>
    <w:p>
      <w:pPr>
        <w:spacing w:after="0" w:line="297"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/s/ Alexandra D. Pruner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30480</wp:posOffset>
                </wp:positionV>
                <wp:extent cx="147637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6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4pt" to="116.55pt,2.4pt" o:allowincell="f" strokecolor="#000000" strokeweight="1pt"/>
            </w:pict>
          </mc:Fallback>
        </mc:AlternateContent>
      </w:r>
    </w:p>
    <w:p>
      <w:pPr>
        <w:spacing w:after="0" w:line="54"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Alexandra D. Pruner</w:t>
      </w:r>
    </w:p>
    <w:p>
      <w:pPr>
        <w:spacing w:after="0" w:line="323"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/s/ John T. Raymond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30480</wp:posOffset>
                </wp:positionV>
                <wp:extent cx="147637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6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4pt" to="116.55pt,2.4pt" o:allowincell="f" strokecolor="#000000" strokeweight="1pt"/>
            </w:pict>
          </mc:Fallback>
        </mc:AlternateContent>
      </w:r>
    </w:p>
    <w:p>
      <w:pPr>
        <w:spacing w:after="0" w:line="54"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John T. Raymond</w:t>
      </w:r>
    </w:p>
    <w:p>
      <w:pPr>
        <w:spacing w:after="0" w:line="323"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/s/ Bobby S. Shackouls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30480</wp:posOffset>
                </wp:positionV>
                <wp:extent cx="147637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6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4pt" to="116.55pt,2.4pt" o:allowincell="f" strokecolor="#000000" strokeweight="1pt"/>
            </w:pict>
          </mc:Fallback>
        </mc:AlternateContent>
      </w:r>
    </w:p>
    <w:p>
      <w:pPr>
        <w:spacing w:after="0" w:line="54"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Bobby S. Shackouls</w:t>
      </w:r>
    </w:p>
    <w:p>
      <w:pPr>
        <w:spacing w:after="0" w:line="323" w:lineRule="exact"/>
        <w:rPr>
          <w:sz w:val="20"/>
          <w:szCs w:val="20"/>
          <w:color w:val="auto"/>
        </w:rPr>
      </w:pPr>
    </w:p>
    <w:p>
      <w:pPr>
        <w:jc w:val="center"/>
        <w:ind w:left="140"/>
        <w:spacing w:after="0" w:line="430" w:lineRule="auto"/>
        <w:rPr>
          <w:sz w:val="20"/>
          <w:szCs w:val="20"/>
          <w:color w:val="auto"/>
        </w:rPr>
      </w:pPr>
      <w:r>
        <w:rPr>
          <w:rFonts w:ascii="Arial" w:cs="Arial" w:eastAsia="Arial" w:hAnsi="Arial"/>
          <w:sz w:val="17"/>
          <w:szCs w:val="17"/>
          <w:color w:val="auto"/>
        </w:rPr>
        <w:t>/s/ Christopher M. Temple Christopher M. Temple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-274955</wp:posOffset>
                </wp:positionV>
                <wp:extent cx="147637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6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1.6499pt" to="116.55pt,-21.6499pt" o:allowincell="f" strokecolor="#000000" strokeweight="1pt"/>
            </w:pict>
          </mc:Fallback>
        </mc:AlternateContent>
      </w:r>
    </w:p>
    <w:p>
      <w:pPr>
        <w:spacing w:after="0" w:line="157"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/s/ Lawrence M. Ziemba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30480</wp:posOffset>
                </wp:positionV>
                <wp:extent cx="147637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6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4pt" to="116.55pt,2.4pt" o:allowincell="f" strokecolor="#000000" strokeweight="1pt"/>
            </w:pict>
          </mc:Fallback>
        </mc:AlternateContent>
      </w:r>
    </w:p>
    <w:p>
      <w:pPr>
        <w:spacing w:after="0" w:line="54" w:lineRule="exact"/>
        <w:rPr>
          <w:sz w:val="20"/>
          <w:szCs w:val="20"/>
          <w:color w:val="auto"/>
        </w:rPr>
      </w:pPr>
    </w:p>
    <w:p>
      <w:pPr>
        <w:jc w:val="center"/>
        <w:ind w:left="140"/>
        <w:spacing w:after="0"/>
        <w:rPr>
          <w:sz w:val="20"/>
          <w:szCs w:val="20"/>
          <w:color w:val="auto"/>
        </w:rPr>
      </w:pPr>
      <w:r>
        <w:rPr>
          <w:rFonts w:ascii="Arial" w:cs="Arial" w:eastAsia="Arial" w:hAnsi="Arial"/>
          <w:sz w:val="19"/>
          <w:szCs w:val="19"/>
          <w:color w:val="auto"/>
        </w:rPr>
        <w:t>Lawrence M. Ziemba</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Chairman of the Board and Chief Executive Officer of PAA GP Holdings February 28, 2024 LLC (Principal Executive Officer)</w:t>
      </w:r>
    </w:p>
    <w:p>
      <w:pPr>
        <w:spacing w:after="0" w:line="375" w:lineRule="exact"/>
        <w:rPr>
          <w:sz w:val="20"/>
          <w:szCs w:val="20"/>
          <w:color w:val="auto"/>
        </w:rPr>
      </w:pPr>
    </w:p>
    <w:p>
      <w:pPr>
        <w:spacing w:after="0"/>
        <w:tabs>
          <w:tab w:leader="none" w:pos="6000" w:val="left"/>
        </w:tabs>
        <w:rPr>
          <w:sz w:val="20"/>
          <w:szCs w:val="20"/>
          <w:color w:val="auto"/>
        </w:rPr>
      </w:pPr>
      <w:r>
        <w:rPr>
          <w:rFonts w:ascii="Arial" w:cs="Arial" w:eastAsia="Arial" w:hAnsi="Arial"/>
          <w:sz w:val="19"/>
          <w:szCs w:val="19"/>
          <w:color w:val="auto"/>
        </w:rPr>
        <w:t>Director and President of PAA GP Holdings LLC</w:t>
      </w:r>
      <w:r>
        <w:rPr>
          <w:sz w:val="20"/>
          <w:szCs w:val="20"/>
          <w:color w:val="auto"/>
        </w:rPr>
        <w:tab/>
      </w:r>
      <w:r>
        <w:rPr>
          <w:rFonts w:ascii="Arial" w:cs="Arial" w:eastAsia="Arial" w:hAnsi="Arial"/>
          <w:sz w:val="17"/>
          <w:szCs w:val="17"/>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6000" w:val="left"/>
        </w:tabs>
        <w:rPr>
          <w:sz w:val="20"/>
          <w:szCs w:val="20"/>
          <w:color w:val="auto"/>
        </w:rPr>
      </w:pPr>
      <w:r>
        <w:rPr>
          <w:rFonts w:ascii="Arial" w:cs="Arial" w:eastAsia="Arial" w:hAnsi="Arial"/>
          <w:sz w:val="19"/>
          <w:szCs w:val="19"/>
          <w:color w:val="auto"/>
        </w:rPr>
        <w:t>Executive Vice President and Chief Financial Officer of PAA GP</w:t>
      </w:r>
      <w:r>
        <w:rPr>
          <w:sz w:val="20"/>
          <w:szCs w:val="20"/>
          <w:color w:val="auto"/>
        </w:rPr>
        <w:tab/>
      </w:r>
      <w:r>
        <w:rPr>
          <w:rFonts w:ascii="Arial" w:cs="Arial" w:eastAsia="Arial" w:hAnsi="Arial"/>
          <w:sz w:val="17"/>
          <w:szCs w:val="17"/>
          <w:color w:val="auto"/>
        </w:rPr>
        <w:t>February 28, 2024</w:t>
      </w:r>
    </w:p>
    <w:p>
      <w:pPr>
        <w:spacing w:after="0"/>
        <w:rPr>
          <w:sz w:val="20"/>
          <w:szCs w:val="20"/>
          <w:color w:val="auto"/>
        </w:rPr>
      </w:pPr>
      <w:r>
        <w:rPr>
          <w:rFonts w:ascii="Arial" w:cs="Arial" w:eastAsia="Arial" w:hAnsi="Arial"/>
          <w:sz w:val="19"/>
          <w:szCs w:val="19"/>
          <w:color w:val="auto"/>
        </w:rPr>
        <w:t>Holdings LLC (Principal Financial Officer)</w:t>
      </w:r>
    </w:p>
    <w:p>
      <w:pPr>
        <w:spacing w:after="0" w:line="398"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Senior Vice President, Finance and Chief Accounting Officer of PAA GP February 28, 2024 Holdings LLC (Principal Accounting Officer)</w:t>
      </w:r>
    </w:p>
    <w:p>
      <w:pPr>
        <w:spacing w:after="0" w:line="375" w:lineRule="exact"/>
        <w:rPr>
          <w:sz w:val="20"/>
          <w:szCs w:val="20"/>
          <w:color w:val="auto"/>
        </w:rPr>
      </w:pPr>
    </w:p>
    <w:p>
      <w:pPr>
        <w:spacing w:after="0"/>
        <w:tabs>
          <w:tab w:leader="none" w:pos="600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600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600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28, 2024</w:t>
      </w:r>
    </w:p>
    <w:p>
      <w:pPr>
        <w:spacing w:after="0" w:line="200" w:lineRule="exact"/>
        <w:rPr>
          <w:sz w:val="20"/>
          <w:szCs w:val="20"/>
          <w:color w:val="auto"/>
        </w:rPr>
      </w:pPr>
    </w:p>
    <w:p>
      <w:pPr>
        <w:spacing w:after="0" w:line="327" w:lineRule="exact"/>
        <w:rPr>
          <w:sz w:val="20"/>
          <w:szCs w:val="20"/>
          <w:color w:val="auto"/>
        </w:rPr>
      </w:pPr>
    </w:p>
    <w:p>
      <w:pPr>
        <w:spacing w:after="0"/>
        <w:tabs>
          <w:tab w:leader="none" w:pos="600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600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28, 2024</w:t>
      </w:r>
    </w:p>
    <w:p>
      <w:pPr>
        <w:spacing w:after="0" w:line="200" w:lineRule="exact"/>
        <w:rPr>
          <w:sz w:val="20"/>
          <w:szCs w:val="20"/>
          <w:color w:val="auto"/>
        </w:rPr>
      </w:pPr>
    </w:p>
    <w:p>
      <w:pPr>
        <w:spacing w:after="0" w:line="327" w:lineRule="exact"/>
        <w:rPr>
          <w:sz w:val="20"/>
          <w:szCs w:val="20"/>
          <w:color w:val="auto"/>
        </w:rPr>
      </w:pPr>
    </w:p>
    <w:p>
      <w:pPr>
        <w:spacing w:after="0"/>
        <w:tabs>
          <w:tab w:leader="none" w:pos="600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600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600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600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6000" w:val="left"/>
        </w:tabs>
        <w:rPr>
          <w:sz w:val="20"/>
          <w:szCs w:val="20"/>
          <w:color w:val="auto"/>
        </w:rPr>
      </w:pPr>
      <w:r>
        <w:rPr>
          <w:rFonts w:ascii="Arial" w:cs="Arial" w:eastAsia="Arial" w:hAnsi="Arial"/>
          <w:sz w:val="19"/>
          <w:szCs w:val="19"/>
          <w:color w:val="auto"/>
        </w:rPr>
        <w:t>Director of PAA GP Holdings LLC</w:t>
      </w:r>
      <w:r>
        <w:rPr>
          <w:sz w:val="20"/>
          <w:szCs w:val="20"/>
          <w:color w:val="auto"/>
        </w:rPr>
        <w:tab/>
      </w:r>
      <w:r>
        <w:rPr>
          <w:rFonts w:ascii="Arial" w:cs="Arial" w:eastAsia="Arial" w:hAnsi="Arial"/>
          <w:sz w:val="17"/>
          <w:szCs w:val="17"/>
          <w:color w:val="auto"/>
        </w:rPr>
        <w:t>February 28, 2024</w:t>
      </w:r>
    </w:p>
    <w:p>
      <w:pPr>
        <w:spacing w:after="0" w:line="505" w:lineRule="exact"/>
        <w:rPr>
          <w:sz w:val="20"/>
          <w:szCs w:val="20"/>
          <w:color w:val="auto"/>
        </w:rPr>
      </w:pPr>
    </w:p>
    <w:p>
      <w:pPr>
        <w:sectPr>
          <w:pgSz w:w="11880" w:h="15480" w:orient="portrait"/>
          <w:cols w:equalWidth="0" w:num="2">
            <w:col w:w="2200" w:space="260"/>
            <w:col w:w="7460"/>
          </w:cols>
          <w:pgMar w:left="940" w:top="676" w:right="10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103</w:t>
      </w:r>
    </w:p>
    <w:p>
      <w:pPr>
        <w:sectPr>
          <w:pgSz w:w="11880" w:h="15480" w:orient="portrait"/>
          <w:cols w:equalWidth="0" w:num="1">
            <w:col w:w="9920"/>
          </w:cols>
          <w:pgMar w:left="940" w:top="676" w:right="1020" w:bottom="0" w:gutter="0" w:footer="0" w:header="0"/>
          <w:type w:val="continuous"/>
        </w:sectPr>
      </w:pPr>
    </w:p>
    <w:bookmarkStart w:id="103" w:name="page104"/>
    <w:bookmarkEnd w:id="103"/>
    <w:p>
      <w:pPr>
        <w:jc w:val="center"/>
        <w:ind w:left="960"/>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ind w:left="960"/>
        <w:spacing w:after="0"/>
        <w:rPr>
          <w:sz w:val="20"/>
          <w:szCs w:val="20"/>
          <w:color w:val="auto"/>
        </w:rPr>
      </w:pPr>
      <w:r>
        <w:rPr>
          <w:rFonts w:ascii="Arial" w:cs="Arial" w:eastAsia="Arial" w:hAnsi="Arial"/>
          <w:sz w:val="19"/>
          <w:szCs w:val="19"/>
          <w:b w:val="1"/>
          <w:bCs w:val="1"/>
          <w:color w:val="auto"/>
        </w:rPr>
        <w:t>INDEX TO THE CONSOLIDATED FINANCIAL STATEMENTS</w:t>
      </w: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color w:val="auto"/>
        </w:rPr>
        <w:t>Consolidated Financial Statements</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Management’s Report on Internal Control Over Financial Reporting</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Report of Independent Registered Public Accounting Firm (PCAOB ID: 238)</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Consolidated Balance Sheets as of December 31, 2023 and 2022</w:t>
      </w:r>
    </w:p>
    <w:p>
      <w:pPr>
        <w:spacing w:after="0" w:line="74" w:lineRule="exact"/>
        <w:rPr>
          <w:sz w:val="20"/>
          <w:szCs w:val="20"/>
          <w:color w:val="auto"/>
        </w:rPr>
      </w:pPr>
    </w:p>
    <w:p>
      <w:pPr>
        <w:ind w:left="120" w:right="380"/>
        <w:spacing w:after="0" w:line="430" w:lineRule="auto"/>
        <w:rPr>
          <w:sz w:val="20"/>
          <w:szCs w:val="20"/>
          <w:color w:val="auto"/>
        </w:rPr>
      </w:pPr>
      <w:r>
        <w:rPr>
          <w:rFonts w:ascii="Arial" w:cs="Arial" w:eastAsia="Arial" w:hAnsi="Arial"/>
          <w:sz w:val="17"/>
          <w:szCs w:val="17"/>
          <w:color w:val="auto"/>
        </w:rPr>
        <w:t>Consolidated Statements of Operations for the years ended December 31, 2023, 2022 and 2021 Consolidated Statements of Comprehensive Income for the years ended December 31, 2023, 2022 and 2021</w:t>
      </w:r>
    </w:p>
    <w:p>
      <w:pPr>
        <w:spacing w:after="0" w:line="75" w:lineRule="exact"/>
        <w:rPr>
          <w:sz w:val="20"/>
          <w:szCs w:val="20"/>
          <w:color w:val="auto"/>
        </w:rPr>
      </w:pPr>
    </w:p>
    <w:p>
      <w:pPr>
        <w:ind w:left="300" w:right="160" w:hanging="174"/>
        <w:spacing w:after="0" w:line="252" w:lineRule="auto"/>
        <w:rPr>
          <w:sz w:val="20"/>
          <w:szCs w:val="20"/>
          <w:color w:val="auto"/>
        </w:rPr>
      </w:pPr>
      <w:r>
        <w:rPr>
          <w:rFonts w:ascii="Arial" w:cs="Arial" w:eastAsia="Arial" w:hAnsi="Arial"/>
          <w:sz w:val="19"/>
          <w:szCs w:val="19"/>
          <w:color w:val="auto"/>
        </w:rPr>
        <w:t>Consolidated Statements of Changes in Accumulated Other Comprehensive Income/(Loss) for the years ended December 31, 2023, 2022 and 2021</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Consolidated Statements of Cash Flows for the years ended December 31, 2023, 2022 and 2021</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Consolidated Statements of Changes in Partners’ Capital for the years ended December 31, 2023, 2022 and 2021</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9"/>
          <w:szCs w:val="19"/>
          <w:color w:val="auto"/>
        </w:rPr>
        <w:t>Notes to the Consolidated Financial Statements:</w:t>
      </w:r>
    </w:p>
    <w:p>
      <w:pPr>
        <w:spacing w:after="0" w:line="74" w:lineRule="exact"/>
        <w:rPr>
          <w:sz w:val="20"/>
          <w:szCs w:val="20"/>
          <w:color w:val="auto"/>
        </w:rPr>
      </w:pPr>
    </w:p>
    <w:p>
      <w:pPr>
        <w:ind w:left="440" w:hanging="187"/>
        <w:spacing w:after="0"/>
        <w:tabs>
          <w:tab w:leader="none" w:pos="4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Organization and Basis of Consolidation and Presentation</w:t>
      </w:r>
    </w:p>
    <w:p>
      <w:pPr>
        <w:spacing w:after="0" w:line="73" w:lineRule="exact"/>
        <w:rPr>
          <w:rFonts w:ascii="Arial" w:cs="Arial" w:eastAsia="Arial" w:hAnsi="Arial"/>
          <w:sz w:val="19"/>
          <w:szCs w:val="19"/>
          <w:color w:val="auto"/>
        </w:rPr>
      </w:pPr>
    </w:p>
    <w:p>
      <w:pPr>
        <w:ind w:left="440" w:hanging="187"/>
        <w:spacing w:after="0"/>
        <w:tabs>
          <w:tab w:leader="none" w:pos="4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Summary of Significant Accounting Policies</w:t>
      </w:r>
    </w:p>
    <w:p>
      <w:pPr>
        <w:spacing w:after="0" w:line="73" w:lineRule="exact"/>
        <w:rPr>
          <w:rFonts w:ascii="Arial" w:cs="Arial" w:eastAsia="Arial" w:hAnsi="Arial"/>
          <w:sz w:val="19"/>
          <w:szCs w:val="19"/>
          <w:color w:val="auto"/>
        </w:rPr>
      </w:pPr>
    </w:p>
    <w:p>
      <w:pPr>
        <w:ind w:left="440" w:hanging="187"/>
        <w:spacing w:after="0"/>
        <w:tabs>
          <w:tab w:leader="none" w:pos="4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Revenues and Accounts Receivable</w:t>
      </w:r>
    </w:p>
    <w:p>
      <w:pPr>
        <w:spacing w:after="0" w:line="73" w:lineRule="exact"/>
        <w:rPr>
          <w:rFonts w:ascii="Arial" w:cs="Arial" w:eastAsia="Arial" w:hAnsi="Arial"/>
          <w:sz w:val="19"/>
          <w:szCs w:val="19"/>
          <w:color w:val="auto"/>
        </w:rPr>
      </w:pPr>
    </w:p>
    <w:p>
      <w:pPr>
        <w:ind w:left="440" w:hanging="187"/>
        <w:spacing w:after="0"/>
        <w:tabs>
          <w:tab w:leader="none" w:pos="4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Net Income Per Class A Share</w:t>
      </w:r>
    </w:p>
    <w:p>
      <w:pPr>
        <w:spacing w:after="0" w:line="73" w:lineRule="exact"/>
        <w:rPr>
          <w:rFonts w:ascii="Arial" w:cs="Arial" w:eastAsia="Arial" w:hAnsi="Arial"/>
          <w:sz w:val="19"/>
          <w:szCs w:val="19"/>
          <w:color w:val="auto"/>
        </w:rPr>
      </w:pPr>
    </w:p>
    <w:p>
      <w:pPr>
        <w:ind w:left="440" w:hanging="187"/>
        <w:spacing w:after="0"/>
        <w:tabs>
          <w:tab w:leader="none" w:pos="4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Inventory, Linefill and Long-term Inventory</w:t>
      </w:r>
    </w:p>
    <w:p>
      <w:pPr>
        <w:spacing w:after="0" w:line="73" w:lineRule="exact"/>
        <w:rPr>
          <w:rFonts w:ascii="Arial" w:cs="Arial" w:eastAsia="Arial" w:hAnsi="Arial"/>
          <w:sz w:val="19"/>
          <w:szCs w:val="19"/>
          <w:color w:val="auto"/>
        </w:rPr>
      </w:pPr>
    </w:p>
    <w:p>
      <w:pPr>
        <w:ind w:left="440" w:hanging="187"/>
        <w:spacing w:after="0"/>
        <w:tabs>
          <w:tab w:leader="none" w:pos="4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Property and Equipment</w:t>
      </w:r>
    </w:p>
    <w:p>
      <w:pPr>
        <w:spacing w:after="0" w:line="73" w:lineRule="exact"/>
        <w:rPr>
          <w:rFonts w:ascii="Arial" w:cs="Arial" w:eastAsia="Arial" w:hAnsi="Arial"/>
          <w:sz w:val="19"/>
          <w:szCs w:val="19"/>
          <w:color w:val="auto"/>
        </w:rPr>
      </w:pPr>
    </w:p>
    <w:p>
      <w:pPr>
        <w:ind w:left="440" w:hanging="187"/>
        <w:spacing w:after="0"/>
        <w:tabs>
          <w:tab w:leader="none" w:pos="4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Acquisitions, Divestitures and Other Transactions</w:t>
      </w:r>
    </w:p>
    <w:p>
      <w:pPr>
        <w:spacing w:after="0" w:line="73" w:lineRule="exact"/>
        <w:rPr>
          <w:rFonts w:ascii="Arial" w:cs="Arial" w:eastAsia="Arial" w:hAnsi="Arial"/>
          <w:sz w:val="19"/>
          <w:szCs w:val="19"/>
          <w:color w:val="auto"/>
        </w:rPr>
      </w:pPr>
    </w:p>
    <w:p>
      <w:pPr>
        <w:ind w:left="440" w:hanging="187"/>
        <w:spacing w:after="0"/>
        <w:tabs>
          <w:tab w:leader="none" w:pos="4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Investments in Unconsolidated Entities</w:t>
      </w:r>
    </w:p>
    <w:p>
      <w:pPr>
        <w:spacing w:after="0" w:line="73" w:lineRule="exact"/>
        <w:rPr>
          <w:rFonts w:ascii="Arial" w:cs="Arial" w:eastAsia="Arial" w:hAnsi="Arial"/>
          <w:sz w:val="19"/>
          <w:szCs w:val="19"/>
          <w:color w:val="auto"/>
        </w:rPr>
      </w:pPr>
    </w:p>
    <w:p>
      <w:pPr>
        <w:ind w:left="440" w:hanging="187"/>
        <w:spacing w:after="0"/>
        <w:tabs>
          <w:tab w:leader="none" w:pos="4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Intangible Assets, Net</w:t>
      </w:r>
    </w:p>
    <w:p>
      <w:pPr>
        <w:spacing w:after="0" w:line="73" w:lineRule="exact"/>
        <w:rPr>
          <w:rFonts w:ascii="Arial" w:cs="Arial" w:eastAsia="Arial" w:hAnsi="Arial"/>
          <w:sz w:val="19"/>
          <w:szCs w:val="19"/>
          <w:color w:val="auto"/>
        </w:rPr>
      </w:pPr>
    </w:p>
    <w:p>
      <w:pPr>
        <w:ind w:left="540" w:hanging="287"/>
        <w:spacing w:after="0"/>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Debt</w:t>
      </w:r>
    </w:p>
    <w:p>
      <w:pPr>
        <w:spacing w:after="0" w:line="73" w:lineRule="exact"/>
        <w:rPr>
          <w:rFonts w:ascii="Arial" w:cs="Arial" w:eastAsia="Arial" w:hAnsi="Arial"/>
          <w:sz w:val="19"/>
          <w:szCs w:val="19"/>
          <w:color w:val="auto"/>
        </w:rPr>
      </w:pPr>
    </w:p>
    <w:p>
      <w:pPr>
        <w:ind w:left="540" w:hanging="287"/>
        <w:spacing w:after="0"/>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Partners’ Capital and Distributions</w:t>
      </w:r>
    </w:p>
    <w:p>
      <w:pPr>
        <w:spacing w:after="0" w:line="73" w:lineRule="exact"/>
        <w:rPr>
          <w:rFonts w:ascii="Arial" w:cs="Arial" w:eastAsia="Arial" w:hAnsi="Arial"/>
          <w:sz w:val="19"/>
          <w:szCs w:val="19"/>
          <w:color w:val="auto"/>
        </w:rPr>
      </w:pPr>
    </w:p>
    <w:p>
      <w:pPr>
        <w:ind w:left="540" w:hanging="287"/>
        <w:spacing w:after="0"/>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Derivatives and Risk Management Activities</w:t>
      </w:r>
    </w:p>
    <w:p>
      <w:pPr>
        <w:spacing w:after="0" w:line="73" w:lineRule="exact"/>
        <w:rPr>
          <w:rFonts w:ascii="Arial" w:cs="Arial" w:eastAsia="Arial" w:hAnsi="Arial"/>
          <w:sz w:val="19"/>
          <w:szCs w:val="19"/>
          <w:color w:val="auto"/>
        </w:rPr>
      </w:pPr>
    </w:p>
    <w:p>
      <w:pPr>
        <w:ind w:left="540" w:hanging="287"/>
        <w:spacing w:after="0"/>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Leases</w:t>
      </w:r>
    </w:p>
    <w:p>
      <w:pPr>
        <w:spacing w:after="0" w:line="73" w:lineRule="exact"/>
        <w:rPr>
          <w:rFonts w:ascii="Arial" w:cs="Arial" w:eastAsia="Arial" w:hAnsi="Arial"/>
          <w:sz w:val="19"/>
          <w:szCs w:val="19"/>
          <w:color w:val="auto"/>
        </w:rPr>
      </w:pPr>
    </w:p>
    <w:p>
      <w:pPr>
        <w:ind w:left="540" w:hanging="287"/>
        <w:spacing w:after="0"/>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Income Taxes</w:t>
      </w:r>
    </w:p>
    <w:p>
      <w:pPr>
        <w:spacing w:after="0" w:line="73" w:lineRule="exact"/>
        <w:rPr>
          <w:rFonts w:ascii="Arial" w:cs="Arial" w:eastAsia="Arial" w:hAnsi="Arial"/>
          <w:sz w:val="19"/>
          <w:szCs w:val="19"/>
          <w:color w:val="auto"/>
        </w:rPr>
      </w:pPr>
    </w:p>
    <w:p>
      <w:pPr>
        <w:ind w:left="540" w:hanging="287"/>
        <w:spacing w:after="0"/>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Major Customers and Concentration of Credit Risk</w:t>
      </w:r>
    </w:p>
    <w:p>
      <w:pPr>
        <w:spacing w:after="0" w:line="73" w:lineRule="exact"/>
        <w:rPr>
          <w:rFonts w:ascii="Arial" w:cs="Arial" w:eastAsia="Arial" w:hAnsi="Arial"/>
          <w:sz w:val="19"/>
          <w:szCs w:val="19"/>
          <w:color w:val="auto"/>
        </w:rPr>
      </w:pPr>
    </w:p>
    <w:p>
      <w:pPr>
        <w:ind w:left="540" w:hanging="287"/>
        <w:spacing w:after="0"/>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Related Party Transactions</w:t>
      </w:r>
    </w:p>
    <w:p>
      <w:pPr>
        <w:spacing w:after="0" w:line="73" w:lineRule="exact"/>
        <w:rPr>
          <w:rFonts w:ascii="Arial" w:cs="Arial" w:eastAsia="Arial" w:hAnsi="Arial"/>
          <w:sz w:val="19"/>
          <w:szCs w:val="19"/>
          <w:color w:val="auto"/>
        </w:rPr>
      </w:pPr>
    </w:p>
    <w:p>
      <w:pPr>
        <w:ind w:left="540" w:hanging="287"/>
        <w:spacing w:after="0"/>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Equity-Indexed Compensation Plans</w:t>
      </w:r>
    </w:p>
    <w:p>
      <w:pPr>
        <w:spacing w:after="0" w:line="73" w:lineRule="exact"/>
        <w:rPr>
          <w:rFonts w:ascii="Arial" w:cs="Arial" w:eastAsia="Arial" w:hAnsi="Arial"/>
          <w:sz w:val="19"/>
          <w:szCs w:val="19"/>
          <w:color w:val="auto"/>
        </w:rPr>
      </w:pPr>
    </w:p>
    <w:p>
      <w:pPr>
        <w:ind w:left="540" w:hanging="287"/>
        <w:spacing w:after="0"/>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Commitments and Contingencies</w:t>
      </w:r>
    </w:p>
    <w:p>
      <w:pPr>
        <w:spacing w:after="0" w:line="73" w:lineRule="exact"/>
        <w:rPr>
          <w:rFonts w:ascii="Arial" w:cs="Arial" w:eastAsia="Arial" w:hAnsi="Arial"/>
          <w:sz w:val="19"/>
          <w:szCs w:val="19"/>
          <w:color w:val="auto"/>
        </w:rPr>
      </w:pPr>
    </w:p>
    <w:p>
      <w:pPr>
        <w:ind w:left="540" w:hanging="287"/>
        <w:spacing w:after="0"/>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Segment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-156845</wp:posOffset>
                </wp:positionH>
                <wp:positionV relativeFrom="paragraph">
                  <wp:posOffset>23495</wp:posOffset>
                </wp:positionV>
                <wp:extent cx="52895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89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499pt,1.85pt" to="29.3pt,1.85pt" o:allowincell="f" strokecolor="#000000" strokeweight="1pt"/>
            </w:pict>
          </mc:Fallback>
        </mc:AlternateConten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F-2</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F-3</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F-5</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F-6</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F-7</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F-7</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F-8</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F-9</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F-10</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F-10</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F-12</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F-15</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F-19</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F-20</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F-21</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F-22</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F-28</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F-31</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F-32</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F-35</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F-40</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F-44</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F-47</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F-50</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F-50</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F-51</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F-52</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F-58</w:t>
      </w:r>
    </w:p>
    <w:p>
      <w:pPr>
        <w:spacing w:after="0" w:line="200" w:lineRule="exact"/>
        <w:rPr>
          <w:sz w:val="20"/>
          <w:szCs w:val="20"/>
          <w:color w:val="auto"/>
        </w:rPr>
      </w:pPr>
    </w:p>
    <w:p>
      <w:pPr>
        <w:sectPr>
          <w:pgSz w:w="11880" w:h="15480" w:orient="portrait"/>
          <w:cols w:equalWidth="0" w:num="2">
            <w:col w:w="8920" w:space="420"/>
            <w:col w:w="540"/>
          </w:cols>
          <w:pgMar w:left="1000" w:top="66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880" w:h="15480" w:orient="portrait"/>
          <w:cols w:equalWidth="0" w:num="1">
            <w:col w:w="9880"/>
          </w:cols>
          <w:pgMar w:left="1000" w:top="669" w:right="1000" w:bottom="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9"/>
          <w:szCs w:val="19"/>
          <w:b w:val="1"/>
          <w:bCs w:val="1"/>
          <w:color w:val="auto"/>
        </w:rPr>
        <w:t>MANAGEMENT’S REPORT ON INTERNAL CONTROL OVER FINANCIAL REPORTING</w:t>
      </w:r>
    </w:p>
    <w:p>
      <w:pPr>
        <w:spacing w:after="0" w:line="257" w:lineRule="exact"/>
        <w:rPr>
          <w:sz w:val="20"/>
          <w:szCs w:val="20"/>
          <w:color w:val="auto"/>
        </w:rPr>
      </w:pPr>
    </w:p>
    <w:p>
      <w:pPr>
        <w:ind w:firstLine="702"/>
        <w:spacing w:after="0" w:line="269" w:lineRule="auto"/>
        <w:rPr>
          <w:sz w:val="20"/>
          <w:szCs w:val="20"/>
          <w:color w:val="auto"/>
        </w:rPr>
      </w:pPr>
      <w:r>
        <w:rPr>
          <w:rFonts w:ascii="Arial" w:cs="Arial" w:eastAsia="Arial" w:hAnsi="Arial"/>
          <w:sz w:val="19"/>
          <w:szCs w:val="19"/>
          <w:color w:val="auto"/>
        </w:rPr>
        <w:t>Plains GP Holdings,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90" w:lineRule="exact"/>
        <w:rPr>
          <w:sz w:val="20"/>
          <w:szCs w:val="20"/>
          <w:color w:val="auto"/>
        </w:rPr>
      </w:pPr>
    </w:p>
    <w:p>
      <w:pPr>
        <w:ind w:right="180" w:firstLine="702"/>
        <w:spacing w:after="0" w:line="301"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67" w:lineRule="exact"/>
        <w:rPr>
          <w:sz w:val="20"/>
          <w:szCs w:val="20"/>
          <w:color w:val="auto"/>
        </w:rPr>
      </w:pPr>
    </w:p>
    <w:p>
      <w:pPr>
        <w:ind w:right="80" w:firstLine="702"/>
        <w:spacing w:after="0" w:line="269" w:lineRule="auto"/>
        <w:rPr>
          <w:sz w:val="20"/>
          <w:szCs w:val="20"/>
          <w:color w:val="auto"/>
        </w:rPr>
      </w:pPr>
      <w:r>
        <w:rPr>
          <w:rFonts w:ascii="Arial" w:cs="Arial" w:eastAsia="Arial" w:hAnsi="Arial"/>
          <w:sz w:val="19"/>
          <w:szCs w:val="19"/>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2023.</w:t>
      </w:r>
    </w:p>
    <w:p>
      <w:pPr>
        <w:spacing w:after="0" w:line="190" w:lineRule="exact"/>
        <w:rPr>
          <w:sz w:val="20"/>
          <w:szCs w:val="20"/>
          <w:color w:val="auto"/>
        </w:rPr>
      </w:pPr>
    </w:p>
    <w:p>
      <w:pPr>
        <w:jc w:val="both"/>
        <w:ind w:right="480" w:firstLine="702"/>
        <w:spacing w:after="0" w:line="276" w:lineRule="auto"/>
        <w:rPr>
          <w:sz w:val="20"/>
          <w:szCs w:val="20"/>
          <w:color w:val="auto"/>
        </w:rPr>
      </w:pPr>
      <w:r>
        <w:rPr>
          <w:rFonts w:ascii="Arial" w:cs="Arial" w:eastAsia="Arial" w:hAnsi="Arial"/>
          <w:sz w:val="19"/>
          <w:szCs w:val="19"/>
          <w:color w:val="auto"/>
        </w:rPr>
        <w:t>The effectiveness of the Partnership’s internal control over financial reporting as of December 31, 2023 has been audited by PricewaterhouseCoopers LLP, an independent registered public accounting firm, as stated in their report which appears on Page F-3.</w:t>
      </w:r>
    </w:p>
    <w:p>
      <w:pPr>
        <w:spacing w:after="0" w:line="268" w:lineRule="exact"/>
        <w:rPr>
          <w:sz w:val="20"/>
          <w:szCs w:val="20"/>
          <w:color w:val="auto"/>
        </w:rPr>
      </w:pPr>
    </w:p>
    <w:p>
      <w:pPr>
        <w:ind w:left="3100"/>
        <w:spacing w:after="0"/>
        <w:rPr>
          <w:sz w:val="20"/>
          <w:szCs w:val="20"/>
          <w:color w:val="auto"/>
        </w:rPr>
      </w:pPr>
      <w:r>
        <w:rPr>
          <w:rFonts w:ascii="Arial" w:cs="Arial" w:eastAsia="Arial" w:hAnsi="Arial"/>
          <w:sz w:val="19"/>
          <w:szCs w:val="19"/>
          <w:color w:val="auto"/>
        </w:rPr>
        <w:t>/s/ Willie Chiang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1930400</wp:posOffset>
                </wp:positionH>
                <wp:positionV relativeFrom="paragraph">
                  <wp:posOffset>30480</wp:posOffset>
                </wp:positionV>
                <wp:extent cx="441960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19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2pt,2.4pt" to="500pt,2.4pt" o:allowincell="f" strokecolor="#000000" strokeweight="1pt"/>
            </w:pict>
          </mc:Fallback>
        </mc:AlternateContent>
      </w:r>
    </w:p>
    <w:p>
      <w:pPr>
        <w:spacing w:after="0" w:line="41" w:lineRule="exact"/>
        <w:rPr>
          <w:sz w:val="20"/>
          <w:szCs w:val="20"/>
          <w:color w:val="auto"/>
        </w:rPr>
      </w:pPr>
    </w:p>
    <w:p>
      <w:pPr>
        <w:ind w:left="3100"/>
        <w:spacing w:after="0"/>
        <w:rPr>
          <w:sz w:val="20"/>
          <w:szCs w:val="20"/>
          <w:color w:val="auto"/>
        </w:rPr>
      </w:pPr>
      <w:r>
        <w:rPr>
          <w:rFonts w:ascii="Arial" w:cs="Arial" w:eastAsia="Arial" w:hAnsi="Arial"/>
          <w:sz w:val="19"/>
          <w:szCs w:val="19"/>
          <w:color w:val="auto"/>
        </w:rPr>
        <w:t>Willie Chiang</w:t>
      </w:r>
    </w:p>
    <w:p>
      <w:pPr>
        <w:spacing w:after="0" w:line="72" w:lineRule="exact"/>
        <w:rPr>
          <w:sz w:val="20"/>
          <w:szCs w:val="20"/>
          <w:color w:val="auto"/>
        </w:rPr>
      </w:pPr>
    </w:p>
    <w:p>
      <w:pPr>
        <w:ind w:left="3100"/>
        <w:spacing w:after="0"/>
        <w:rPr>
          <w:sz w:val="20"/>
          <w:szCs w:val="20"/>
          <w:color w:val="auto"/>
        </w:rPr>
      </w:pPr>
      <w:r>
        <w:rPr>
          <w:rFonts w:ascii="Arial" w:cs="Arial" w:eastAsia="Arial" w:hAnsi="Arial"/>
          <w:sz w:val="19"/>
          <w:szCs w:val="19"/>
          <w:b w:val="1"/>
          <w:bCs w:val="1"/>
          <w:i w:val="1"/>
          <w:iCs w:val="1"/>
          <w:color w:val="auto"/>
        </w:rPr>
        <w:t>Chairman of the Board and Chief Executive Officer of PAA GP Holdings LLC</w:t>
      </w:r>
    </w:p>
    <w:p>
      <w:pPr>
        <w:spacing w:after="0" w:line="74" w:lineRule="exact"/>
        <w:rPr>
          <w:sz w:val="20"/>
          <w:szCs w:val="20"/>
          <w:color w:val="auto"/>
        </w:rPr>
      </w:pPr>
    </w:p>
    <w:p>
      <w:pPr>
        <w:ind w:left="3100"/>
        <w:spacing w:after="0"/>
        <w:rPr>
          <w:sz w:val="20"/>
          <w:szCs w:val="20"/>
          <w:color w:val="auto"/>
        </w:rPr>
      </w:pPr>
      <w:r>
        <w:rPr>
          <w:rFonts w:ascii="Arial" w:cs="Arial" w:eastAsia="Arial" w:hAnsi="Arial"/>
          <w:sz w:val="19"/>
          <w:szCs w:val="19"/>
          <w:b w:val="1"/>
          <w:bCs w:val="1"/>
          <w:i w:val="1"/>
          <w:iCs w:val="1"/>
          <w:color w:val="auto"/>
        </w:rPr>
        <w:t>(Principal Executive Officer)</w:t>
      </w:r>
    </w:p>
    <w:p>
      <w:pPr>
        <w:spacing w:after="0" w:line="367" w:lineRule="exact"/>
        <w:rPr>
          <w:sz w:val="20"/>
          <w:szCs w:val="20"/>
          <w:color w:val="auto"/>
        </w:rPr>
      </w:pPr>
    </w:p>
    <w:p>
      <w:pPr>
        <w:ind w:left="3100"/>
        <w:spacing w:after="0"/>
        <w:rPr>
          <w:sz w:val="20"/>
          <w:szCs w:val="20"/>
          <w:color w:val="auto"/>
        </w:rPr>
      </w:pPr>
      <w:r>
        <w:rPr>
          <w:rFonts w:ascii="Arial" w:cs="Arial" w:eastAsia="Arial" w:hAnsi="Arial"/>
          <w:sz w:val="19"/>
          <w:szCs w:val="19"/>
          <w:color w:val="auto"/>
        </w:rPr>
        <w:t>/s/ Al Swanson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1930400</wp:posOffset>
                </wp:positionH>
                <wp:positionV relativeFrom="paragraph">
                  <wp:posOffset>30480</wp:posOffset>
                </wp:positionV>
                <wp:extent cx="441960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19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2pt,2.4pt" to="500pt,2.4pt" o:allowincell="f" strokecolor="#000000" strokeweight="1pt"/>
            </w:pict>
          </mc:Fallback>
        </mc:AlternateContent>
      </w:r>
    </w:p>
    <w:p>
      <w:pPr>
        <w:spacing w:after="0" w:line="41" w:lineRule="exact"/>
        <w:rPr>
          <w:sz w:val="20"/>
          <w:szCs w:val="20"/>
          <w:color w:val="auto"/>
        </w:rPr>
      </w:pPr>
    </w:p>
    <w:p>
      <w:pPr>
        <w:ind w:left="3100"/>
        <w:spacing w:after="0"/>
        <w:rPr>
          <w:sz w:val="20"/>
          <w:szCs w:val="20"/>
          <w:color w:val="auto"/>
        </w:rPr>
      </w:pPr>
      <w:r>
        <w:rPr>
          <w:rFonts w:ascii="Arial" w:cs="Arial" w:eastAsia="Arial" w:hAnsi="Arial"/>
          <w:sz w:val="19"/>
          <w:szCs w:val="19"/>
          <w:color w:val="auto"/>
        </w:rPr>
        <w:t>Al Swanson</w:t>
      </w:r>
    </w:p>
    <w:p>
      <w:pPr>
        <w:spacing w:after="0" w:line="72" w:lineRule="exact"/>
        <w:rPr>
          <w:sz w:val="20"/>
          <w:szCs w:val="20"/>
          <w:color w:val="auto"/>
        </w:rPr>
      </w:pPr>
    </w:p>
    <w:p>
      <w:pPr>
        <w:ind w:left="3100"/>
        <w:spacing w:after="0"/>
        <w:rPr>
          <w:sz w:val="20"/>
          <w:szCs w:val="20"/>
          <w:color w:val="auto"/>
        </w:rPr>
      </w:pPr>
      <w:r>
        <w:rPr>
          <w:rFonts w:ascii="Arial" w:cs="Arial" w:eastAsia="Arial" w:hAnsi="Arial"/>
          <w:sz w:val="18"/>
          <w:szCs w:val="18"/>
          <w:b w:val="1"/>
          <w:bCs w:val="1"/>
          <w:i w:val="1"/>
          <w:iCs w:val="1"/>
          <w:color w:val="auto"/>
        </w:rPr>
        <w:t>Executive Vice President and Chief Financial Officer of PAA GP Holdings LLC</w:t>
      </w:r>
    </w:p>
    <w:p>
      <w:pPr>
        <w:spacing w:after="0" w:line="85" w:lineRule="exact"/>
        <w:rPr>
          <w:sz w:val="20"/>
          <w:szCs w:val="20"/>
          <w:color w:val="auto"/>
        </w:rPr>
      </w:pPr>
    </w:p>
    <w:p>
      <w:pPr>
        <w:ind w:left="3100"/>
        <w:spacing w:after="0"/>
        <w:rPr>
          <w:sz w:val="20"/>
          <w:szCs w:val="20"/>
          <w:color w:val="auto"/>
        </w:rPr>
      </w:pPr>
      <w:r>
        <w:rPr>
          <w:rFonts w:ascii="Arial" w:cs="Arial" w:eastAsia="Arial" w:hAnsi="Arial"/>
          <w:sz w:val="19"/>
          <w:szCs w:val="19"/>
          <w:b w:val="1"/>
          <w:bCs w:val="1"/>
          <w:i w:val="1"/>
          <w:iCs w:val="1"/>
          <w:color w:val="auto"/>
        </w:rPr>
        <w:t>(Principal Financial Officer)</w:t>
      </w:r>
    </w:p>
    <w:p>
      <w:pPr>
        <w:spacing w:after="0" w:line="354" w:lineRule="exact"/>
        <w:rPr>
          <w:sz w:val="20"/>
          <w:szCs w:val="20"/>
          <w:color w:val="auto"/>
        </w:rPr>
      </w:pPr>
    </w:p>
    <w:p>
      <w:pPr>
        <w:ind w:left="60"/>
        <w:spacing w:after="0"/>
        <w:rPr>
          <w:sz w:val="20"/>
          <w:szCs w:val="20"/>
          <w:color w:val="auto"/>
        </w:rPr>
      </w:pPr>
      <w:r>
        <w:rPr>
          <w:rFonts w:ascii="Arial" w:cs="Arial" w:eastAsia="Arial" w:hAnsi="Arial"/>
          <w:sz w:val="19"/>
          <w:szCs w:val="19"/>
          <w:color w:val="auto"/>
        </w:rPr>
        <w:t>February 28, 2024</w:t>
      </w:r>
    </w:p>
    <w:p>
      <w:pPr>
        <w:sectPr>
          <w:pgSz w:w="11880" w:h="15480" w:orient="portrait"/>
          <w:cols w:equalWidth="0" w:num="1">
            <w:col w:w="10000"/>
          </w:cols>
          <w:pgMar w:left="940" w:top="66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880" w:h="15480" w:orient="portrait"/>
          <w:cols w:equalWidth="0" w:num="1">
            <w:col w:w="10000"/>
          </w:cols>
          <w:pgMar w:left="940" w:top="669" w:right="940" w:bottom="0" w:gutter="0" w:footer="0" w:header="0"/>
          <w:type w:val="continuous"/>
        </w:sectPr>
      </w:pPr>
    </w:p>
    <w:bookmarkStart w:id="105" w:name="page106"/>
    <w:bookmarkEnd w:id="105"/>
    <w:p>
      <w:pPr>
        <w:jc w:val="center"/>
        <w:ind w:right="-19"/>
        <w:spacing w:after="0"/>
        <w:rPr>
          <w:sz w:val="20"/>
          <w:szCs w:val="20"/>
          <w:color w:val="auto"/>
        </w:rPr>
      </w:pPr>
      <w:r>
        <w:rPr>
          <w:rFonts w:ascii="Arial" w:cs="Arial" w:eastAsia="Arial" w:hAnsi="Arial"/>
          <w:sz w:val="19"/>
          <w:szCs w:val="19"/>
          <w:b w:val="1"/>
          <w:bCs w:val="1"/>
          <w:i w:val="1"/>
          <w:i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auto"/>
        </w:rPr>
        <w:t>To the Board of Directors of PAA GP Holdings LLC and Shareholders of Plains GP Holdings, L.P.</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Opinions on the Financial Statements and Internal Control over Financial Reporting</w:t>
      </w:r>
    </w:p>
    <w:p>
      <w:pPr>
        <w:spacing w:after="0" w:line="257" w:lineRule="exact"/>
        <w:rPr>
          <w:sz w:val="20"/>
          <w:szCs w:val="20"/>
          <w:color w:val="auto"/>
        </w:rPr>
      </w:pPr>
    </w:p>
    <w:p>
      <w:pPr>
        <w:ind w:right="140"/>
        <w:spacing w:after="0" w:line="280" w:lineRule="auto"/>
        <w:rPr>
          <w:sz w:val="20"/>
          <w:szCs w:val="20"/>
          <w:color w:val="auto"/>
        </w:rPr>
      </w:pPr>
      <w:r>
        <w:rPr>
          <w:rFonts w:ascii="Arial" w:cs="Arial" w:eastAsia="Arial" w:hAnsi="Arial"/>
          <w:sz w:val="18"/>
          <w:szCs w:val="18"/>
          <w:color w:val="auto"/>
        </w:rPr>
        <w:t xml:space="preserve">We have audited the accompanying consolidated balance sheets of Plains GP Holdings, L.P. and its subsidiaries (the “Partnership”) as of December 31, 2023 and 2022, and the related consolidated statements of operations, of comprehensive income, of changes in accumulated other comprehensive income (loss), of changes in partners’ capital and of cash flows for each of the three years in the period ended December 31, 2023, including the related notes (collectively referred to as the “consolidated financial statements”). We also have audited the Partnership’s internal control over financial reporting as of December 31, 2023, based on criteria established in </w:t>
      </w:r>
      <w:r>
        <w:rPr>
          <w:rFonts w:ascii="Arial" w:cs="Arial" w:eastAsia="Arial" w:hAnsi="Arial"/>
          <w:sz w:val="18"/>
          <w:szCs w:val="18"/>
          <w:b w:val="1"/>
          <w:bCs w:val="1"/>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 xml:space="preserve">In our opinion, the consolidated financial statements referred to above present fairly, in all material respects, the financial position of the Partnership as of December 31, 2023 and 2022, and the results of its operations and its cash flows for each of the three years in the period ended December 31, 2023 in conformity with accounting principles generally accepted in the United States of America. Also in our opinion, the Partnership maintained, in all material respects, effective internal control over financial reporting as of December 31, 2023, based on criteria established in </w:t>
      </w:r>
      <w:r>
        <w:rPr>
          <w:rFonts w:ascii="Arial" w:cs="Arial" w:eastAsia="Arial" w:hAnsi="Arial"/>
          <w:sz w:val="19"/>
          <w:szCs w:val="19"/>
          <w:b w:val="1"/>
          <w:bCs w:val="1"/>
          <w:i w:val="1"/>
          <w:iCs w:val="1"/>
          <w:color w:val="auto"/>
        </w:rPr>
        <w:t>Internal Control - Integrated Framework</w:t>
      </w:r>
      <w:r>
        <w:rPr>
          <w:rFonts w:ascii="Arial" w:cs="Arial" w:eastAsia="Arial" w:hAnsi="Arial"/>
          <w:sz w:val="19"/>
          <w:szCs w:val="19"/>
          <w:color w:val="auto"/>
        </w:rPr>
        <w:t xml:space="preserve"> (2013) issued by the COSO.</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for Opinions</w:t>
      </w:r>
    </w:p>
    <w:p>
      <w:pPr>
        <w:spacing w:after="0" w:line="257" w:lineRule="exact"/>
        <w:rPr>
          <w:sz w:val="20"/>
          <w:szCs w:val="20"/>
          <w:color w:val="auto"/>
        </w:rPr>
      </w:pPr>
    </w:p>
    <w:p>
      <w:pPr>
        <w:spacing w:after="0" w:line="299" w:lineRule="auto"/>
        <w:rPr>
          <w:sz w:val="20"/>
          <w:szCs w:val="20"/>
          <w:color w:val="auto"/>
        </w:rPr>
      </w:pPr>
      <w:r>
        <w:rPr>
          <w:rFonts w:ascii="Arial" w:cs="Arial" w:eastAsia="Arial" w:hAnsi="Arial"/>
          <w:sz w:val="17"/>
          <w:szCs w:val="17"/>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167"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0"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 and Limitations of Internal Control over Financial Reporting</w:t>
      </w:r>
    </w:p>
    <w:p>
      <w:pPr>
        <w:spacing w:after="0" w:line="257"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ectPr>
          <w:pgSz w:w="11880" w:h="15480" w:orient="portrait"/>
          <w:cols w:equalWidth="0" w:num="1">
            <w:col w:w="9980"/>
          </w:cols>
          <w:pgMar w:left="940" w:top="66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880" w:h="15480" w:orient="portrait"/>
          <w:cols w:equalWidth="0" w:num="1">
            <w:col w:w="9980"/>
          </w:cols>
          <w:pgMar w:left="940" w:top="669" w:right="960" w:bottom="0" w:gutter="0" w:footer="0" w:header="0"/>
          <w:type w:val="continuous"/>
        </w:sectPr>
      </w:pPr>
    </w:p>
    <w:bookmarkStart w:id="106" w:name="page107"/>
    <w:bookmarkEnd w:id="106"/>
    <w:p>
      <w:pPr>
        <w:jc w:val="both"/>
        <w:ind w:left="1" w:right="440"/>
        <w:spacing w:after="0" w:line="32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Critical Audit Matters</w:t>
      </w:r>
    </w:p>
    <w:p>
      <w:pPr>
        <w:spacing w:after="0" w:line="257" w:lineRule="exact"/>
        <w:rPr>
          <w:sz w:val="20"/>
          <w:szCs w:val="20"/>
          <w:color w:val="auto"/>
        </w:rPr>
      </w:pPr>
    </w:p>
    <w:p>
      <w:pPr>
        <w:ind w:left="1" w:right="100"/>
        <w:spacing w:after="0" w:line="28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Fair Value of the Preferred Distribution Rate Reset Option</w:t>
      </w:r>
    </w:p>
    <w:p>
      <w:pPr>
        <w:spacing w:after="0" w:line="251" w:lineRule="exact"/>
        <w:rPr>
          <w:sz w:val="20"/>
          <w:szCs w:val="20"/>
          <w:color w:val="auto"/>
        </w:rPr>
      </w:pPr>
    </w:p>
    <w:p>
      <w:pPr>
        <w:ind w:left="1" w:right="80"/>
        <w:spacing w:after="0" w:line="280" w:lineRule="auto"/>
        <w:rPr>
          <w:sz w:val="20"/>
          <w:szCs w:val="20"/>
          <w:color w:val="auto"/>
        </w:rPr>
      </w:pPr>
      <w:r>
        <w:rPr>
          <w:rFonts w:ascii="Arial" w:cs="Arial" w:eastAsia="Arial" w:hAnsi="Arial"/>
          <w:sz w:val="18"/>
          <w:szCs w:val="18"/>
          <w:color w:val="auto"/>
        </w:rPr>
        <w:t>As described in Note 12 to the consolidated financial statements, the Preferred Distribution Rate Reset Option of the Plains All American Pipeline, L.P. (PAA) Series A preferred units was an embedded derivative that was bifurcated from the related host contract and recorded at fair value. The fair value on the settlement date was $131 million, which resulted in a gain of $58 million recognized in other income. Management determined the fair value based on a Monte Carlo valuation model that estimated the fair value of the Series A preferred units with and without the Preferred Distribution Rate Reset Option. This model relied on assumptions for forecasts for the ten-year U.S. Treasury rate, the PAA common unit price, and default probabilities which impacted timing estimates as to when the option will be exercised.</w:t>
      </w:r>
    </w:p>
    <w:p>
      <w:pPr>
        <w:spacing w:after="0" w:line="181" w:lineRule="exact"/>
        <w:rPr>
          <w:sz w:val="20"/>
          <w:szCs w:val="20"/>
          <w:color w:val="auto"/>
        </w:rPr>
      </w:pPr>
    </w:p>
    <w:p>
      <w:pPr>
        <w:ind w:left="1"/>
        <w:spacing w:after="0" w:line="264" w:lineRule="auto"/>
        <w:rPr>
          <w:sz w:val="20"/>
          <w:szCs w:val="20"/>
          <w:color w:val="auto"/>
        </w:rPr>
      </w:pPr>
      <w:r>
        <w:rPr>
          <w:rFonts w:ascii="Arial" w:cs="Arial" w:eastAsia="Arial" w:hAnsi="Arial"/>
          <w:sz w:val="19"/>
          <w:szCs w:val="19"/>
          <w:color w:val="auto"/>
        </w:rPr>
        <w:t>The principal considerations for our determination that performing procedures relating to the fair value of the Preferred Distribution Rate Reset Option is a critical audit matter are the significant judgment by management when developing the fair value estimate of the Preferred Distribution Rate Reset Option using the Monte Carlo valuation model. This in turn led to a high degree of auditor judgment, subjectivity, and effort in performing procedures and evaluating the Monte Carlo valuation model and management’s significant assumption related to forecasts for the ten-year U.S. Treasury rate. Also, the audit effort involved the use of professionals with specialized skill and knowledge.</w:t>
      </w:r>
    </w:p>
    <w:p>
      <w:pPr>
        <w:spacing w:after="0" w:line="196" w:lineRule="exact"/>
        <w:rPr>
          <w:sz w:val="20"/>
          <w:szCs w:val="20"/>
          <w:color w:val="auto"/>
        </w:rPr>
      </w:pPr>
    </w:p>
    <w:p>
      <w:pPr>
        <w:ind w:left="1" w:right="100"/>
        <w:spacing w:after="0" w:line="293"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fair value of the Preferred Distribution Rate Reset Option, including the appropriateness of the Monte Carlo valuation model, the significant assumption, and data used in developing the fair value estimate. These procedures also included, among others</w:t>
      </w:r>
    </w:p>
    <w:p>
      <w:pPr>
        <w:spacing w:after="0" w:line="1" w:lineRule="exact"/>
        <w:rPr>
          <w:sz w:val="20"/>
          <w:szCs w:val="20"/>
          <w:color w:val="auto"/>
        </w:rPr>
      </w:pPr>
    </w:p>
    <w:p>
      <w:pPr>
        <w:ind w:left="1" w:right="40" w:hanging="1"/>
        <w:spacing w:after="0" w:line="277" w:lineRule="auto"/>
        <w:tabs>
          <w:tab w:leader="none" w:pos="23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testing the completeness and accuracy of the contractual information from the Series A preferred unit agreement that is used in the valuation model, (ii) evaluating the reasonableness of, and testing the accuracy of, inputs used to estimate the fair value of the Preferred Distribution Rate Reset Option, and (iii) the involvement of professionals with specialized skill and knowledge to assist in evaluating the reasonableness of management’s estimate by developing (a) an independent Monte Carlo valuation model and (b) an independent range of fair values using independently developed forecasts for the ten-year U.S. Treasury rate and comparing the independent range of fair values to management’s estimate.</w:t>
      </w:r>
    </w:p>
    <w:p>
      <w:pPr>
        <w:spacing w:after="0" w:line="252" w:lineRule="exact"/>
        <w:rPr>
          <w:sz w:val="20"/>
          <w:szCs w:val="20"/>
          <w:color w:val="auto"/>
        </w:rPr>
      </w:pPr>
    </w:p>
    <w:p>
      <w:pPr>
        <w:ind w:left="61"/>
        <w:spacing w:after="0"/>
        <w:rPr>
          <w:sz w:val="20"/>
          <w:szCs w:val="20"/>
          <w:color w:val="auto"/>
        </w:rPr>
      </w:pPr>
      <w:r>
        <w:rPr>
          <w:rFonts w:ascii="Arial" w:cs="Arial" w:eastAsia="Arial" w:hAnsi="Arial"/>
          <w:sz w:val="19"/>
          <w:szCs w:val="19"/>
          <w:color w:val="auto"/>
        </w:rPr>
        <w:t>/s/ PricewaterhouseCoopers LLP</w:t>
      </w:r>
    </w:p>
    <w:p>
      <w:pPr>
        <w:spacing w:after="0" w:line="307" w:lineRule="exact"/>
        <w:rPr>
          <w:sz w:val="20"/>
          <w:szCs w:val="20"/>
          <w:color w:val="auto"/>
        </w:rPr>
      </w:pPr>
    </w:p>
    <w:p>
      <w:pPr>
        <w:ind w:left="61"/>
        <w:spacing w:after="0"/>
        <w:rPr>
          <w:sz w:val="20"/>
          <w:szCs w:val="20"/>
          <w:color w:val="auto"/>
        </w:rPr>
      </w:pPr>
      <w:r>
        <w:rPr>
          <w:rFonts w:ascii="Arial" w:cs="Arial" w:eastAsia="Arial" w:hAnsi="Arial"/>
          <w:sz w:val="19"/>
          <w:szCs w:val="19"/>
          <w:color w:val="auto"/>
        </w:rPr>
        <w:t>Houston, Texas</w:t>
      </w:r>
    </w:p>
    <w:p>
      <w:pPr>
        <w:spacing w:after="0" w:line="23" w:lineRule="exact"/>
        <w:rPr>
          <w:sz w:val="20"/>
          <w:szCs w:val="20"/>
          <w:color w:val="auto"/>
        </w:rPr>
      </w:pPr>
    </w:p>
    <w:p>
      <w:pPr>
        <w:ind w:left="61"/>
        <w:spacing w:after="0"/>
        <w:rPr>
          <w:sz w:val="20"/>
          <w:szCs w:val="20"/>
          <w:color w:val="auto"/>
        </w:rPr>
      </w:pPr>
      <w:r>
        <w:rPr>
          <w:rFonts w:ascii="Arial" w:cs="Arial" w:eastAsia="Arial" w:hAnsi="Arial"/>
          <w:sz w:val="19"/>
          <w:szCs w:val="19"/>
          <w:color w:val="auto"/>
        </w:rPr>
        <w:t>February 28, 2024</w:t>
      </w:r>
    </w:p>
    <w:p>
      <w:pPr>
        <w:spacing w:after="0" w:line="125" w:lineRule="exact"/>
        <w:rPr>
          <w:sz w:val="20"/>
          <w:szCs w:val="20"/>
          <w:color w:val="auto"/>
        </w:rPr>
      </w:pPr>
    </w:p>
    <w:p>
      <w:pPr>
        <w:ind w:left="61"/>
        <w:spacing w:after="0"/>
        <w:rPr>
          <w:sz w:val="20"/>
          <w:szCs w:val="20"/>
          <w:color w:val="auto"/>
        </w:rPr>
      </w:pPr>
      <w:r>
        <w:rPr>
          <w:rFonts w:ascii="Arial" w:cs="Arial" w:eastAsia="Arial" w:hAnsi="Arial"/>
          <w:sz w:val="19"/>
          <w:szCs w:val="19"/>
          <w:color w:val="auto"/>
        </w:rPr>
        <w:t>We have served as the Partnership’s auditor since 2013.</w:t>
      </w:r>
    </w:p>
    <w:p>
      <w:pPr>
        <w:sectPr>
          <w:pgSz w:w="11880" w:h="15480" w:orient="portrait"/>
          <w:cols w:equalWidth="0" w:num="1">
            <w:col w:w="9981"/>
          </w:cols>
          <w:pgMar w:left="939" w:top="67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w:t>
      </w:r>
    </w:p>
    <w:p>
      <w:pPr>
        <w:sectPr>
          <w:pgSz w:w="11880" w:h="15480" w:orient="portrait"/>
          <w:cols w:equalWidth="0" w:num="1">
            <w:col w:w="9981"/>
          </w:cols>
          <w:pgMar w:left="939" w:top="676" w:right="960" w:bottom="0" w:gutter="0" w:footer="0" w:header="0"/>
          <w:type w:val="continuous"/>
        </w:sectPr>
      </w:pPr>
    </w:p>
    <w:bookmarkStart w:id="107" w:name="page108"/>
    <w:bookmarkEnd w:id="107"/>
    <w:p>
      <w:pPr>
        <w:jc w:val="center"/>
        <w:ind w:right="60"/>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CONSOLIDATED BALANCE SHEETS</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(in millions, except share data)</w:t>
      </w:r>
    </w:p>
    <w:p>
      <w:pPr>
        <w:spacing w:after="0" w:line="259" w:lineRule="exact"/>
        <w:rPr>
          <w:sz w:val="20"/>
          <w:szCs w:val="20"/>
          <w:color w:val="auto"/>
        </w:rPr>
      </w:pPr>
    </w:p>
    <w:p>
      <w:pPr>
        <w:jc w:val="center"/>
        <w:ind w:left="7580"/>
        <w:spacing w:after="0"/>
        <w:tabs>
          <w:tab w:leader="none" w:pos="320" w:val="left"/>
        </w:tabs>
        <w:rPr>
          <w:sz w:val="20"/>
          <w:szCs w:val="20"/>
          <w:color w:val="auto"/>
        </w:rPr>
      </w:pPr>
      <w:r>
        <w:rPr>
          <w:rFonts w:ascii="Arial" w:cs="Arial" w:eastAsia="Arial" w:hAnsi="Arial"/>
          <w:sz w:val="16"/>
          <w:szCs w:val="16"/>
          <w:b w:val="1"/>
          <w:bCs w:val="1"/>
          <w:color w:val="auto"/>
        </w:rPr>
        <w:t>December 31,</w:t>
      </w:r>
      <w:r>
        <w:rPr>
          <w:sz w:val="20"/>
          <w:szCs w:val="20"/>
          <w:color w:val="auto"/>
        </w:rPr>
        <w:tab/>
      </w:r>
      <w:r>
        <w:rPr>
          <w:rFonts w:ascii="Arial" w:cs="Arial" w:eastAsia="Arial" w:hAnsi="Arial"/>
          <w:sz w:val="13"/>
          <w:szCs w:val="13"/>
          <w:b w:val="1"/>
          <w:bCs w:val="1"/>
          <w:color w:val="auto"/>
        </w:rPr>
        <w:t>December 31,</w:t>
      </w:r>
    </w:p>
    <w:p>
      <w:pPr>
        <w:ind w:left="7940"/>
        <w:spacing w:after="0"/>
        <w:tabs>
          <w:tab w:leader="none" w:pos="918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-635</wp:posOffset>
            </wp:positionV>
            <wp:extent cx="6367145" cy="71412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0">
                      <a:extLst>
                        <a:ext uri="{28A0092B-C50C-407E-A947-70E740481C1C}"/>
                      </a:extLst>
                    </a:blip>
                    <a:srcRect/>
                    <a:stretch>
                      <a:fillRect/>
                    </a:stretch>
                  </pic:blipFill>
                  <pic:spPr bwMode="auto">
                    <a:xfrm>
                      <a:off x="0" y="0"/>
                      <a:ext cx="6367145" cy="7141210"/>
                    </a:xfrm>
                    <a:prstGeom prst="rect">
                      <a:avLst/>
                    </a:prstGeom>
                    <a:noFill/>
                  </pic:spPr>
                </pic:pic>
              </a:graphicData>
            </a:graphic>
          </wp:anchor>
        </w:drawing>
      </w:r>
    </w:p>
    <w:p>
      <w:pPr>
        <w:sectPr>
          <w:pgSz w:w="11880" w:h="15480" w:orient="portrait"/>
          <w:cols w:equalWidth="0" w:num="1">
            <w:col w:w="9940"/>
          </w:cols>
          <w:pgMar w:left="1000" w:top="903" w:right="940" w:bottom="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ASSETS</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CURRENT ASSETS</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Cash and cash equivalents</w:t>
      </w:r>
    </w:p>
    <w:p>
      <w:pPr>
        <w:spacing w:after="0" w:line="33" w:lineRule="exact"/>
        <w:rPr>
          <w:sz w:val="20"/>
          <w:szCs w:val="20"/>
          <w:color w:val="auto"/>
        </w:rPr>
      </w:pPr>
    </w:p>
    <w:p>
      <w:pPr>
        <w:ind w:right="2740"/>
        <w:spacing w:after="0" w:line="273" w:lineRule="auto"/>
        <w:rPr>
          <w:sz w:val="20"/>
          <w:szCs w:val="20"/>
          <w:color w:val="auto"/>
        </w:rPr>
      </w:pPr>
      <w:r>
        <w:rPr>
          <w:rFonts w:ascii="Arial" w:cs="Arial" w:eastAsia="Arial" w:hAnsi="Arial"/>
          <w:sz w:val="19"/>
          <w:szCs w:val="19"/>
          <w:color w:val="auto"/>
        </w:rPr>
        <w:t>Trade accounts receivable and other receivables, net Inventory</w:t>
      </w:r>
    </w:p>
    <w:p>
      <w:pPr>
        <w:spacing w:after="0"/>
        <w:rPr>
          <w:sz w:val="20"/>
          <w:szCs w:val="20"/>
          <w:color w:val="auto"/>
        </w:rPr>
      </w:pPr>
      <w:r>
        <w:rPr>
          <w:rFonts w:ascii="Arial" w:cs="Arial" w:eastAsia="Arial" w:hAnsi="Arial"/>
          <w:sz w:val="19"/>
          <w:szCs w:val="19"/>
          <w:color w:val="auto"/>
        </w:rPr>
        <w:t>Other current assets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Total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400" w:type="dxa"/>
            <w:vAlign w:val="bottom"/>
          </w:tcPr>
          <w:p>
            <w:pPr>
              <w:jc w:val="right"/>
              <w:ind w:right="163"/>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453</w:t>
            </w:r>
          </w:p>
        </w:tc>
        <w:tc>
          <w:tcPr>
            <w:tcW w:w="46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404</w:t>
            </w:r>
          </w:p>
        </w:tc>
      </w:tr>
      <w:tr>
        <w:trPr>
          <w:trHeight w:val="249"/>
        </w:trPr>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3,760</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3,907</w:t>
            </w:r>
          </w:p>
        </w:tc>
      </w:tr>
      <w:tr>
        <w:trPr>
          <w:trHeight w:val="249"/>
        </w:trPr>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548</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729</w:t>
            </w:r>
          </w:p>
        </w:tc>
      </w:tr>
      <w:tr>
        <w:trPr>
          <w:trHeight w:val="257"/>
        </w:trPr>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155</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318</w:t>
            </w:r>
          </w:p>
        </w:tc>
      </w:tr>
      <w:tr>
        <w:trPr>
          <w:trHeight w:val="229"/>
        </w:trPr>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4,916</w:t>
            </w: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5,358</w:t>
            </w:r>
          </w:p>
        </w:tc>
      </w:tr>
    </w:tbl>
    <w:p>
      <w:pPr>
        <w:spacing w:after="0" w:line="200" w:lineRule="exact"/>
        <w:rPr>
          <w:sz w:val="20"/>
          <w:szCs w:val="20"/>
          <w:color w:val="auto"/>
        </w:rPr>
      </w:pPr>
    </w:p>
    <w:p>
      <w:pPr>
        <w:sectPr>
          <w:pgSz w:w="11880" w:h="15480" w:orient="portrait"/>
          <w:cols w:equalWidth="0" w:num="2">
            <w:col w:w="6800" w:space="720"/>
            <w:col w:w="2420"/>
          </w:cols>
          <w:pgMar w:left="1000" w:top="903" w:right="940"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PROPERTY AND EQUIPMENT</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Accumulated depreciation</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Property and equipment, net</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ASSETS</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Investments in unconsolidated entities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Intangible assets, net</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Deferred tax asset</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Linefill</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Long-term operating lease right-of-use assets, net</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Long-term inventory</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Other long-term assets, net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1180" w:type="dxa"/>
            <w:vAlign w:val="bottom"/>
          </w:tcPr>
          <w:p>
            <w:pPr>
              <w:jc w:val="right"/>
              <w:spacing w:after="0"/>
              <w:rPr>
                <w:sz w:val="20"/>
                <w:szCs w:val="20"/>
                <w:color w:val="auto"/>
              </w:rPr>
            </w:pPr>
            <w:r>
              <w:rPr>
                <w:rFonts w:ascii="Arial" w:cs="Arial" w:eastAsia="Arial" w:hAnsi="Arial"/>
                <w:sz w:val="19"/>
                <w:szCs w:val="19"/>
                <w:color w:val="auto"/>
              </w:rPr>
              <w:t>21,143</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20,055</w:t>
            </w:r>
          </w:p>
        </w:tc>
      </w:tr>
      <w:tr>
        <w:trPr>
          <w:trHeight w:val="257"/>
        </w:trPr>
        <w:tc>
          <w:tcPr>
            <w:tcW w:w="1180" w:type="dxa"/>
            <w:vAlign w:val="bottom"/>
          </w:tcPr>
          <w:p>
            <w:pPr>
              <w:jc w:val="right"/>
              <w:spacing w:after="0"/>
              <w:rPr>
                <w:sz w:val="20"/>
                <w:szCs w:val="20"/>
                <w:color w:val="auto"/>
              </w:rPr>
            </w:pPr>
            <w:r>
              <w:rPr>
                <w:rFonts w:ascii="Arial" w:cs="Arial" w:eastAsia="Arial" w:hAnsi="Arial"/>
                <w:sz w:val="19"/>
                <w:szCs w:val="19"/>
                <w:color w:val="auto"/>
              </w:rPr>
              <w:t>(5,361)</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(4,802)</w:t>
            </w:r>
          </w:p>
        </w:tc>
      </w:tr>
      <w:tr>
        <w:trPr>
          <w:trHeight w:val="229"/>
        </w:trPr>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15,782</w:t>
            </w:r>
          </w:p>
        </w:tc>
        <w:tc>
          <w:tcPr>
            <w:tcW w:w="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15,253</w:t>
            </w:r>
          </w:p>
        </w:tc>
      </w:tr>
      <w:tr>
        <w:trPr>
          <w:trHeight w:val="717"/>
        </w:trPr>
        <w:tc>
          <w:tcPr>
            <w:tcW w:w="1180" w:type="dxa"/>
            <w:vAlign w:val="bottom"/>
          </w:tcPr>
          <w:p>
            <w:pPr>
              <w:jc w:val="right"/>
              <w:spacing w:after="0"/>
              <w:rPr>
                <w:sz w:val="20"/>
                <w:szCs w:val="20"/>
                <w:color w:val="auto"/>
              </w:rPr>
            </w:pPr>
            <w:r>
              <w:rPr>
                <w:rFonts w:ascii="Arial" w:cs="Arial" w:eastAsia="Arial" w:hAnsi="Arial"/>
                <w:sz w:val="19"/>
                <w:szCs w:val="19"/>
                <w:color w:val="auto"/>
              </w:rPr>
              <w:t>2,820</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3,084</w:t>
            </w:r>
          </w:p>
        </w:tc>
      </w:tr>
      <w:tr>
        <w:trPr>
          <w:trHeight w:val="249"/>
        </w:trPr>
        <w:tc>
          <w:tcPr>
            <w:tcW w:w="1180" w:type="dxa"/>
            <w:vAlign w:val="bottom"/>
          </w:tcPr>
          <w:p>
            <w:pPr>
              <w:jc w:val="right"/>
              <w:spacing w:after="0"/>
              <w:rPr>
                <w:sz w:val="20"/>
                <w:szCs w:val="20"/>
                <w:color w:val="auto"/>
              </w:rPr>
            </w:pPr>
            <w:r>
              <w:rPr>
                <w:rFonts w:ascii="Arial" w:cs="Arial" w:eastAsia="Arial" w:hAnsi="Arial"/>
                <w:sz w:val="19"/>
                <w:szCs w:val="19"/>
                <w:color w:val="auto"/>
              </w:rPr>
              <w:t>1,875</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2,145</w:t>
            </w:r>
          </w:p>
        </w:tc>
      </w:tr>
      <w:tr>
        <w:trPr>
          <w:trHeight w:val="249"/>
        </w:trPr>
        <w:tc>
          <w:tcPr>
            <w:tcW w:w="1180" w:type="dxa"/>
            <w:vAlign w:val="bottom"/>
          </w:tcPr>
          <w:p>
            <w:pPr>
              <w:jc w:val="right"/>
              <w:spacing w:after="0"/>
              <w:rPr>
                <w:sz w:val="20"/>
                <w:szCs w:val="20"/>
                <w:color w:val="auto"/>
              </w:rPr>
            </w:pPr>
            <w:r>
              <w:rPr>
                <w:rFonts w:ascii="Arial" w:cs="Arial" w:eastAsia="Arial" w:hAnsi="Arial"/>
                <w:sz w:val="19"/>
                <w:szCs w:val="19"/>
                <w:color w:val="auto"/>
              </w:rPr>
              <w:t>1,239</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1,309</w:t>
            </w:r>
          </w:p>
        </w:tc>
      </w:tr>
      <w:tr>
        <w:trPr>
          <w:trHeight w:val="249"/>
        </w:trPr>
        <w:tc>
          <w:tcPr>
            <w:tcW w:w="1180" w:type="dxa"/>
            <w:vAlign w:val="bottom"/>
          </w:tcPr>
          <w:p>
            <w:pPr>
              <w:jc w:val="right"/>
              <w:spacing w:after="0"/>
              <w:rPr>
                <w:sz w:val="20"/>
                <w:szCs w:val="20"/>
                <w:color w:val="auto"/>
              </w:rPr>
            </w:pPr>
            <w:r>
              <w:rPr>
                <w:rFonts w:ascii="Arial" w:cs="Arial" w:eastAsia="Arial" w:hAnsi="Arial"/>
                <w:sz w:val="19"/>
                <w:szCs w:val="19"/>
                <w:color w:val="auto"/>
              </w:rPr>
              <w:t>976</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961</w:t>
            </w:r>
          </w:p>
        </w:tc>
      </w:tr>
      <w:tr>
        <w:trPr>
          <w:trHeight w:val="249"/>
        </w:trPr>
        <w:tc>
          <w:tcPr>
            <w:tcW w:w="1180" w:type="dxa"/>
            <w:vAlign w:val="bottom"/>
          </w:tcPr>
          <w:p>
            <w:pPr>
              <w:jc w:val="right"/>
              <w:spacing w:after="0"/>
              <w:rPr>
                <w:sz w:val="20"/>
                <w:szCs w:val="20"/>
                <w:color w:val="auto"/>
              </w:rPr>
            </w:pPr>
            <w:r>
              <w:rPr>
                <w:rFonts w:ascii="Arial" w:cs="Arial" w:eastAsia="Arial" w:hAnsi="Arial"/>
                <w:sz w:val="19"/>
                <w:szCs w:val="19"/>
                <w:color w:val="auto"/>
              </w:rPr>
              <w:t>313</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349</w:t>
            </w:r>
          </w:p>
        </w:tc>
      </w:tr>
      <w:tr>
        <w:trPr>
          <w:trHeight w:val="254"/>
        </w:trPr>
        <w:tc>
          <w:tcPr>
            <w:tcW w:w="1180" w:type="dxa"/>
            <w:vAlign w:val="bottom"/>
          </w:tcPr>
          <w:p>
            <w:pPr>
              <w:jc w:val="right"/>
              <w:spacing w:after="0"/>
              <w:rPr>
                <w:sz w:val="20"/>
                <w:szCs w:val="20"/>
                <w:color w:val="auto"/>
              </w:rPr>
            </w:pPr>
            <w:r>
              <w:rPr>
                <w:rFonts w:ascii="Arial" w:cs="Arial" w:eastAsia="Arial" w:hAnsi="Arial"/>
                <w:sz w:val="19"/>
                <w:szCs w:val="19"/>
                <w:color w:val="auto"/>
              </w:rPr>
              <w:t>265</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284</w:t>
            </w:r>
          </w:p>
        </w:tc>
      </w:tr>
    </w:tbl>
    <w:p>
      <w:pPr>
        <w:ind w:left="2040" w:hanging="1241"/>
        <w:spacing w:after="0"/>
        <w:tabs>
          <w:tab w:leader="none" w:pos="20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464</w:t>
      </w:r>
    </w:p>
    <w:p>
      <w:pPr>
        <w:spacing w:after="0" w:line="30"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19"/>
          <w:szCs w:val="19"/>
          <w:color w:val="auto"/>
        </w:rPr>
        <w:t>$28,597  $</w:t>
      </w:r>
      <w:r>
        <w:rPr>
          <w:rFonts w:ascii="Arial" w:cs="Arial" w:eastAsia="Arial" w:hAnsi="Arial"/>
          <w:sz w:val="17"/>
          <w:szCs w:val="17"/>
          <w:color w:val="auto"/>
        </w:rPr>
        <w:t>29,207</w:t>
      </w:r>
    </w:p>
    <w:p>
      <w:pPr>
        <w:spacing w:after="0" w:line="230" w:lineRule="exact"/>
        <w:rPr>
          <w:sz w:val="20"/>
          <w:szCs w:val="20"/>
          <w:color w:val="auto"/>
        </w:rPr>
      </w:pPr>
    </w:p>
    <w:p>
      <w:pPr>
        <w:sectPr>
          <w:pgSz w:w="11880" w:h="15480" w:orient="portrait"/>
          <w:cols w:equalWidth="0" w:num="2">
            <w:col w:w="6800" w:space="720"/>
            <w:col w:w="2420"/>
          </w:cols>
          <w:pgMar w:left="1000" w:top="903" w:right="940" w:bottom="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LIABILITIES AND PARTNERS’ CAPITAL</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CURRENT LIABILITIES</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Trade accounts payable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Short-term debt</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Other current liabilities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Total current liabilities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LONG-TERM LIABILITIES</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Senior notes, net</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Other long-term debt, net</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Long-term operating lease liabilities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and deferred credits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Total long-term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580" w:val="left"/>
          <w:tab w:leader="none" w:pos="1220" w:val="left"/>
          <w:tab w:leader="none" w:pos="182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3,845</w:t>
        <w:tab/>
        <w:t>$</w:t>
      </w:r>
      <w:r>
        <w:rPr>
          <w:sz w:val="20"/>
          <w:szCs w:val="20"/>
          <w:color w:val="auto"/>
        </w:rPr>
        <w:tab/>
      </w:r>
      <w:r>
        <w:rPr>
          <w:rFonts w:ascii="Arial" w:cs="Arial" w:eastAsia="Arial" w:hAnsi="Arial"/>
          <w:sz w:val="17"/>
          <w:szCs w:val="17"/>
          <w:color w:val="auto"/>
        </w:rPr>
        <w:t>4,045</w:t>
      </w:r>
    </w:p>
    <w:p>
      <w:pPr>
        <w:spacing w:after="0" w:line="35" w:lineRule="exact"/>
        <w:rPr>
          <w:sz w:val="20"/>
          <w:szCs w:val="20"/>
          <w:color w:val="auto"/>
        </w:rPr>
      </w:pPr>
    </w:p>
    <w:p>
      <w:pPr>
        <w:ind w:left="1840" w:hanging="1101"/>
        <w:spacing w:after="0"/>
        <w:tabs>
          <w:tab w:leader="none" w:pos="18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1,159</w:t>
      </w:r>
    </w:p>
    <w:p>
      <w:pPr>
        <w:spacing w:after="0" w:line="53" w:lineRule="exact"/>
        <w:rPr>
          <w:rFonts w:ascii="Arial" w:cs="Arial" w:eastAsia="Arial" w:hAnsi="Arial"/>
          <w:sz w:val="17"/>
          <w:szCs w:val="17"/>
          <w:color w:val="auto"/>
        </w:rPr>
      </w:pPr>
    </w:p>
    <w:p>
      <w:pPr>
        <w:ind w:left="1980" w:hanging="1241"/>
        <w:spacing w:after="0"/>
        <w:tabs>
          <w:tab w:leader="none" w:pos="1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689</w:t>
      </w:r>
    </w:p>
    <w:p>
      <w:pPr>
        <w:spacing w:after="0" w:line="53" w:lineRule="exact"/>
        <w:rPr>
          <w:sz w:val="20"/>
          <w:szCs w:val="20"/>
          <w:color w:val="auto"/>
        </w:rPr>
      </w:pPr>
    </w:p>
    <w:p>
      <w:pPr>
        <w:jc w:val="both"/>
        <w:ind w:left="600"/>
        <w:spacing w:after="0"/>
        <w:tabs>
          <w:tab w:leader="none" w:pos="1820" w:val="left"/>
        </w:tabs>
        <w:rPr>
          <w:sz w:val="20"/>
          <w:szCs w:val="20"/>
          <w:color w:val="auto"/>
        </w:rPr>
      </w:pPr>
      <w:r>
        <w:rPr>
          <w:rFonts w:ascii="Arial" w:cs="Arial" w:eastAsia="Arial" w:hAnsi="Arial"/>
          <w:sz w:val="19"/>
          <w:szCs w:val="19"/>
          <w:color w:val="auto"/>
        </w:rPr>
        <w:t>5,005</w:t>
      </w:r>
      <w:r>
        <w:rPr>
          <w:sz w:val="20"/>
          <w:szCs w:val="20"/>
          <w:color w:val="auto"/>
        </w:rPr>
        <w:tab/>
      </w:r>
      <w:r>
        <w:rPr>
          <w:rFonts w:ascii="Arial" w:cs="Arial" w:eastAsia="Arial" w:hAnsi="Arial"/>
          <w:sz w:val="19"/>
          <w:szCs w:val="19"/>
          <w:color w:val="auto"/>
        </w:rPr>
        <w:t>5,893</w:t>
      </w:r>
    </w:p>
    <w:p>
      <w:pPr>
        <w:spacing w:after="0" w:line="200" w:lineRule="exact"/>
        <w:rPr>
          <w:sz w:val="20"/>
          <w:szCs w:val="20"/>
          <w:color w:val="auto"/>
        </w:rPr>
      </w:pPr>
    </w:p>
    <w:p>
      <w:pPr>
        <w:spacing w:after="0" w:line="322" w:lineRule="exact"/>
        <w:rPr>
          <w:sz w:val="20"/>
          <w:szCs w:val="20"/>
          <w:color w:val="auto"/>
        </w:rPr>
      </w:pPr>
    </w:p>
    <w:p>
      <w:pPr>
        <w:jc w:val="both"/>
        <w:ind w:left="600"/>
        <w:spacing w:after="0"/>
        <w:tabs>
          <w:tab w:leader="none" w:pos="1820" w:val="left"/>
        </w:tabs>
        <w:rPr>
          <w:sz w:val="20"/>
          <w:szCs w:val="20"/>
          <w:color w:val="auto"/>
        </w:rPr>
      </w:pPr>
      <w:r>
        <w:rPr>
          <w:rFonts w:ascii="Arial" w:cs="Arial" w:eastAsia="Arial" w:hAnsi="Arial"/>
          <w:sz w:val="19"/>
          <w:szCs w:val="19"/>
          <w:color w:val="auto"/>
        </w:rPr>
        <w:t>7,242</w:t>
      </w:r>
      <w:r>
        <w:rPr>
          <w:sz w:val="20"/>
          <w:szCs w:val="20"/>
          <w:color w:val="auto"/>
        </w:rPr>
        <w:tab/>
      </w:r>
      <w:r>
        <w:rPr>
          <w:rFonts w:ascii="Arial" w:cs="Arial" w:eastAsia="Arial" w:hAnsi="Arial"/>
          <w:sz w:val="19"/>
          <w:szCs w:val="19"/>
          <w:color w:val="auto"/>
        </w:rPr>
        <w:t>7,237</w:t>
      </w:r>
    </w:p>
    <w:p>
      <w:pPr>
        <w:spacing w:after="0" w:line="35" w:lineRule="exact"/>
        <w:rPr>
          <w:sz w:val="20"/>
          <w:szCs w:val="20"/>
          <w:color w:val="auto"/>
        </w:rPr>
      </w:pPr>
    </w:p>
    <w:p>
      <w:pPr>
        <w:ind w:left="2080" w:hanging="1244"/>
        <w:spacing w:after="0"/>
        <w:tabs>
          <w:tab w:leader="none" w:pos="2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50</w:t>
      </w:r>
    </w:p>
    <w:p>
      <w:pPr>
        <w:spacing w:after="0" w:line="53" w:lineRule="exact"/>
        <w:rPr>
          <w:rFonts w:ascii="Arial" w:cs="Arial" w:eastAsia="Arial" w:hAnsi="Arial"/>
          <w:sz w:val="17"/>
          <w:szCs w:val="17"/>
          <w:color w:val="auto"/>
        </w:rPr>
      </w:pPr>
    </w:p>
    <w:p>
      <w:pPr>
        <w:ind w:left="1980" w:hanging="1241"/>
        <w:spacing w:after="0"/>
        <w:tabs>
          <w:tab w:leader="none" w:pos="19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308</w:t>
      </w:r>
    </w:p>
    <w:p>
      <w:pPr>
        <w:spacing w:after="0" w:line="53" w:lineRule="exact"/>
        <w:rPr>
          <w:sz w:val="20"/>
          <w:szCs w:val="20"/>
          <w:color w:val="auto"/>
        </w:rPr>
      </w:pPr>
    </w:p>
    <w:p>
      <w:pPr>
        <w:jc w:val="both"/>
        <w:ind w:left="600"/>
        <w:spacing w:after="0"/>
        <w:tabs>
          <w:tab w:leader="none" w:pos="1820" w:val="left"/>
        </w:tabs>
        <w:rPr>
          <w:sz w:val="20"/>
          <w:szCs w:val="20"/>
          <w:color w:val="auto"/>
        </w:rPr>
      </w:pPr>
      <w:r>
        <w:rPr>
          <w:rFonts w:ascii="Arial" w:cs="Arial" w:eastAsia="Arial" w:hAnsi="Arial"/>
          <w:sz w:val="19"/>
          <w:szCs w:val="19"/>
          <w:color w:val="auto"/>
        </w:rPr>
        <w:t>1,041</w:t>
      </w:r>
      <w:r>
        <w:rPr>
          <w:sz w:val="20"/>
          <w:szCs w:val="20"/>
          <w:color w:val="auto"/>
        </w:rPr>
        <w:tab/>
      </w:r>
      <w:r>
        <w:rPr>
          <w:rFonts w:ascii="Arial" w:cs="Arial" w:eastAsia="Arial" w:hAnsi="Arial"/>
          <w:sz w:val="19"/>
          <w:szCs w:val="19"/>
          <w:color w:val="auto"/>
        </w:rPr>
        <w:t>1,081</w:t>
      </w:r>
    </w:p>
    <w:p>
      <w:pPr>
        <w:spacing w:after="0" w:line="30" w:lineRule="exact"/>
        <w:rPr>
          <w:sz w:val="20"/>
          <w:szCs w:val="20"/>
          <w:color w:val="auto"/>
        </w:rPr>
      </w:pPr>
    </w:p>
    <w:p>
      <w:pPr>
        <w:jc w:val="both"/>
        <w:ind w:left="600"/>
        <w:spacing w:after="0"/>
        <w:tabs>
          <w:tab w:leader="none" w:pos="1820" w:val="left"/>
        </w:tabs>
        <w:rPr>
          <w:sz w:val="20"/>
          <w:szCs w:val="20"/>
          <w:color w:val="auto"/>
        </w:rPr>
      </w:pPr>
      <w:r>
        <w:rPr>
          <w:rFonts w:ascii="Arial" w:cs="Arial" w:eastAsia="Arial" w:hAnsi="Arial"/>
          <w:sz w:val="19"/>
          <w:szCs w:val="19"/>
          <w:color w:val="auto"/>
        </w:rPr>
        <w:t>8,620</w:t>
      </w:r>
      <w:r>
        <w:rPr>
          <w:sz w:val="20"/>
          <w:szCs w:val="20"/>
          <w:color w:val="auto"/>
        </w:rPr>
        <w:tab/>
      </w:r>
      <w:r>
        <w:rPr>
          <w:rFonts w:ascii="Arial" w:cs="Arial" w:eastAsia="Arial" w:hAnsi="Arial"/>
          <w:sz w:val="19"/>
          <w:szCs w:val="19"/>
          <w:color w:val="auto"/>
        </w:rPr>
        <w:t>8,676</w:t>
      </w:r>
    </w:p>
    <w:p>
      <w:pPr>
        <w:spacing w:after="0" w:line="230" w:lineRule="exact"/>
        <w:rPr>
          <w:sz w:val="20"/>
          <w:szCs w:val="20"/>
          <w:color w:val="auto"/>
        </w:rPr>
      </w:pPr>
    </w:p>
    <w:p>
      <w:pPr>
        <w:sectPr>
          <w:pgSz w:w="11880" w:h="15480" w:orient="portrait"/>
          <w:cols w:equalWidth="0" w:num="2">
            <w:col w:w="6860" w:space="720"/>
            <w:col w:w="2360"/>
          </w:cols>
          <w:pgMar w:left="1000" w:top="903" w:right="940" w:bottom="0"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520" w:type="dxa"/>
            <w:vAlign w:val="bottom"/>
          </w:tcPr>
          <w:p>
            <w:pPr>
              <w:spacing w:after="0"/>
              <w:rPr>
                <w:sz w:val="20"/>
                <w:szCs w:val="20"/>
                <w:color w:val="auto"/>
              </w:rPr>
            </w:pPr>
            <w:r>
              <w:rPr>
                <w:rFonts w:ascii="Arial" w:cs="Arial" w:eastAsia="Arial" w:hAnsi="Arial"/>
                <w:sz w:val="19"/>
                <w:szCs w:val="19"/>
                <w:b w:val="1"/>
                <w:bCs w:val="1"/>
                <w:color w:val="auto"/>
              </w:rPr>
              <w:t>COMMITMENTS AND CONTINGENCIES (NOTE 18)</w:t>
            </w: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5"/>
        </w:trPr>
        <w:tc>
          <w:tcPr>
            <w:tcW w:w="7520" w:type="dxa"/>
            <w:vAlign w:val="bottom"/>
          </w:tcPr>
          <w:p>
            <w:pPr>
              <w:spacing w:after="0"/>
              <w:rPr>
                <w:sz w:val="20"/>
                <w:szCs w:val="20"/>
                <w:color w:val="auto"/>
              </w:rPr>
            </w:pPr>
            <w:r>
              <w:rPr>
                <w:rFonts w:ascii="Arial" w:cs="Arial" w:eastAsia="Arial" w:hAnsi="Arial"/>
                <w:sz w:val="19"/>
                <w:szCs w:val="19"/>
                <w:b w:val="1"/>
                <w:bCs w:val="1"/>
                <w:color w:val="auto"/>
              </w:rPr>
              <w:t>PARTNERS’ CAPITAL</w:t>
            </w:r>
          </w:p>
        </w:tc>
        <w:tc>
          <w:tcPr>
            <w:tcW w:w="36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1,548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9"/>
                <w:szCs w:val="19"/>
                <w:color w:val="auto"/>
              </w:rPr>
              <w:t>1,524</w:t>
            </w:r>
          </w:p>
        </w:tc>
        <w:tc>
          <w:tcPr>
            <w:tcW w:w="0" w:type="dxa"/>
            <w:vAlign w:val="bottom"/>
          </w:tcPr>
          <w:p>
            <w:pPr>
              <w:spacing w:after="0"/>
              <w:rPr>
                <w:sz w:val="1"/>
                <w:szCs w:val="1"/>
                <w:color w:val="auto"/>
              </w:rPr>
            </w:pPr>
          </w:p>
        </w:tc>
      </w:tr>
      <w:tr>
        <w:trPr>
          <w:trHeight w:val="218"/>
        </w:trPr>
        <w:tc>
          <w:tcPr>
            <w:tcW w:w="7520" w:type="dxa"/>
            <w:vAlign w:val="bottom"/>
          </w:tcPr>
          <w:p>
            <w:pPr>
              <w:spacing w:after="0"/>
              <w:rPr>
                <w:sz w:val="20"/>
                <w:szCs w:val="20"/>
                <w:color w:val="auto"/>
              </w:rPr>
            </w:pPr>
            <w:r>
              <w:rPr>
                <w:rFonts w:ascii="Arial" w:cs="Arial" w:eastAsia="Arial" w:hAnsi="Arial"/>
                <w:sz w:val="19"/>
                <w:szCs w:val="19"/>
                <w:color w:val="auto"/>
              </w:rPr>
              <w:t>Class A shareholders (196,416,760 and 194,407,642 shares outstanding, respectively)</w:t>
            </w:r>
          </w:p>
        </w:tc>
        <w:tc>
          <w:tcPr>
            <w:tcW w:w="3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520" w:type="dxa"/>
            <w:vAlign w:val="bottom"/>
          </w:tcPr>
          <w:p>
            <w:pPr>
              <w:spacing w:after="0"/>
              <w:rPr>
                <w:sz w:val="20"/>
                <w:szCs w:val="20"/>
                <w:color w:val="auto"/>
              </w:rPr>
            </w:pPr>
            <w:r>
              <w:rPr>
                <w:rFonts w:ascii="Arial" w:cs="Arial" w:eastAsia="Arial" w:hAnsi="Arial"/>
                <w:sz w:val="19"/>
                <w:szCs w:val="19"/>
                <w:color w:val="auto"/>
              </w:rPr>
              <w:t>Noncontrolling interests</w:t>
            </w: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13,424</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13,114</w:t>
            </w:r>
          </w:p>
        </w:tc>
        <w:tc>
          <w:tcPr>
            <w:tcW w:w="0" w:type="dxa"/>
            <w:vAlign w:val="bottom"/>
          </w:tcPr>
          <w:p>
            <w:pPr>
              <w:spacing w:after="0"/>
              <w:rPr>
                <w:sz w:val="1"/>
                <w:szCs w:val="1"/>
                <w:color w:val="auto"/>
              </w:rPr>
            </w:pPr>
          </w:p>
        </w:tc>
      </w:tr>
      <w:tr>
        <w:trPr>
          <w:trHeight w:val="229"/>
        </w:trPr>
        <w:tc>
          <w:tcPr>
            <w:tcW w:w="7520" w:type="dxa"/>
            <w:vAlign w:val="bottom"/>
          </w:tcPr>
          <w:p>
            <w:pPr>
              <w:ind w:left="120"/>
              <w:spacing w:after="0"/>
              <w:rPr>
                <w:sz w:val="20"/>
                <w:szCs w:val="20"/>
                <w:color w:val="auto"/>
              </w:rPr>
            </w:pPr>
            <w:r>
              <w:rPr>
                <w:rFonts w:ascii="Arial" w:cs="Arial" w:eastAsia="Arial" w:hAnsi="Arial"/>
                <w:sz w:val="19"/>
                <w:szCs w:val="19"/>
                <w:color w:val="auto"/>
              </w:rPr>
              <w:t>Total partners’ capital</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14,972</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14,638</w:t>
            </w:r>
          </w:p>
        </w:tc>
        <w:tc>
          <w:tcPr>
            <w:tcW w:w="0" w:type="dxa"/>
            <w:vAlign w:val="bottom"/>
          </w:tcPr>
          <w:p>
            <w:pPr>
              <w:spacing w:after="0"/>
              <w:rPr>
                <w:sz w:val="1"/>
                <w:szCs w:val="1"/>
                <w:color w:val="auto"/>
              </w:rPr>
            </w:pPr>
          </w:p>
        </w:tc>
      </w:tr>
      <w:tr>
        <w:trPr>
          <w:trHeight w:val="209"/>
        </w:trPr>
        <w:tc>
          <w:tcPr>
            <w:tcW w:w="7520" w:type="dxa"/>
            <w:vAlign w:val="bottom"/>
          </w:tcPr>
          <w:p>
            <w:pPr>
              <w:ind w:left="120"/>
              <w:spacing w:after="0" w:line="209" w:lineRule="exact"/>
              <w:rPr>
                <w:sz w:val="20"/>
                <w:szCs w:val="20"/>
                <w:color w:val="auto"/>
              </w:rPr>
            </w:pPr>
            <w:r>
              <w:rPr>
                <w:rFonts w:ascii="Arial" w:cs="Arial" w:eastAsia="Arial" w:hAnsi="Arial"/>
                <w:sz w:val="19"/>
                <w:szCs w:val="19"/>
                <w:color w:val="auto"/>
              </w:rPr>
              <w:t>Total liabilities and partners’ capital</w:t>
            </w:r>
          </w:p>
        </w:tc>
        <w:tc>
          <w:tcPr>
            <w:tcW w:w="360" w:type="dxa"/>
            <w:vAlign w:val="bottom"/>
            <w:tcBorders>
              <w:bottom w:val="single" w:sz="8" w:color="auto"/>
            </w:tcBorders>
          </w:tcPr>
          <w:p>
            <w:pPr>
              <w:jc w:val="right"/>
              <w:ind w:right="123"/>
              <w:spacing w:after="0" w:line="209" w:lineRule="exact"/>
              <w:rPr>
                <w:sz w:val="20"/>
                <w:szCs w:val="20"/>
                <w:color w:val="auto"/>
              </w:rPr>
            </w:pPr>
            <w:r>
              <w:rPr>
                <w:rFonts w:ascii="Arial" w:cs="Arial" w:eastAsia="Arial" w:hAnsi="Arial"/>
                <w:sz w:val="19"/>
                <w:szCs w:val="19"/>
                <w:color w:val="auto"/>
              </w:rPr>
              <w:t>$</w:t>
            </w:r>
          </w:p>
        </w:tc>
        <w:tc>
          <w:tcPr>
            <w:tcW w:w="8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28,597</w:t>
            </w:r>
          </w:p>
        </w:tc>
        <w:tc>
          <w:tcPr>
            <w:tcW w:w="60" w:type="dxa"/>
            <w:vAlign w:val="bottom"/>
          </w:tcPr>
          <w:p>
            <w:pPr>
              <w:spacing w:after="0"/>
              <w:rPr>
                <w:sz w:val="18"/>
                <w:szCs w:val="18"/>
                <w:color w:val="auto"/>
              </w:rPr>
            </w:pPr>
          </w:p>
        </w:tc>
        <w:tc>
          <w:tcPr>
            <w:tcW w:w="360" w:type="dxa"/>
            <w:vAlign w:val="bottom"/>
            <w:tcBorders>
              <w:bottom w:val="single" w:sz="8" w:color="auto"/>
            </w:tcBorders>
          </w:tcPr>
          <w:p>
            <w:pPr>
              <w:jc w:val="right"/>
              <w:ind w:right="103"/>
              <w:spacing w:after="0" w:line="209" w:lineRule="exact"/>
              <w:rPr>
                <w:sz w:val="20"/>
                <w:szCs w:val="20"/>
                <w:color w:val="auto"/>
              </w:rPr>
            </w:pPr>
            <w:r>
              <w:rPr>
                <w:rFonts w:ascii="Arial" w:cs="Arial" w:eastAsia="Arial" w:hAnsi="Arial"/>
                <w:sz w:val="19"/>
                <w:szCs w:val="19"/>
                <w:color w:val="auto"/>
              </w:rPr>
              <w:t>$</w:t>
            </w:r>
          </w:p>
        </w:tc>
        <w:tc>
          <w:tcPr>
            <w:tcW w:w="8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29,207</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880" w:h="15480" w:orient="portrait"/>
          <w:cols w:equalWidth="0" w:num="1">
            <w:col w:w="9940"/>
          </w:cols>
          <w:pgMar w:left="1000" w:top="903"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F-5</w:t>
      </w:r>
    </w:p>
    <w:p>
      <w:pPr>
        <w:sectPr>
          <w:pgSz w:w="11880" w:h="15480" w:orient="portrait"/>
          <w:cols w:equalWidth="0" w:num="1">
            <w:col w:w="9940"/>
          </w:cols>
          <w:pgMar w:left="1000" w:top="903" w:right="940" w:bottom="0" w:gutter="0" w:footer="0" w:header="0"/>
          <w:type w:val="continuous"/>
        </w:sectPr>
      </w:pPr>
    </w:p>
    <w:bookmarkStart w:id="108" w:name="page109"/>
    <w:bookmarkEnd w:id="108"/>
    <w:p>
      <w:pPr>
        <w:jc w:val="center"/>
        <w:ind w:right="60"/>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CONSOLIDATED STATEMENTS OF OPERATIONS</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(in millions, except per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53"/>
        </w:trPr>
        <w:tc>
          <w:tcPr>
            <w:tcW w:w="6280" w:type="dxa"/>
            <w:vAlign w:val="bottom"/>
          </w:tcPr>
          <w:p>
            <w:pPr>
              <w:spacing w:after="0"/>
              <w:rPr>
                <w:sz w:val="20"/>
                <w:szCs w:val="20"/>
                <w:color w:val="auto"/>
              </w:rPr>
            </w:pPr>
            <w:r>
              <w:rPr>
                <w:rFonts w:ascii="Arial" w:cs="Arial" w:eastAsia="Arial" w:hAnsi="Arial"/>
                <w:sz w:val="19"/>
                <w:szCs w:val="19"/>
                <w:b w:val="1"/>
                <w:bCs w:val="1"/>
                <w:color w:val="auto"/>
              </w:rPr>
              <w:t>REVENUES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6280" w:type="dxa"/>
            <w:vAlign w:val="bottom"/>
          </w:tcPr>
          <w:p>
            <w:pPr>
              <w:spacing w:after="0"/>
              <w:rPr>
                <w:sz w:val="20"/>
                <w:szCs w:val="20"/>
                <w:color w:val="auto"/>
              </w:rPr>
            </w:pPr>
            <w:r>
              <w:rPr>
                <w:rFonts w:ascii="Arial" w:cs="Arial" w:eastAsia="Arial" w:hAnsi="Arial"/>
                <w:sz w:val="19"/>
                <w:szCs w:val="19"/>
                <w:color w:val="auto"/>
              </w:rPr>
              <w:t>Product sales revenues</w:t>
            </w: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46,974</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55,948</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40,883</w:t>
            </w:r>
          </w:p>
        </w:tc>
        <w:tc>
          <w:tcPr>
            <w:tcW w:w="0" w:type="dxa"/>
            <w:vAlign w:val="bottom"/>
          </w:tcPr>
          <w:p>
            <w:pPr>
              <w:spacing w:after="0"/>
              <w:rPr>
                <w:sz w:val="1"/>
                <w:szCs w:val="1"/>
                <w:color w:val="auto"/>
              </w:rPr>
            </w:pPr>
          </w:p>
        </w:tc>
      </w:tr>
      <w:tr>
        <w:trPr>
          <w:trHeight w:val="296"/>
        </w:trPr>
        <w:tc>
          <w:tcPr>
            <w:tcW w:w="6280" w:type="dxa"/>
            <w:vAlign w:val="bottom"/>
          </w:tcPr>
          <w:p>
            <w:pPr>
              <w:spacing w:after="0"/>
              <w:rPr>
                <w:sz w:val="20"/>
                <w:szCs w:val="20"/>
                <w:color w:val="auto"/>
              </w:rPr>
            </w:pPr>
            <w:r>
              <w:rPr>
                <w:rFonts w:ascii="Arial" w:cs="Arial" w:eastAsia="Arial" w:hAnsi="Arial"/>
                <w:sz w:val="19"/>
                <w:szCs w:val="19"/>
                <w:color w:val="auto"/>
              </w:rPr>
              <w:t>Services revenues</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1,738</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1,394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1,195</w:t>
            </w:r>
          </w:p>
        </w:tc>
        <w:tc>
          <w:tcPr>
            <w:tcW w:w="0" w:type="dxa"/>
            <w:vAlign w:val="bottom"/>
          </w:tcPr>
          <w:p>
            <w:pPr>
              <w:spacing w:after="0"/>
              <w:rPr>
                <w:sz w:val="1"/>
                <w:szCs w:val="1"/>
                <w:color w:val="auto"/>
              </w:rPr>
            </w:pPr>
          </w:p>
        </w:tc>
      </w:tr>
      <w:tr>
        <w:trPr>
          <w:trHeight w:val="269"/>
        </w:trPr>
        <w:tc>
          <w:tcPr>
            <w:tcW w:w="6280" w:type="dxa"/>
            <w:vAlign w:val="bottom"/>
          </w:tcPr>
          <w:p>
            <w:pPr>
              <w:ind w:left="120"/>
              <w:spacing w:after="0"/>
              <w:rPr>
                <w:sz w:val="20"/>
                <w:szCs w:val="20"/>
                <w:color w:val="auto"/>
              </w:rPr>
            </w:pPr>
            <w:r>
              <w:rPr>
                <w:rFonts w:ascii="Arial" w:cs="Arial" w:eastAsia="Arial" w:hAnsi="Arial"/>
                <w:sz w:val="19"/>
                <w:szCs w:val="19"/>
                <w:color w:val="auto"/>
              </w:rPr>
              <w:t>Total revenues</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48,712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57,342</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42,078</w:t>
            </w:r>
          </w:p>
        </w:tc>
        <w:tc>
          <w:tcPr>
            <w:tcW w:w="0" w:type="dxa"/>
            <w:vAlign w:val="bottom"/>
          </w:tcPr>
          <w:p>
            <w:pPr>
              <w:spacing w:after="0"/>
              <w:rPr>
                <w:sz w:val="1"/>
                <w:szCs w:val="1"/>
                <w:color w:val="auto"/>
              </w:rPr>
            </w:pPr>
          </w:p>
        </w:tc>
      </w:tr>
      <w:tr>
        <w:trPr>
          <w:trHeight w:val="525"/>
        </w:trPr>
        <w:tc>
          <w:tcPr>
            <w:tcW w:w="6280" w:type="dxa"/>
            <w:vAlign w:val="bottom"/>
          </w:tcPr>
          <w:p>
            <w:pPr>
              <w:spacing w:after="0"/>
              <w:rPr>
                <w:sz w:val="20"/>
                <w:szCs w:val="20"/>
                <w:color w:val="auto"/>
              </w:rPr>
            </w:pPr>
            <w:r>
              <w:rPr>
                <w:rFonts w:ascii="Arial" w:cs="Arial" w:eastAsia="Arial" w:hAnsi="Arial"/>
                <w:sz w:val="19"/>
                <w:szCs w:val="19"/>
                <w:b w:val="1"/>
                <w:bCs w:val="1"/>
                <w:color w:val="auto"/>
              </w:rPr>
              <w:t>COSTS AND EXPENSES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280" w:type="dxa"/>
            <w:vAlign w:val="bottom"/>
          </w:tcPr>
          <w:p>
            <w:pPr>
              <w:spacing w:after="0"/>
              <w:rPr>
                <w:sz w:val="20"/>
                <w:szCs w:val="20"/>
                <w:color w:val="auto"/>
              </w:rPr>
            </w:pPr>
            <w:r>
              <w:rPr>
                <w:rFonts w:ascii="Arial" w:cs="Arial" w:eastAsia="Arial" w:hAnsi="Arial"/>
                <w:sz w:val="19"/>
                <w:szCs w:val="19"/>
                <w:color w:val="auto"/>
              </w:rPr>
              <w:t>Purchases and related costs</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44,531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53,176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38,504</w:t>
            </w:r>
          </w:p>
        </w:tc>
        <w:tc>
          <w:tcPr>
            <w:tcW w:w="0" w:type="dxa"/>
            <w:vAlign w:val="bottom"/>
          </w:tcPr>
          <w:p>
            <w:pPr>
              <w:spacing w:after="0"/>
              <w:rPr>
                <w:sz w:val="1"/>
                <w:szCs w:val="1"/>
                <w:color w:val="auto"/>
              </w:rPr>
            </w:pPr>
          </w:p>
        </w:tc>
      </w:tr>
      <w:tr>
        <w:trPr>
          <w:trHeight w:val="292"/>
        </w:trPr>
        <w:tc>
          <w:tcPr>
            <w:tcW w:w="6280" w:type="dxa"/>
            <w:vAlign w:val="bottom"/>
          </w:tcPr>
          <w:p>
            <w:pPr>
              <w:spacing w:after="0"/>
              <w:rPr>
                <w:sz w:val="20"/>
                <w:szCs w:val="20"/>
                <w:color w:val="auto"/>
              </w:rPr>
            </w:pPr>
            <w:r>
              <w:rPr>
                <w:rFonts w:ascii="Arial" w:cs="Arial" w:eastAsia="Arial" w:hAnsi="Arial"/>
                <w:sz w:val="19"/>
                <w:szCs w:val="19"/>
                <w:color w:val="auto"/>
              </w:rPr>
              <w:t>Field operating costs</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1,425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1,315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1,065</w:t>
            </w:r>
          </w:p>
        </w:tc>
        <w:tc>
          <w:tcPr>
            <w:tcW w:w="0" w:type="dxa"/>
            <w:vAlign w:val="bottom"/>
          </w:tcPr>
          <w:p>
            <w:pPr>
              <w:spacing w:after="0"/>
              <w:rPr>
                <w:sz w:val="1"/>
                <w:szCs w:val="1"/>
                <w:color w:val="auto"/>
              </w:rPr>
            </w:pPr>
          </w:p>
        </w:tc>
      </w:tr>
      <w:tr>
        <w:trPr>
          <w:trHeight w:val="292"/>
        </w:trPr>
        <w:tc>
          <w:tcPr>
            <w:tcW w:w="6280" w:type="dxa"/>
            <w:vAlign w:val="bottom"/>
          </w:tcPr>
          <w:p>
            <w:pPr>
              <w:spacing w:after="0"/>
              <w:rPr>
                <w:sz w:val="20"/>
                <w:szCs w:val="20"/>
                <w:color w:val="auto"/>
              </w:rPr>
            </w:pPr>
            <w:r>
              <w:rPr>
                <w:rFonts w:ascii="Arial" w:cs="Arial" w:eastAsia="Arial" w:hAnsi="Arial"/>
                <w:sz w:val="19"/>
                <w:szCs w:val="19"/>
                <w:color w:val="auto"/>
              </w:rPr>
              <w:t>General and administrative expenses</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356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330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298</w:t>
            </w:r>
          </w:p>
        </w:tc>
        <w:tc>
          <w:tcPr>
            <w:tcW w:w="0" w:type="dxa"/>
            <w:vAlign w:val="bottom"/>
          </w:tcPr>
          <w:p>
            <w:pPr>
              <w:spacing w:after="0"/>
              <w:rPr>
                <w:sz w:val="1"/>
                <w:szCs w:val="1"/>
                <w:color w:val="auto"/>
              </w:rPr>
            </w:pPr>
          </w:p>
        </w:tc>
      </w:tr>
      <w:tr>
        <w:trPr>
          <w:trHeight w:val="292"/>
        </w:trPr>
        <w:tc>
          <w:tcPr>
            <w:tcW w:w="6280" w:type="dxa"/>
            <w:vAlign w:val="bottom"/>
          </w:tcPr>
          <w:p>
            <w:pPr>
              <w:spacing w:after="0"/>
              <w:rPr>
                <w:sz w:val="20"/>
                <w:szCs w:val="20"/>
                <w:color w:val="auto"/>
              </w:rPr>
            </w:pPr>
            <w:r>
              <w:rPr>
                <w:rFonts w:ascii="Arial" w:cs="Arial" w:eastAsia="Arial" w:hAnsi="Arial"/>
                <w:sz w:val="19"/>
                <w:szCs w:val="19"/>
                <w:color w:val="auto"/>
              </w:rPr>
              <w:t>Depreciation and amortization</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1,051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968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777</w:t>
            </w:r>
          </w:p>
        </w:tc>
        <w:tc>
          <w:tcPr>
            <w:tcW w:w="0" w:type="dxa"/>
            <w:vAlign w:val="bottom"/>
          </w:tcPr>
          <w:p>
            <w:pPr>
              <w:spacing w:after="0"/>
              <w:rPr>
                <w:sz w:val="1"/>
                <w:szCs w:val="1"/>
                <w:color w:val="auto"/>
              </w:rPr>
            </w:pPr>
          </w:p>
        </w:tc>
      </w:tr>
      <w:tr>
        <w:trPr>
          <w:trHeight w:val="295"/>
        </w:trPr>
        <w:tc>
          <w:tcPr>
            <w:tcW w:w="6280" w:type="dxa"/>
            <w:vAlign w:val="bottom"/>
          </w:tcPr>
          <w:p>
            <w:pPr>
              <w:spacing w:after="0"/>
              <w:rPr>
                <w:sz w:val="20"/>
                <w:szCs w:val="20"/>
                <w:color w:val="auto"/>
              </w:rPr>
            </w:pPr>
            <w:r>
              <w:rPr>
                <w:rFonts w:ascii="Arial" w:cs="Arial" w:eastAsia="Arial" w:hAnsi="Arial"/>
                <w:sz w:val="19"/>
                <w:szCs w:val="19"/>
                <w:color w:val="auto"/>
              </w:rPr>
              <w:t>(Gains)/losses on asset sales and asset impairments, net (Note 6, Note 7)</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(152)</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592</w:t>
            </w:r>
          </w:p>
        </w:tc>
        <w:tc>
          <w:tcPr>
            <w:tcW w:w="0" w:type="dxa"/>
            <w:vAlign w:val="bottom"/>
          </w:tcPr>
          <w:p>
            <w:pPr>
              <w:spacing w:after="0"/>
              <w:rPr>
                <w:sz w:val="1"/>
                <w:szCs w:val="1"/>
                <w:color w:val="auto"/>
              </w:rPr>
            </w:pPr>
          </w:p>
        </w:tc>
      </w:tr>
      <w:tr>
        <w:trPr>
          <w:trHeight w:val="269"/>
        </w:trPr>
        <w:tc>
          <w:tcPr>
            <w:tcW w:w="6280" w:type="dxa"/>
            <w:vAlign w:val="bottom"/>
          </w:tcPr>
          <w:p>
            <w:pPr>
              <w:ind w:left="120"/>
              <w:spacing w:after="0"/>
              <w:rPr>
                <w:sz w:val="20"/>
                <w:szCs w:val="20"/>
                <w:color w:val="auto"/>
              </w:rPr>
            </w:pPr>
            <w:r>
              <w:rPr>
                <w:rFonts w:ascii="Arial" w:cs="Arial" w:eastAsia="Arial" w:hAnsi="Arial"/>
                <w:sz w:val="19"/>
                <w:szCs w:val="19"/>
                <w:color w:val="auto"/>
              </w:rPr>
              <w:t>Total costs and expenses</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47,211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56,058</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41,236</w:t>
            </w:r>
          </w:p>
        </w:tc>
        <w:tc>
          <w:tcPr>
            <w:tcW w:w="0" w:type="dxa"/>
            <w:vAlign w:val="bottom"/>
          </w:tcPr>
          <w:p>
            <w:pPr>
              <w:spacing w:after="0"/>
              <w:rPr>
                <w:sz w:val="1"/>
                <w:szCs w:val="1"/>
                <w:color w:val="auto"/>
              </w:rPr>
            </w:pPr>
          </w:p>
        </w:tc>
      </w:tr>
      <w:tr>
        <w:trPr>
          <w:trHeight w:val="570"/>
        </w:trPr>
        <w:tc>
          <w:tcPr>
            <w:tcW w:w="6280" w:type="dxa"/>
            <w:vAlign w:val="bottom"/>
          </w:tcPr>
          <w:p>
            <w:pPr>
              <w:spacing w:after="0"/>
              <w:rPr>
                <w:sz w:val="20"/>
                <w:szCs w:val="20"/>
                <w:color w:val="auto"/>
              </w:rPr>
            </w:pPr>
            <w:r>
              <w:rPr>
                <w:rFonts w:ascii="Arial" w:cs="Arial" w:eastAsia="Arial" w:hAnsi="Arial"/>
                <w:sz w:val="19"/>
                <w:szCs w:val="19"/>
                <w:b w:val="1"/>
                <w:bCs w:val="1"/>
                <w:color w:val="auto"/>
              </w:rPr>
              <w:t>OPERATING INCOME</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1,501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1,284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842</w:t>
            </w:r>
          </w:p>
        </w:tc>
        <w:tc>
          <w:tcPr>
            <w:tcW w:w="0" w:type="dxa"/>
            <w:vAlign w:val="bottom"/>
          </w:tcPr>
          <w:p>
            <w:pPr>
              <w:spacing w:after="0"/>
              <w:rPr>
                <w:sz w:val="1"/>
                <w:szCs w:val="1"/>
                <w:color w:val="auto"/>
              </w:rPr>
            </w:pPr>
          </w:p>
        </w:tc>
      </w:tr>
      <w:tr>
        <w:trPr>
          <w:trHeight w:val="525"/>
        </w:trPr>
        <w:tc>
          <w:tcPr>
            <w:tcW w:w="6280" w:type="dxa"/>
            <w:vAlign w:val="bottom"/>
          </w:tcPr>
          <w:p>
            <w:pPr>
              <w:spacing w:after="0"/>
              <w:rPr>
                <w:sz w:val="20"/>
                <w:szCs w:val="20"/>
                <w:color w:val="auto"/>
              </w:rPr>
            </w:pPr>
            <w:r>
              <w:rPr>
                <w:rFonts w:ascii="Arial" w:cs="Arial" w:eastAsia="Arial" w:hAnsi="Arial"/>
                <w:sz w:val="19"/>
                <w:szCs w:val="19"/>
                <w:b w:val="1"/>
                <w:bCs w:val="1"/>
                <w:color w:val="auto"/>
              </w:rPr>
              <w:t>OTHER INCOME/(EXPENSE)</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280" w:type="dxa"/>
            <w:vAlign w:val="bottom"/>
          </w:tcPr>
          <w:p>
            <w:pPr>
              <w:spacing w:after="0"/>
              <w:rPr>
                <w:sz w:val="20"/>
                <w:szCs w:val="20"/>
                <w:color w:val="auto"/>
              </w:rPr>
            </w:pPr>
            <w:r>
              <w:rPr>
                <w:rFonts w:ascii="Arial" w:cs="Arial" w:eastAsia="Arial" w:hAnsi="Arial"/>
                <w:sz w:val="19"/>
                <w:szCs w:val="19"/>
                <w:color w:val="auto"/>
              </w:rPr>
              <w:t>Equity earnings in unconsolidated entities</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369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403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274</w:t>
            </w:r>
          </w:p>
        </w:tc>
        <w:tc>
          <w:tcPr>
            <w:tcW w:w="0" w:type="dxa"/>
            <w:vAlign w:val="bottom"/>
          </w:tcPr>
          <w:p>
            <w:pPr>
              <w:spacing w:after="0"/>
              <w:rPr>
                <w:sz w:val="1"/>
                <w:szCs w:val="1"/>
                <w:color w:val="auto"/>
              </w:rPr>
            </w:pPr>
          </w:p>
        </w:tc>
      </w:tr>
      <w:tr>
        <w:trPr>
          <w:trHeight w:val="292"/>
        </w:trPr>
        <w:tc>
          <w:tcPr>
            <w:tcW w:w="6280" w:type="dxa"/>
            <w:vAlign w:val="bottom"/>
          </w:tcPr>
          <w:p>
            <w:pPr>
              <w:spacing w:after="0"/>
              <w:rPr>
                <w:sz w:val="20"/>
                <w:szCs w:val="20"/>
                <w:color w:val="auto"/>
              </w:rPr>
            </w:pPr>
            <w:r>
              <w:rPr>
                <w:rFonts w:ascii="Arial" w:cs="Arial" w:eastAsia="Arial" w:hAnsi="Arial"/>
                <w:sz w:val="19"/>
                <w:szCs w:val="19"/>
                <w:color w:val="auto"/>
                <w:w w:val="96"/>
              </w:rPr>
              <w:t>Gains/(losses) on investments in unconsolidated entities, net (Note 7, Note 8)</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346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92"/>
        </w:trPr>
        <w:tc>
          <w:tcPr>
            <w:tcW w:w="6280" w:type="dxa"/>
            <w:vAlign w:val="bottom"/>
          </w:tcPr>
          <w:p>
            <w:pPr>
              <w:spacing w:after="0"/>
              <w:rPr>
                <w:sz w:val="20"/>
                <w:szCs w:val="20"/>
                <w:color w:val="auto"/>
              </w:rPr>
            </w:pPr>
            <w:r>
              <w:rPr>
                <w:rFonts w:ascii="Arial" w:cs="Arial" w:eastAsia="Arial" w:hAnsi="Arial"/>
                <w:sz w:val="19"/>
                <w:szCs w:val="19"/>
                <w:color w:val="auto"/>
                <w:w w:val="97"/>
              </w:rPr>
              <w:t>Interest expense (net of capitalized interest of $10, $5 and $18, respectively)</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(386)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(405)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(425)</w:t>
            </w:r>
          </w:p>
        </w:tc>
        <w:tc>
          <w:tcPr>
            <w:tcW w:w="0" w:type="dxa"/>
            <w:vAlign w:val="bottom"/>
          </w:tcPr>
          <w:p>
            <w:pPr>
              <w:spacing w:after="0"/>
              <w:rPr>
                <w:sz w:val="1"/>
                <w:szCs w:val="1"/>
                <w:color w:val="auto"/>
              </w:rPr>
            </w:pPr>
          </w:p>
        </w:tc>
      </w:tr>
      <w:tr>
        <w:trPr>
          <w:trHeight w:val="295"/>
        </w:trPr>
        <w:tc>
          <w:tcPr>
            <w:tcW w:w="6280" w:type="dxa"/>
            <w:vAlign w:val="bottom"/>
          </w:tcPr>
          <w:p>
            <w:pPr>
              <w:spacing w:after="0"/>
              <w:rPr>
                <w:sz w:val="20"/>
                <w:szCs w:val="20"/>
                <w:color w:val="auto"/>
              </w:rPr>
            </w:pPr>
            <w:r>
              <w:rPr>
                <w:rFonts w:ascii="Arial" w:cs="Arial" w:eastAsia="Arial" w:hAnsi="Arial"/>
                <w:sz w:val="19"/>
                <w:szCs w:val="19"/>
                <w:color w:val="auto"/>
              </w:rPr>
              <w:t>Other income/(expense), net</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102</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w:t>
            </w:r>
          </w:p>
        </w:tc>
        <w:tc>
          <w:tcPr>
            <w:tcW w:w="0" w:type="dxa"/>
            <w:vAlign w:val="bottom"/>
          </w:tcPr>
          <w:p>
            <w:pPr>
              <w:spacing w:after="0"/>
              <w:rPr>
                <w:sz w:val="1"/>
                <w:szCs w:val="1"/>
                <w:color w:val="auto"/>
              </w:rPr>
            </w:pPr>
          </w:p>
        </w:tc>
      </w:tr>
      <w:tr>
        <w:trPr>
          <w:trHeight w:val="547"/>
        </w:trPr>
        <w:tc>
          <w:tcPr>
            <w:tcW w:w="6280" w:type="dxa"/>
            <w:vAlign w:val="bottom"/>
          </w:tcPr>
          <w:p>
            <w:pPr>
              <w:spacing w:after="0"/>
              <w:rPr>
                <w:sz w:val="20"/>
                <w:szCs w:val="20"/>
                <w:color w:val="auto"/>
              </w:rPr>
            </w:pPr>
            <w:r>
              <w:rPr>
                <w:rFonts w:ascii="Arial" w:cs="Arial" w:eastAsia="Arial" w:hAnsi="Arial"/>
                <w:sz w:val="19"/>
                <w:szCs w:val="19"/>
                <w:b w:val="1"/>
                <w:bCs w:val="1"/>
                <w:color w:val="auto"/>
              </w:rPr>
              <w:t>INCOME BEFORE TAX</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1,614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1,409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712</w:t>
            </w:r>
          </w:p>
        </w:tc>
        <w:tc>
          <w:tcPr>
            <w:tcW w:w="0" w:type="dxa"/>
            <w:vAlign w:val="bottom"/>
          </w:tcPr>
          <w:p>
            <w:pPr>
              <w:spacing w:after="0"/>
              <w:rPr>
                <w:sz w:val="1"/>
                <w:szCs w:val="1"/>
                <w:color w:val="auto"/>
              </w:rPr>
            </w:pPr>
          </w:p>
        </w:tc>
      </w:tr>
      <w:tr>
        <w:trPr>
          <w:trHeight w:val="292"/>
        </w:trPr>
        <w:tc>
          <w:tcPr>
            <w:tcW w:w="6280" w:type="dxa"/>
            <w:vAlign w:val="bottom"/>
          </w:tcPr>
          <w:p>
            <w:pPr>
              <w:spacing w:after="0"/>
              <w:rPr>
                <w:sz w:val="20"/>
                <w:szCs w:val="20"/>
                <w:color w:val="auto"/>
              </w:rPr>
            </w:pPr>
            <w:r>
              <w:rPr>
                <w:rFonts w:ascii="Arial" w:cs="Arial" w:eastAsia="Arial" w:hAnsi="Arial"/>
                <w:sz w:val="19"/>
                <w:szCs w:val="19"/>
                <w:color w:val="auto"/>
              </w:rPr>
              <w:t>Current income tax expense</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(145)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(84)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(50)</w:t>
            </w:r>
          </w:p>
        </w:tc>
        <w:tc>
          <w:tcPr>
            <w:tcW w:w="0" w:type="dxa"/>
            <w:vAlign w:val="bottom"/>
          </w:tcPr>
          <w:p>
            <w:pPr>
              <w:spacing w:after="0"/>
              <w:rPr>
                <w:sz w:val="1"/>
                <w:szCs w:val="1"/>
                <w:color w:val="auto"/>
              </w:rPr>
            </w:pPr>
          </w:p>
        </w:tc>
      </w:tr>
      <w:tr>
        <w:trPr>
          <w:trHeight w:val="295"/>
        </w:trPr>
        <w:tc>
          <w:tcPr>
            <w:tcW w:w="6280" w:type="dxa"/>
            <w:vAlign w:val="bottom"/>
          </w:tcPr>
          <w:p>
            <w:pPr>
              <w:spacing w:after="0"/>
              <w:rPr>
                <w:sz w:val="20"/>
                <w:szCs w:val="20"/>
                <w:color w:val="auto"/>
              </w:rPr>
            </w:pPr>
            <w:r>
              <w:rPr>
                <w:rFonts w:ascii="Arial" w:cs="Arial" w:eastAsia="Arial" w:hAnsi="Arial"/>
                <w:sz w:val="19"/>
                <w:szCs w:val="19"/>
                <w:color w:val="auto"/>
              </w:rPr>
              <w:t>Deferred income tax expense</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(62)</w:t>
            </w:r>
          </w:p>
        </w:tc>
        <w:tc>
          <w:tcPr>
            <w:tcW w:w="0" w:type="dxa"/>
            <w:vAlign w:val="bottom"/>
          </w:tcPr>
          <w:p>
            <w:pPr>
              <w:spacing w:after="0"/>
              <w:rPr>
                <w:sz w:val="1"/>
                <w:szCs w:val="1"/>
                <w:color w:val="auto"/>
              </w:rPr>
            </w:pPr>
          </w:p>
        </w:tc>
      </w:tr>
      <w:tr>
        <w:trPr>
          <w:trHeight w:val="562"/>
        </w:trPr>
        <w:tc>
          <w:tcPr>
            <w:tcW w:w="6280" w:type="dxa"/>
            <w:vAlign w:val="bottom"/>
          </w:tcPr>
          <w:p>
            <w:pPr>
              <w:spacing w:after="0"/>
              <w:rPr>
                <w:sz w:val="20"/>
                <w:szCs w:val="20"/>
                <w:color w:val="auto"/>
              </w:rPr>
            </w:pPr>
            <w:r>
              <w:rPr>
                <w:rFonts w:ascii="Arial" w:cs="Arial" w:eastAsia="Arial" w:hAnsi="Arial"/>
                <w:sz w:val="19"/>
                <w:szCs w:val="19"/>
                <w:b w:val="1"/>
                <w:bCs w:val="1"/>
                <w:color w:val="auto"/>
              </w:rPr>
              <w:t>NET INCOME</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1,425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1,163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600</w:t>
            </w:r>
          </w:p>
        </w:tc>
        <w:tc>
          <w:tcPr>
            <w:tcW w:w="0" w:type="dxa"/>
            <w:vAlign w:val="bottom"/>
          </w:tcPr>
          <w:p>
            <w:pPr>
              <w:spacing w:after="0"/>
              <w:rPr>
                <w:sz w:val="1"/>
                <w:szCs w:val="1"/>
                <w:color w:val="auto"/>
              </w:rPr>
            </w:pPr>
          </w:p>
        </w:tc>
      </w:tr>
      <w:tr>
        <w:trPr>
          <w:trHeight w:val="295"/>
        </w:trPr>
        <w:tc>
          <w:tcPr>
            <w:tcW w:w="6280" w:type="dxa"/>
            <w:vAlign w:val="bottom"/>
          </w:tcPr>
          <w:p>
            <w:pPr>
              <w:ind w:left="120"/>
              <w:spacing w:after="0"/>
              <w:rPr>
                <w:sz w:val="20"/>
                <w:szCs w:val="20"/>
                <w:color w:val="auto"/>
              </w:rPr>
            </w:pPr>
            <w:r>
              <w:rPr>
                <w:rFonts w:ascii="Arial" w:cs="Arial" w:eastAsia="Arial" w:hAnsi="Arial"/>
                <w:sz w:val="19"/>
                <w:szCs w:val="19"/>
                <w:color w:val="auto"/>
              </w:rPr>
              <w:t>Net income attributable to noncontrolling interests</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(1,227)</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(995)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(540)</w:t>
            </w:r>
          </w:p>
        </w:tc>
        <w:tc>
          <w:tcPr>
            <w:tcW w:w="0" w:type="dxa"/>
            <w:vAlign w:val="bottom"/>
          </w:tcPr>
          <w:p>
            <w:pPr>
              <w:spacing w:after="0"/>
              <w:rPr>
                <w:sz w:val="1"/>
                <w:szCs w:val="1"/>
                <w:color w:val="auto"/>
              </w:rPr>
            </w:pPr>
          </w:p>
        </w:tc>
      </w:tr>
      <w:tr>
        <w:trPr>
          <w:trHeight w:val="253"/>
        </w:trPr>
        <w:tc>
          <w:tcPr>
            <w:tcW w:w="6280" w:type="dxa"/>
            <w:vAlign w:val="bottom"/>
          </w:tcPr>
          <w:p>
            <w:pPr>
              <w:spacing w:after="0"/>
              <w:rPr>
                <w:sz w:val="20"/>
                <w:szCs w:val="20"/>
                <w:color w:val="auto"/>
              </w:rPr>
            </w:pPr>
            <w:r>
              <w:rPr>
                <w:rFonts w:ascii="Arial" w:cs="Arial" w:eastAsia="Arial" w:hAnsi="Arial"/>
                <w:sz w:val="19"/>
                <w:szCs w:val="19"/>
                <w:b w:val="1"/>
                <w:bCs w:val="1"/>
                <w:color w:val="auto"/>
              </w:rPr>
              <w:t>NET INCOME ATTRIBUTABLE TO PAGP</w:t>
            </w: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198</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168</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60</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9"/>
                <w:szCs w:val="19"/>
                <w:color w:val="auto"/>
              </w:rPr>
              <w:t>Basic and diluted weighted average Class A shares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195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194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194</w:t>
            </w:r>
          </w:p>
        </w:tc>
        <w:tc>
          <w:tcPr>
            <w:tcW w:w="0" w:type="dxa"/>
            <w:vAlign w:val="bottom"/>
          </w:tcPr>
          <w:p>
            <w:pPr>
              <w:spacing w:after="0"/>
              <w:rPr>
                <w:sz w:val="1"/>
                <w:szCs w:val="1"/>
                <w:color w:val="auto"/>
              </w:rPr>
            </w:pPr>
          </w:p>
        </w:tc>
      </w:tr>
      <w:tr>
        <w:trPr>
          <w:trHeight w:val="276"/>
        </w:trPr>
        <w:tc>
          <w:tcPr>
            <w:tcW w:w="6280" w:type="dxa"/>
            <w:vAlign w:val="bottom"/>
          </w:tcPr>
          <w:p>
            <w:pPr>
              <w:spacing w:after="0"/>
              <w:rPr>
                <w:sz w:val="20"/>
                <w:szCs w:val="20"/>
                <w:color w:val="auto"/>
              </w:rPr>
            </w:pPr>
            <w:r>
              <w:rPr>
                <w:rFonts w:ascii="Arial" w:cs="Arial" w:eastAsia="Arial" w:hAnsi="Arial"/>
                <w:sz w:val="19"/>
                <w:szCs w:val="19"/>
                <w:color w:val="auto"/>
              </w:rPr>
              <w:t>Basic and diluted net income per Class A share</w:t>
            </w: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1.01</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0.86</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0.31</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-5676265</wp:posOffset>
            </wp:positionV>
            <wp:extent cx="6367145" cy="56832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1">
                      <a:extLst>
                        <a:ext uri="{28A0092B-C50C-407E-A947-70E740481C1C}"/>
                      </a:extLst>
                    </a:blip>
                    <a:srcRect/>
                    <a:stretch>
                      <a:fillRect/>
                    </a:stretch>
                  </pic:blipFill>
                  <pic:spPr bwMode="auto">
                    <a:xfrm>
                      <a:off x="0" y="0"/>
                      <a:ext cx="6367145" cy="5683250"/>
                    </a:xfrm>
                    <a:prstGeom prst="rect">
                      <a:avLst/>
                    </a:prstGeom>
                    <a:noFill/>
                  </pic:spPr>
                </pic:pic>
              </a:graphicData>
            </a:graphic>
          </wp:anchor>
        </w:drawing>
      </w: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880" w:h="15480" w:orient="portrait"/>
          <w:cols w:equalWidth="0" w:num="1">
            <w:col w:w="9940"/>
          </w:cols>
          <w:pgMar w:left="1000" w:top="66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F-6</w:t>
      </w:r>
    </w:p>
    <w:p>
      <w:pPr>
        <w:sectPr>
          <w:pgSz w:w="11880" w:h="15480" w:orient="portrait"/>
          <w:cols w:equalWidth="0" w:num="1">
            <w:col w:w="9940"/>
          </w:cols>
          <w:pgMar w:left="1000" w:top="669" w:right="940" w:bottom="0" w:gutter="0" w:footer="0" w:header="0"/>
          <w:type w:val="continuous"/>
        </w:sectPr>
      </w:pPr>
    </w:p>
    <w:bookmarkStart w:id="109" w:name="page110"/>
    <w:bookmarkEnd w:id="109"/>
    <w:p>
      <w:pPr>
        <w:jc w:val="center"/>
        <w:ind w:right="60"/>
        <w:spacing w:after="0" w:line="278" w:lineRule="auto"/>
        <w:rPr>
          <w:sz w:val="20"/>
          <w:szCs w:val="20"/>
          <w:color w:val="auto"/>
        </w:rPr>
      </w:pPr>
      <w:r>
        <w:rPr>
          <w:rFonts w:ascii="Arial" w:cs="Arial" w:eastAsia="Arial" w:hAnsi="Arial"/>
          <w:sz w:val="19"/>
          <w:szCs w:val="19"/>
          <w:b w:val="1"/>
          <w:bCs w:val="1"/>
          <w:color w:val="auto"/>
        </w:rPr>
        <w:t>PLAINS GP HOLDINGS, L.P. AND SUBSIDIARIES CONSOLIDATED STATEMENTS OF COMPREHENSIVE INCOME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r>
      <w:tr>
        <w:trPr>
          <w:trHeight w:val="229"/>
        </w:trPr>
        <w:tc>
          <w:tcPr>
            <w:tcW w:w="6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6"/>
              <w:spacing w:after="0"/>
              <w:rPr>
                <w:sz w:val="20"/>
                <w:szCs w:val="20"/>
                <w:color w:val="auto"/>
              </w:rPr>
            </w:pPr>
            <w:r>
              <w:rPr>
                <w:rFonts w:ascii="Arial" w:cs="Arial" w:eastAsia="Arial" w:hAnsi="Arial"/>
                <w:sz w:val="16"/>
                <w:szCs w:val="16"/>
                <w:b w:val="1"/>
                <w:bCs w:val="1"/>
                <w:color w:val="auto"/>
              </w:rPr>
              <w:t>2021</w:t>
            </w:r>
          </w:p>
        </w:tc>
      </w:tr>
      <w:tr>
        <w:trPr>
          <w:trHeight w:val="269"/>
        </w:trPr>
        <w:tc>
          <w:tcPr>
            <w:tcW w:w="6280" w:type="dxa"/>
            <w:vAlign w:val="bottom"/>
          </w:tcPr>
          <w:p>
            <w:pPr>
              <w:spacing w:after="0"/>
              <w:rPr>
                <w:sz w:val="20"/>
                <w:szCs w:val="20"/>
                <w:color w:val="auto"/>
              </w:rPr>
            </w:pPr>
            <w:r>
              <w:rPr>
                <w:rFonts w:ascii="Arial" w:cs="Arial" w:eastAsia="Arial" w:hAnsi="Arial"/>
                <w:sz w:val="19"/>
                <w:szCs w:val="19"/>
                <w:color w:val="auto"/>
              </w:rPr>
              <w:t>Net income</w:t>
            </w: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1,425</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1,163</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600</w:t>
            </w:r>
          </w:p>
        </w:tc>
      </w:tr>
      <w:tr>
        <w:trPr>
          <w:trHeight w:val="296"/>
        </w:trPr>
        <w:tc>
          <w:tcPr>
            <w:tcW w:w="6280" w:type="dxa"/>
            <w:vAlign w:val="bottom"/>
          </w:tcPr>
          <w:p>
            <w:pPr>
              <w:spacing w:after="0"/>
              <w:rPr>
                <w:sz w:val="20"/>
                <w:szCs w:val="20"/>
                <w:color w:val="auto"/>
              </w:rPr>
            </w:pPr>
            <w:r>
              <w:rPr>
                <w:rFonts w:ascii="Arial" w:cs="Arial" w:eastAsia="Arial" w:hAnsi="Arial"/>
                <w:sz w:val="19"/>
                <w:szCs w:val="19"/>
                <w:color w:val="auto"/>
              </w:rPr>
              <w:t>Other comprehensive income/(loss)</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118</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w:t>
            </w:r>
          </w:p>
        </w:tc>
      </w:tr>
      <w:tr>
        <w:trPr>
          <w:trHeight w:val="269"/>
        </w:trPr>
        <w:tc>
          <w:tcPr>
            <w:tcW w:w="6280" w:type="dxa"/>
            <w:vAlign w:val="bottom"/>
          </w:tcPr>
          <w:p>
            <w:pPr>
              <w:spacing w:after="0"/>
              <w:rPr>
                <w:sz w:val="20"/>
                <w:szCs w:val="20"/>
                <w:color w:val="auto"/>
              </w:rPr>
            </w:pPr>
            <w:r>
              <w:rPr>
                <w:rFonts w:ascii="Arial" w:cs="Arial" w:eastAsia="Arial" w:hAnsi="Arial"/>
                <w:sz w:val="19"/>
                <w:szCs w:val="19"/>
                <w:color w:val="auto"/>
              </w:rPr>
              <w:t>Comprehensive income</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1,543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1,062</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665</w:t>
            </w:r>
          </w:p>
        </w:tc>
      </w:tr>
      <w:tr>
        <w:trPr>
          <w:trHeight w:val="296"/>
        </w:trPr>
        <w:tc>
          <w:tcPr>
            <w:tcW w:w="6280" w:type="dxa"/>
            <w:vAlign w:val="bottom"/>
          </w:tcPr>
          <w:p>
            <w:pPr>
              <w:ind w:left="120"/>
              <w:spacing w:after="0"/>
              <w:rPr>
                <w:sz w:val="20"/>
                <w:szCs w:val="20"/>
                <w:color w:val="auto"/>
              </w:rPr>
            </w:pPr>
            <w:r>
              <w:rPr>
                <w:rFonts w:ascii="Arial" w:cs="Arial" w:eastAsia="Arial" w:hAnsi="Arial"/>
                <w:sz w:val="19"/>
                <w:szCs w:val="19"/>
                <w:color w:val="auto"/>
              </w:rPr>
              <w:t>Comprehensive income attributable to noncontrolling interests</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(1,312)</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(922)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(588)</w:t>
            </w:r>
          </w:p>
        </w:tc>
      </w:tr>
      <w:tr>
        <w:trPr>
          <w:trHeight w:val="253"/>
        </w:trPr>
        <w:tc>
          <w:tcPr>
            <w:tcW w:w="6280" w:type="dxa"/>
            <w:vAlign w:val="bottom"/>
          </w:tcPr>
          <w:p>
            <w:pPr>
              <w:spacing w:after="0"/>
              <w:rPr>
                <w:sz w:val="20"/>
                <w:szCs w:val="20"/>
                <w:color w:val="auto"/>
              </w:rPr>
            </w:pPr>
            <w:r>
              <w:rPr>
                <w:rFonts w:ascii="Arial" w:cs="Arial" w:eastAsia="Arial" w:hAnsi="Arial"/>
                <w:sz w:val="19"/>
                <w:szCs w:val="19"/>
                <w:color w:val="auto"/>
              </w:rPr>
              <w:t>Comprehensive income attributable to PAGP</w:t>
            </w: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231</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140</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77</w:t>
            </w:r>
          </w:p>
        </w:tc>
      </w:tr>
      <w:tr>
        <w:trPr>
          <w:trHeight w:val="20"/>
        </w:trPr>
        <w:tc>
          <w:tcPr>
            <w:tcW w:w="6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-959485</wp:posOffset>
            </wp:positionV>
            <wp:extent cx="6367145" cy="2108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2">
                      <a:extLst>
                        <a:ext uri="{28A0092B-C50C-407E-A947-70E740481C1C}"/>
                      </a:extLst>
                    </a:blip>
                    <a:srcRect/>
                    <a:stretch>
                      <a:fillRect/>
                    </a:stretch>
                  </pic:blipFill>
                  <pic:spPr bwMode="auto">
                    <a:xfrm>
                      <a:off x="0" y="0"/>
                      <a:ext cx="6367145" cy="210820"/>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-588010</wp:posOffset>
            </wp:positionV>
            <wp:extent cx="6367145" cy="2108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3">
                      <a:extLst>
                        <a:ext uri="{28A0092B-C50C-407E-A947-70E740481C1C}"/>
                      </a:extLst>
                    </a:blip>
                    <a:srcRect/>
                    <a:stretch>
                      <a:fillRect/>
                    </a:stretch>
                  </pic:blipFill>
                  <pic:spPr bwMode="auto">
                    <a:xfrm>
                      <a:off x="0" y="0"/>
                      <a:ext cx="6367145" cy="210820"/>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-216535</wp:posOffset>
            </wp:positionV>
            <wp:extent cx="6367145" cy="2235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4">
                      <a:extLst>
                        <a:ext uri="{28A0092B-C50C-407E-A947-70E740481C1C}"/>
                      </a:extLst>
                    </a:blip>
                    <a:srcRect/>
                    <a:stretch>
                      <a:fillRect/>
                    </a:stretch>
                  </pic:blipFill>
                  <pic:spPr bwMode="auto">
                    <a:xfrm>
                      <a:off x="0" y="0"/>
                      <a:ext cx="6367145" cy="223520"/>
                    </a:xfrm>
                    <a:prstGeom prst="rect">
                      <a:avLst/>
                    </a:prstGeom>
                    <a:noFill/>
                  </pic:spPr>
                </pic:pic>
              </a:graphicData>
            </a:graphic>
          </wp:anchor>
        </w:drawing>
      </w: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pacing w:after="0" w:line="242" w:lineRule="exact"/>
        <w:rPr>
          <w:sz w:val="20"/>
          <w:szCs w:val="20"/>
          <w:color w:val="auto"/>
        </w:rPr>
      </w:pPr>
    </w:p>
    <w:p>
      <w:pPr>
        <w:jc w:val="center"/>
        <w:ind w:right="60"/>
        <w:spacing w:after="0" w:line="275" w:lineRule="auto"/>
        <w:rPr>
          <w:sz w:val="20"/>
          <w:szCs w:val="20"/>
          <w:color w:val="auto"/>
        </w:rPr>
      </w:pPr>
      <w:r>
        <w:rPr>
          <w:rFonts w:ascii="Arial" w:cs="Arial" w:eastAsia="Arial" w:hAnsi="Arial"/>
          <w:sz w:val="19"/>
          <w:szCs w:val="19"/>
          <w:b w:val="1"/>
          <w:bCs w:val="1"/>
          <w:color w:val="auto"/>
        </w:rPr>
        <w:t>PLAINS GP HOLDINGS, L.P. AND SUBSIDIARIES CONSOLIDATED STATEMENTS OF CHANGES IN ACCUMULATED OTHER COMPREHENSIVE INCOME/(LOSS) (in millions)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84"/>
              <w:spacing w:after="0"/>
              <w:rPr>
                <w:sz w:val="20"/>
                <w:szCs w:val="20"/>
                <w:color w:val="auto"/>
              </w:rPr>
            </w:pPr>
            <w:r>
              <w:rPr>
                <w:rFonts w:ascii="Arial" w:cs="Arial" w:eastAsia="Arial" w:hAnsi="Arial"/>
                <w:sz w:val="16"/>
                <w:szCs w:val="16"/>
                <w:b w:val="1"/>
                <w:bCs w:val="1"/>
                <w:color w:val="auto"/>
                <w:w w:val="91"/>
              </w:rPr>
              <w:t>Derivative</w:t>
            </w:r>
          </w:p>
        </w:tc>
        <w:tc>
          <w:tcPr>
            <w:tcW w:w="80" w:type="dxa"/>
            <w:vAlign w:val="bottom"/>
          </w:tcPr>
          <w:p>
            <w:pPr>
              <w:spacing w:after="0"/>
              <w:rPr>
                <w:sz w:val="16"/>
                <w:szCs w:val="16"/>
                <w:color w:val="auto"/>
              </w:rPr>
            </w:pPr>
          </w:p>
        </w:tc>
        <w:tc>
          <w:tcPr>
            <w:tcW w:w="1060" w:type="dxa"/>
            <w:vAlign w:val="bottom"/>
            <w:gridSpan w:val="2"/>
          </w:tcPr>
          <w:p>
            <w:pPr>
              <w:jc w:val="right"/>
              <w:ind w:right="43"/>
              <w:spacing w:after="0"/>
              <w:rPr>
                <w:sz w:val="20"/>
                <w:szCs w:val="20"/>
                <w:color w:val="auto"/>
              </w:rPr>
            </w:pPr>
            <w:r>
              <w:rPr>
                <w:rFonts w:ascii="Arial" w:cs="Arial" w:eastAsia="Arial" w:hAnsi="Arial"/>
                <w:sz w:val="16"/>
                <w:szCs w:val="16"/>
                <w:b w:val="1"/>
                <w:bCs w:val="1"/>
                <w:color w:val="auto"/>
              </w:rPr>
              <w:t>Translation</w:t>
            </w:r>
          </w:p>
        </w:tc>
        <w:tc>
          <w:tcPr>
            <w:tcW w:w="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restart"/>
          </w:tcPr>
          <w:p>
            <w:pPr>
              <w:jc w:val="right"/>
              <w:ind w:right="24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106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6"/>
                <w:szCs w:val="16"/>
                <w:b w:val="1"/>
                <w:bCs w:val="1"/>
                <w:color w:val="auto"/>
              </w:rPr>
              <w:t>Instruments</w:t>
            </w:r>
          </w:p>
        </w:tc>
        <w:tc>
          <w:tcPr>
            <w:tcW w:w="80" w:type="dxa"/>
            <w:vAlign w:val="bottom"/>
          </w:tcPr>
          <w:p>
            <w:pPr>
              <w:spacing w:after="0"/>
              <w:rPr>
                <w:sz w:val="18"/>
                <w:szCs w:val="18"/>
                <w:color w:val="auto"/>
              </w:rPr>
            </w:pPr>
          </w:p>
        </w:tc>
        <w:tc>
          <w:tcPr>
            <w:tcW w:w="106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6"/>
                <w:szCs w:val="16"/>
                <w:b w:val="1"/>
                <w:bCs w:val="1"/>
                <w:color w:val="auto"/>
                <w:w w:val="96"/>
              </w:rPr>
              <w:t>Adjustments</w:t>
            </w:r>
          </w:p>
        </w:tc>
        <w:tc>
          <w:tcPr>
            <w:tcW w:w="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440" w:type="dxa"/>
            <w:vAlign w:val="bottom"/>
          </w:tcPr>
          <w:p>
            <w:pPr>
              <w:spacing w:after="0"/>
              <w:rPr>
                <w:sz w:val="20"/>
                <w:szCs w:val="20"/>
                <w:color w:val="auto"/>
              </w:rPr>
            </w:pPr>
            <w:r>
              <w:rPr>
                <w:rFonts w:ascii="Arial" w:cs="Arial" w:eastAsia="Arial" w:hAnsi="Arial"/>
                <w:sz w:val="19"/>
                <w:szCs w:val="19"/>
                <w:color w:val="auto"/>
              </w:rPr>
              <w:t>Balance at December 31, 2020</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(258)</w:t>
            </w:r>
          </w:p>
        </w:tc>
        <w:tc>
          <w:tcPr>
            <w:tcW w:w="460" w:type="dxa"/>
            <w:vAlign w:val="bottom"/>
            <w:gridSpan w:val="2"/>
          </w:tcPr>
          <w:p>
            <w:pPr>
              <w:jc w:val="right"/>
              <w:ind w:right="162"/>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(657)</w:t>
            </w:r>
          </w:p>
        </w:tc>
        <w:tc>
          <w:tcPr>
            <w:tcW w:w="840" w:type="dxa"/>
            <w:vAlign w:val="bottom"/>
            <w:gridSpan w:val="2"/>
          </w:tcPr>
          <w:p>
            <w:pPr>
              <w:jc w:val="right"/>
              <w:ind w:right="542"/>
              <w:spacing w:after="0"/>
              <w:rPr>
                <w:sz w:val="20"/>
                <w:szCs w:val="20"/>
                <w:color w:val="auto"/>
              </w:rPr>
            </w:pPr>
            <w:r>
              <w:rPr>
                <w:rFonts w:ascii="Arial" w:cs="Arial" w:eastAsia="Arial" w:hAnsi="Arial"/>
                <w:sz w:val="19"/>
                <w:szCs w:val="19"/>
                <w:color w:val="auto"/>
              </w:rPr>
              <w:t>$</w:t>
            </w:r>
          </w:p>
        </w:tc>
        <w:tc>
          <w:tcPr>
            <w:tcW w:w="300" w:type="dxa"/>
            <w:vAlign w:val="bottom"/>
          </w:tcPr>
          <w:p>
            <w:pPr>
              <w:jc w:val="right"/>
              <w:spacing w:after="0"/>
              <w:rPr>
                <w:sz w:val="20"/>
                <w:szCs w:val="20"/>
                <w:color w:val="auto"/>
              </w:rPr>
            </w:pPr>
            <w:r>
              <w:rPr>
                <w:rFonts w:ascii="Arial" w:cs="Arial" w:eastAsia="Arial" w:hAnsi="Arial"/>
                <w:sz w:val="19"/>
                <w:szCs w:val="19"/>
                <w:color w:val="auto"/>
              </w:rPr>
              <w:t>(3)</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(918)</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9"/>
                <w:szCs w:val="19"/>
                <w:color w:val="auto"/>
              </w:rPr>
              <w:t>Reclassification adjustments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31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31</w:t>
            </w:r>
          </w:p>
        </w:tc>
        <w:tc>
          <w:tcPr>
            <w:tcW w:w="0" w:type="dxa"/>
            <w:vAlign w:val="bottom"/>
          </w:tcPr>
          <w:p>
            <w:pPr>
              <w:spacing w:after="0"/>
              <w:rPr>
                <w:sz w:val="1"/>
                <w:szCs w:val="1"/>
                <w:color w:val="auto"/>
              </w:rPr>
            </w:pPr>
          </w:p>
        </w:tc>
      </w:tr>
      <w:tr>
        <w:trPr>
          <w:trHeight w:val="292"/>
        </w:trPr>
        <w:tc>
          <w:tcPr>
            <w:tcW w:w="5440" w:type="dxa"/>
            <w:vAlign w:val="bottom"/>
          </w:tcPr>
          <w:p>
            <w:pPr>
              <w:spacing w:after="0"/>
              <w:rPr>
                <w:sz w:val="20"/>
                <w:szCs w:val="20"/>
                <w:color w:val="auto"/>
              </w:rPr>
            </w:pPr>
            <w:r>
              <w:rPr>
                <w:rFonts w:ascii="Arial" w:cs="Arial" w:eastAsia="Arial" w:hAnsi="Arial"/>
                <w:sz w:val="19"/>
                <w:szCs w:val="19"/>
                <w:color w:val="auto"/>
              </w:rPr>
              <w:t>Unrealized gain on hedges</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19</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0"/>
                <w:szCs w:val="20"/>
                <w:color w:val="auto"/>
              </w:rPr>
            </w:pPr>
            <w:r>
              <w:rPr>
                <w:rFonts w:ascii="Arial" w:cs="Arial" w:eastAsia="Arial" w:hAnsi="Arial"/>
                <w:sz w:val="19"/>
                <w:szCs w:val="19"/>
                <w:color w:val="auto"/>
              </w:rPr>
              <w:t>Currency translation adjustments</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w:t>
            </w:r>
          </w:p>
        </w:tc>
        <w:tc>
          <w:tcPr>
            <w:tcW w:w="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272"/>
        </w:trPr>
        <w:tc>
          <w:tcPr>
            <w:tcW w:w="5440" w:type="dxa"/>
            <w:vAlign w:val="bottom"/>
          </w:tcPr>
          <w:p>
            <w:pPr>
              <w:ind w:left="140"/>
              <w:spacing w:after="0"/>
              <w:rPr>
                <w:sz w:val="20"/>
                <w:szCs w:val="20"/>
                <w:color w:val="auto"/>
              </w:rPr>
            </w:pPr>
            <w:r>
              <w:rPr>
                <w:rFonts w:ascii="Arial" w:cs="Arial" w:eastAsia="Arial" w:hAnsi="Arial"/>
                <w:sz w:val="19"/>
                <w:szCs w:val="19"/>
                <w:color w:val="auto"/>
              </w:rPr>
              <w:t>2021 Activity</w:t>
            </w: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w:t>
            </w:r>
          </w:p>
        </w:tc>
        <w:tc>
          <w:tcPr>
            <w:tcW w:w="80" w:type="dxa"/>
            <w:vAlign w:val="bottom"/>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w:t>
            </w:r>
          </w:p>
        </w:tc>
        <w:tc>
          <w:tcPr>
            <w:tcW w:w="0" w:type="dxa"/>
            <w:vAlign w:val="bottom"/>
          </w:tcPr>
          <w:p>
            <w:pPr>
              <w:spacing w:after="0"/>
              <w:rPr>
                <w:sz w:val="1"/>
                <w:szCs w:val="1"/>
                <w:color w:val="auto"/>
              </w:rPr>
            </w:pPr>
          </w:p>
        </w:tc>
      </w:tr>
      <w:tr>
        <w:trPr>
          <w:trHeight w:val="253"/>
        </w:trPr>
        <w:tc>
          <w:tcPr>
            <w:tcW w:w="5440" w:type="dxa"/>
            <w:vAlign w:val="bottom"/>
          </w:tcPr>
          <w:p>
            <w:pPr>
              <w:spacing w:after="0"/>
              <w:rPr>
                <w:sz w:val="20"/>
                <w:szCs w:val="20"/>
                <w:color w:val="auto"/>
              </w:rPr>
            </w:pPr>
            <w:r>
              <w:rPr>
                <w:rFonts w:ascii="Arial" w:cs="Arial" w:eastAsia="Arial" w:hAnsi="Arial"/>
                <w:sz w:val="19"/>
                <w:szCs w:val="19"/>
                <w:color w:val="auto"/>
              </w:rPr>
              <w:t>Balance at December 31, 2021</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(208)</w:t>
            </w:r>
          </w:p>
        </w:tc>
        <w:tc>
          <w:tcPr>
            <w:tcW w:w="460" w:type="dxa"/>
            <w:vAlign w:val="bottom"/>
            <w:gridSpan w:val="2"/>
          </w:tcPr>
          <w:p>
            <w:pPr>
              <w:jc w:val="right"/>
              <w:ind w:right="162"/>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(642)</w:t>
            </w:r>
          </w:p>
        </w:tc>
        <w:tc>
          <w:tcPr>
            <w:tcW w:w="840" w:type="dxa"/>
            <w:vAlign w:val="bottom"/>
            <w:gridSpan w:val="2"/>
          </w:tcPr>
          <w:p>
            <w:pPr>
              <w:jc w:val="right"/>
              <w:ind w:right="542"/>
              <w:spacing w:after="0"/>
              <w:rPr>
                <w:sz w:val="20"/>
                <w:szCs w:val="20"/>
                <w:color w:val="auto"/>
              </w:rPr>
            </w:pPr>
            <w:r>
              <w:rPr>
                <w:rFonts w:ascii="Arial" w:cs="Arial" w:eastAsia="Arial" w:hAnsi="Arial"/>
                <w:sz w:val="19"/>
                <w:szCs w:val="19"/>
                <w:color w:val="auto"/>
              </w:rPr>
              <w:t>$</w:t>
            </w:r>
          </w:p>
        </w:tc>
        <w:tc>
          <w:tcPr>
            <w:tcW w:w="300" w:type="dxa"/>
            <w:vAlign w:val="bottom"/>
          </w:tcPr>
          <w:p>
            <w:pPr>
              <w:jc w:val="right"/>
              <w:spacing w:after="0"/>
              <w:rPr>
                <w:sz w:val="20"/>
                <w:szCs w:val="20"/>
                <w:color w:val="auto"/>
              </w:rPr>
            </w:pPr>
            <w:r>
              <w:rPr>
                <w:rFonts w:ascii="Arial" w:cs="Arial" w:eastAsia="Arial" w:hAnsi="Arial"/>
                <w:sz w:val="19"/>
                <w:szCs w:val="19"/>
                <w:color w:val="auto"/>
              </w:rPr>
              <w:t>(3)</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(853)</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9"/>
                <w:szCs w:val="19"/>
                <w:color w:val="auto"/>
              </w:rPr>
              <w:t>Reclassification adjustments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292"/>
        </w:trPr>
        <w:tc>
          <w:tcPr>
            <w:tcW w:w="5440" w:type="dxa"/>
            <w:vAlign w:val="bottom"/>
          </w:tcPr>
          <w:p>
            <w:pPr>
              <w:spacing w:after="0"/>
              <w:rPr>
                <w:sz w:val="20"/>
                <w:szCs w:val="20"/>
                <w:color w:val="auto"/>
              </w:rPr>
            </w:pPr>
            <w:r>
              <w:rPr>
                <w:rFonts w:ascii="Arial" w:cs="Arial" w:eastAsia="Arial" w:hAnsi="Arial"/>
                <w:sz w:val="19"/>
                <w:szCs w:val="19"/>
                <w:color w:val="auto"/>
              </w:rPr>
              <w:t>Unrealized gain on hedges</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94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94</w:t>
            </w:r>
          </w:p>
        </w:tc>
        <w:tc>
          <w:tcPr>
            <w:tcW w:w="0" w:type="dxa"/>
            <w:vAlign w:val="bottom"/>
          </w:tcPr>
          <w:p>
            <w:pPr>
              <w:spacing w:after="0"/>
              <w:rPr>
                <w:sz w:val="1"/>
                <w:szCs w:val="1"/>
                <w:color w:val="auto"/>
              </w:rPr>
            </w:pPr>
          </w:p>
        </w:tc>
      </w:tr>
      <w:tr>
        <w:trPr>
          <w:trHeight w:val="292"/>
        </w:trPr>
        <w:tc>
          <w:tcPr>
            <w:tcW w:w="5440" w:type="dxa"/>
            <w:vAlign w:val="bottom"/>
          </w:tcPr>
          <w:p>
            <w:pPr>
              <w:spacing w:after="0"/>
              <w:rPr>
                <w:sz w:val="20"/>
                <w:szCs w:val="20"/>
                <w:color w:val="auto"/>
              </w:rPr>
            </w:pPr>
            <w:r>
              <w:rPr>
                <w:rFonts w:ascii="Arial" w:cs="Arial" w:eastAsia="Arial" w:hAnsi="Arial"/>
                <w:sz w:val="19"/>
                <w:szCs w:val="19"/>
                <w:color w:val="auto"/>
              </w:rPr>
              <w:t>Currency translation adjustments</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(204)</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(204)</w:t>
            </w:r>
          </w:p>
        </w:tc>
        <w:tc>
          <w:tcPr>
            <w:tcW w:w="0" w:type="dxa"/>
            <w:vAlign w:val="bottom"/>
          </w:tcPr>
          <w:p>
            <w:pPr>
              <w:spacing w:after="0"/>
              <w:rPr>
                <w:sz w:val="1"/>
                <w:szCs w:val="1"/>
                <w:color w:val="auto"/>
              </w:rPr>
            </w:pPr>
          </w:p>
        </w:tc>
      </w:tr>
      <w:tr>
        <w:trPr>
          <w:trHeight w:val="295"/>
        </w:trPr>
        <w:tc>
          <w:tcPr>
            <w:tcW w:w="5440" w:type="dxa"/>
            <w:vAlign w:val="bottom"/>
          </w:tcPr>
          <w:p>
            <w:pPr>
              <w:spacing w:after="0"/>
              <w:rPr>
                <w:sz w:val="20"/>
                <w:szCs w:val="20"/>
                <w:color w:val="auto"/>
              </w:rPr>
            </w:pPr>
            <w:r>
              <w:rPr>
                <w:rFonts w:ascii="Arial" w:cs="Arial" w:eastAsia="Arial" w:hAnsi="Arial"/>
                <w:sz w:val="19"/>
                <w:szCs w:val="19"/>
                <w:color w:val="auto"/>
              </w:rPr>
              <w:t>Other</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72"/>
        </w:trPr>
        <w:tc>
          <w:tcPr>
            <w:tcW w:w="5440" w:type="dxa"/>
            <w:vAlign w:val="bottom"/>
          </w:tcPr>
          <w:p>
            <w:pPr>
              <w:ind w:left="140"/>
              <w:spacing w:after="0"/>
              <w:rPr>
                <w:sz w:val="20"/>
                <w:szCs w:val="20"/>
                <w:color w:val="auto"/>
              </w:rPr>
            </w:pPr>
            <w:r>
              <w:rPr>
                <w:rFonts w:ascii="Arial" w:cs="Arial" w:eastAsia="Arial" w:hAnsi="Arial"/>
                <w:sz w:val="19"/>
                <w:szCs w:val="19"/>
                <w:color w:val="auto"/>
              </w:rPr>
              <w:t>2022 Activity</w:t>
            </w: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101</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(204)</w:t>
            </w:r>
          </w:p>
        </w:tc>
        <w:tc>
          <w:tcPr>
            <w:tcW w:w="80" w:type="dxa"/>
            <w:vAlign w:val="bottom"/>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(101)</w:t>
            </w:r>
          </w:p>
        </w:tc>
        <w:tc>
          <w:tcPr>
            <w:tcW w:w="0" w:type="dxa"/>
            <w:vAlign w:val="bottom"/>
          </w:tcPr>
          <w:p>
            <w:pPr>
              <w:spacing w:after="0"/>
              <w:rPr>
                <w:sz w:val="1"/>
                <w:szCs w:val="1"/>
                <w:color w:val="auto"/>
              </w:rPr>
            </w:pPr>
          </w:p>
        </w:tc>
      </w:tr>
      <w:tr>
        <w:trPr>
          <w:trHeight w:val="253"/>
        </w:trPr>
        <w:tc>
          <w:tcPr>
            <w:tcW w:w="5440" w:type="dxa"/>
            <w:vAlign w:val="bottom"/>
          </w:tcPr>
          <w:p>
            <w:pPr>
              <w:spacing w:after="0"/>
              <w:rPr>
                <w:sz w:val="20"/>
                <w:szCs w:val="20"/>
                <w:color w:val="auto"/>
              </w:rPr>
            </w:pPr>
            <w:r>
              <w:rPr>
                <w:rFonts w:ascii="Arial" w:cs="Arial" w:eastAsia="Arial" w:hAnsi="Arial"/>
                <w:sz w:val="19"/>
                <w:szCs w:val="19"/>
                <w:color w:val="auto"/>
              </w:rPr>
              <w:t>Balance at December 31, 2022</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(107)</w:t>
            </w:r>
          </w:p>
        </w:tc>
        <w:tc>
          <w:tcPr>
            <w:tcW w:w="460" w:type="dxa"/>
            <w:vAlign w:val="bottom"/>
            <w:gridSpan w:val="2"/>
          </w:tcPr>
          <w:p>
            <w:pPr>
              <w:jc w:val="right"/>
              <w:ind w:right="162"/>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(846)</w:t>
            </w:r>
          </w:p>
        </w:tc>
        <w:tc>
          <w:tcPr>
            <w:tcW w:w="840" w:type="dxa"/>
            <w:vAlign w:val="bottom"/>
            <w:gridSpan w:val="2"/>
          </w:tcPr>
          <w:p>
            <w:pPr>
              <w:jc w:val="right"/>
              <w:ind w:right="542"/>
              <w:spacing w:after="0"/>
              <w:rPr>
                <w:sz w:val="20"/>
                <w:szCs w:val="20"/>
                <w:color w:val="auto"/>
              </w:rPr>
            </w:pPr>
            <w:r>
              <w:rPr>
                <w:rFonts w:ascii="Arial" w:cs="Arial" w:eastAsia="Arial" w:hAnsi="Arial"/>
                <w:sz w:val="19"/>
                <w:szCs w:val="19"/>
                <w:color w:val="auto"/>
              </w:rPr>
              <w:t>$</w:t>
            </w:r>
          </w:p>
        </w:tc>
        <w:tc>
          <w:tcPr>
            <w:tcW w:w="300" w:type="dxa"/>
            <w:vAlign w:val="bottom"/>
          </w:tcPr>
          <w:p>
            <w:pPr>
              <w:jc w:val="right"/>
              <w:spacing w:after="0"/>
              <w:rPr>
                <w:sz w:val="20"/>
                <w:szCs w:val="20"/>
                <w:color w:val="auto"/>
              </w:rPr>
            </w:pPr>
            <w:r>
              <w:rPr>
                <w:rFonts w:ascii="Arial" w:cs="Arial" w:eastAsia="Arial" w:hAnsi="Arial"/>
                <w:sz w:val="19"/>
                <w:szCs w:val="19"/>
                <w:color w:val="auto"/>
              </w:rPr>
              <w:t>(1)</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(954)</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9"/>
                <w:szCs w:val="19"/>
                <w:color w:val="auto"/>
              </w:rPr>
              <w:t>Reclassification adjustments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11</w:t>
            </w:r>
          </w:p>
        </w:tc>
        <w:tc>
          <w:tcPr>
            <w:tcW w:w="0" w:type="dxa"/>
            <w:vAlign w:val="bottom"/>
          </w:tcPr>
          <w:p>
            <w:pPr>
              <w:spacing w:after="0"/>
              <w:rPr>
                <w:sz w:val="1"/>
                <w:szCs w:val="1"/>
                <w:color w:val="auto"/>
              </w:rPr>
            </w:pPr>
          </w:p>
        </w:tc>
      </w:tr>
      <w:tr>
        <w:trPr>
          <w:trHeight w:val="292"/>
        </w:trPr>
        <w:tc>
          <w:tcPr>
            <w:tcW w:w="5440" w:type="dxa"/>
            <w:vAlign w:val="bottom"/>
          </w:tcPr>
          <w:p>
            <w:pPr>
              <w:spacing w:after="0"/>
              <w:rPr>
                <w:sz w:val="20"/>
                <w:szCs w:val="20"/>
                <w:color w:val="auto"/>
              </w:rPr>
            </w:pPr>
            <w:r>
              <w:rPr>
                <w:rFonts w:ascii="Arial" w:cs="Arial" w:eastAsia="Arial" w:hAnsi="Arial"/>
                <w:sz w:val="19"/>
                <w:szCs w:val="19"/>
                <w:color w:val="auto"/>
              </w:rPr>
              <w:t>Unrealized gain on hedges</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292"/>
        </w:trPr>
        <w:tc>
          <w:tcPr>
            <w:tcW w:w="5440" w:type="dxa"/>
            <w:vAlign w:val="bottom"/>
          </w:tcPr>
          <w:p>
            <w:pPr>
              <w:spacing w:after="0"/>
              <w:rPr>
                <w:sz w:val="20"/>
                <w:szCs w:val="20"/>
                <w:color w:val="auto"/>
              </w:rPr>
            </w:pPr>
            <w:r>
              <w:rPr>
                <w:rFonts w:ascii="Arial" w:cs="Arial" w:eastAsia="Arial" w:hAnsi="Arial"/>
                <w:sz w:val="19"/>
                <w:szCs w:val="19"/>
                <w:color w:val="auto"/>
              </w:rPr>
              <w:t>Currency translation adjustments</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91</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91</w:t>
            </w:r>
          </w:p>
        </w:tc>
        <w:tc>
          <w:tcPr>
            <w:tcW w:w="0" w:type="dxa"/>
            <w:vAlign w:val="bottom"/>
          </w:tcPr>
          <w:p>
            <w:pPr>
              <w:spacing w:after="0"/>
              <w:rPr>
                <w:sz w:val="1"/>
                <w:szCs w:val="1"/>
                <w:color w:val="auto"/>
              </w:rPr>
            </w:pPr>
          </w:p>
        </w:tc>
      </w:tr>
      <w:tr>
        <w:trPr>
          <w:trHeight w:val="295"/>
        </w:trPr>
        <w:tc>
          <w:tcPr>
            <w:tcW w:w="5440" w:type="dxa"/>
            <w:vAlign w:val="bottom"/>
          </w:tcPr>
          <w:p>
            <w:pPr>
              <w:spacing w:after="0"/>
              <w:rPr>
                <w:sz w:val="20"/>
                <w:szCs w:val="20"/>
                <w:color w:val="auto"/>
              </w:rPr>
            </w:pPr>
            <w:r>
              <w:rPr>
                <w:rFonts w:ascii="Arial" w:cs="Arial" w:eastAsia="Arial" w:hAnsi="Arial"/>
                <w:sz w:val="19"/>
                <w:szCs w:val="19"/>
                <w:color w:val="auto"/>
              </w:rPr>
              <w:t>Other</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72"/>
        </w:trPr>
        <w:tc>
          <w:tcPr>
            <w:tcW w:w="5440" w:type="dxa"/>
            <w:vAlign w:val="bottom"/>
          </w:tcPr>
          <w:p>
            <w:pPr>
              <w:ind w:left="140"/>
              <w:spacing w:after="0"/>
              <w:rPr>
                <w:sz w:val="20"/>
                <w:szCs w:val="20"/>
                <w:color w:val="auto"/>
              </w:rPr>
            </w:pPr>
            <w:r>
              <w:rPr>
                <w:rFonts w:ascii="Arial" w:cs="Arial" w:eastAsia="Arial" w:hAnsi="Arial"/>
                <w:sz w:val="19"/>
                <w:szCs w:val="19"/>
                <w:color w:val="auto"/>
              </w:rPr>
              <w:t>2023 Activity</w:t>
            </w: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91</w:t>
            </w:r>
          </w:p>
        </w:tc>
        <w:tc>
          <w:tcPr>
            <w:tcW w:w="80" w:type="dxa"/>
            <w:vAlign w:val="bottom"/>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118</w:t>
            </w:r>
          </w:p>
        </w:tc>
        <w:tc>
          <w:tcPr>
            <w:tcW w:w="0" w:type="dxa"/>
            <w:vAlign w:val="bottom"/>
          </w:tcPr>
          <w:p>
            <w:pPr>
              <w:spacing w:after="0"/>
              <w:rPr>
                <w:sz w:val="1"/>
                <w:szCs w:val="1"/>
                <w:color w:val="auto"/>
              </w:rPr>
            </w:pPr>
          </w:p>
        </w:tc>
      </w:tr>
      <w:tr>
        <w:trPr>
          <w:trHeight w:val="253"/>
        </w:trPr>
        <w:tc>
          <w:tcPr>
            <w:tcW w:w="5440" w:type="dxa"/>
            <w:vAlign w:val="bottom"/>
          </w:tcPr>
          <w:p>
            <w:pPr>
              <w:spacing w:after="0"/>
              <w:rPr>
                <w:sz w:val="20"/>
                <w:szCs w:val="20"/>
                <w:color w:val="auto"/>
              </w:rPr>
            </w:pPr>
            <w:r>
              <w:rPr>
                <w:rFonts w:ascii="Arial" w:cs="Arial" w:eastAsia="Arial" w:hAnsi="Arial"/>
                <w:sz w:val="19"/>
                <w:szCs w:val="19"/>
                <w:color w:val="auto"/>
              </w:rPr>
              <w:t>Balance at December 31, 2023</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(81)</w:t>
            </w:r>
          </w:p>
        </w:tc>
        <w:tc>
          <w:tcPr>
            <w:tcW w:w="460" w:type="dxa"/>
            <w:vAlign w:val="bottom"/>
            <w:gridSpan w:val="2"/>
          </w:tcPr>
          <w:p>
            <w:pPr>
              <w:jc w:val="right"/>
              <w:ind w:right="162"/>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(755)</w:t>
            </w:r>
          </w:p>
        </w:tc>
        <w:tc>
          <w:tcPr>
            <w:tcW w:w="840" w:type="dxa"/>
            <w:vAlign w:val="bottom"/>
            <w:gridSpan w:val="2"/>
          </w:tcPr>
          <w:p>
            <w:pPr>
              <w:jc w:val="right"/>
              <w:ind w:right="542"/>
              <w:spacing w:after="0"/>
              <w:rPr>
                <w:sz w:val="20"/>
                <w:szCs w:val="20"/>
                <w:color w:val="auto"/>
              </w:rPr>
            </w:pPr>
            <w:r>
              <w:rPr>
                <w:rFonts w:ascii="Arial" w:cs="Arial" w:eastAsia="Arial" w:hAnsi="Arial"/>
                <w:sz w:val="19"/>
                <w:szCs w:val="19"/>
                <w:color w:val="auto"/>
              </w:rPr>
              <w:t>$</w:t>
            </w: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(836)</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-3902710</wp:posOffset>
            </wp:positionV>
            <wp:extent cx="6358255" cy="39096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5">
                      <a:extLst>
                        <a:ext uri="{28A0092B-C50C-407E-A947-70E740481C1C}"/>
                      </a:extLst>
                    </a:blip>
                    <a:srcRect/>
                    <a:stretch>
                      <a:fillRect/>
                    </a:stretch>
                  </pic:blipFill>
                  <pic:spPr bwMode="auto">
                    <a:xfrm>
                      <a:off x="0" y="0"/>
                      <a:ext cx="6358255" cy="3909695"/>
                    </a:xfrm>
                    <a:prstGeom prst="rect">
                      <a:avLst/>
                    </a:prstGeom>
                    <a:noFill/>
                  </pic:spPr>
                </pic:pic>
              </a:graphicData>
            </a:graphic>
          </wp:anchor>
        </w:drawing>
      </w: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880" w:h="15480" w:orient="portrait"/>
          <w:cols w:equalWidth="0" w:num="1">
            <w:col w:w="9940"/>
          </w:cols>
          <w:pgMar w:left="1000" w:top="66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F-7</w:t>
      </w:r>
    </w:p>
    <w:p>
      <w:pPr>
        <w:sectPr>
          <w:pgSz w:w="11880" w:h="15480" w:orient="portrait"/>
          <w:cols w:equalWidth="0" w:num="1">
            <w:col w:w="9940"/>
          </w:cols>
          <w:pgMar w:left="1000" w:top="669" w:right="940" w:bottom="0" w:gutter="0" w:footer="0" w:header="0"/>
          <w:type w:val="continuous"/>
        </w:sectPr>
      </w:pPr>
    </w:p>
    <w:bookmarkStart w:id="110" w:name="page111"/>
    <w:bookmarkEnd w:id="110"/>
    <w:p>
      <w:pPr>
        <w:jc w:val="center"/>
        <w:ind w:right="40"/>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CONSOLIDATED STATEMENTS OF CASH FLOWS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jc w:val="right"/>
              <w:ind w:right="452"/>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4"/>
        </w:trPr>
        <w:tc>
          <w:tcPr>
            <w:tcW w:w="6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1,425</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1,163</w:t>
            </w:r>
          </w:p>
        </w:tc>
        <w:tc>
          <w:tcPr>
            <w:tcW w:w="30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7"/>
        </w:trPr>
        <w:tc>
          <w:tcPr>
            <w:tcW w:w="672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2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1,051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968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2"/>
        </w:trPr>
        <w:tc>
          <w:tcPr>
            <w:tcW w:w="67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20" w:type="dxa"/>
            <w:vAlign w:val="bottom"/>
          </w:tcPr>
          <w:p>
            <w:pPr>
              <w:ind w:left="140"/>
              <w:spacing w:after="0"/>
              <w:rPr>
                <w:sz w:val="20"/>
                <w:szCs w:val="20"/>
                <w:color w:val="auto"/>
              </w:rPr>
            </w:pPr>
            <w:r>
              <w:rPr>
                <w:rFonts w:ascii="Arial" w:cs="Arial" w:eastAsia="Arial" w:hAnsi="Arial"/>
                <w:sz w:val="18"/>
                <w:szCs w:val="18"/>
                <w:color w:val="auto"/>
              </w:rPr>
              <w:t>(Gains)/losses on asset sales and asset impairments, net (Note 6, Note 7)</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34"/>
        </w:trPr>
        <w:tc>
          <w:tcPr>
            <w:tcW w:w="6720" w:type="dxa"/>
            <w:vAlign w:val="bottom"/>
          </w:tcPr>
          <w:p>
            <w:pPr>
              <w:ind w:left="140"/>
              <w:spacing w:after="0"/>
              <w:rPr>
                <w:sz w:val="20"/>
                <w:szCs w:val="20"/>
                <w:color w:val="auto"/>
              </w:rPr>
            </w:pPr>
            <w:r>
              <w:rPr>
                <w:rFonts w:ascii="Arial" w:cs="Arial" w:eastAsia="Arial" w:hAnsi="Arial"/>
                <w:sz w:val="18"/>
                <w:szCs w:val="18"/>
                <w:color w:val="auto"/>
              </w:rPr>
              <w:t>Equity-indexed compensation expense</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4"/>
        </w:trPr>
        <w:tc>
          <w:tcPr>
            <w:tcW w:w="6720" w:type="dxa"/>
            <w:vAlign w:val="bottom"/>
          </w:tcPr>
          <w:p>
            <w:pPr>
              <w:ind w:left="140"/>
              <w:spacing w:after="0"/>
              <w:rPr>
                <w:sz w:val="20"/>
                <w:szCs w:val="20"/>
                <w:color w:val="auto"/>
              </w:rPr>
            </w:pPr>
            <w:r>
              <w:rPr>
                <w:rFonts w:ascii="Arial" w:cs="Arial" w:eastAsia="Arial" w:hAnsi="Arial"/>
                <w:sz w:val="18"/>
                <w:szCs w:val="18"/>
                <w:color w:val="auto"/>
              </w:rPr>
              <w:t>Deferred income tax expense</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4"/>
        </w:trPr>
        <w:tc>
          <w:tcPr>
            <w:tcW w:w="6720" w:type="dxa"/>
            <w:vAlign w:val="bottom"/>
          </w:tcPr>
          <w:p>
            <w:pPr>
              <w:ind w:left="140"/>
              <w:spacing w:after="0"/>
              <w:rPr>
                <w:sz w:val="20"/>
                <w:szCs w:val="20"/>
                <w:color w:val="auto"/>
              </w:rPr>
            </w:pPr>
            <w:r>
              <w:rPr>
                <w:rFonts w:ascii="Arial" w:cs="Arial" w:eastAsia="Arial" w:hAnsi="Arial"/>
                <w:sz w:val="18"/>
                <w:szCs w:val="18"/>
                <w:color w:val="auto"/>
              </w:rPr>
              <w:t>Gains on sales of linefill</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6720" w:type="dxa"/>
            <w:vAlign w:val="bottom"/>
          </w:tcPr>
          <w:p>
            <w:pPr>
              <w:ind w:left="140"/>
              <w:spacing w:after="0"/>
              <w:rPr>
                <w:sz w:val="20"/>
                <w:szCs w:val="20"/>
                <w:color w:val="auto"/>
              </w:rPr>
            </w:pPr>
            <w:r>
              <w:rPr>
                <w:rFonts w:ascii="Arial" w:cs="Arial" w:eastAsia="Arial" w:hAnsi="Arial"/>
                <w:sz w:val="18"/>
                <w:szCs w:val="18"/>
                <w:color w:val="auto"/>
              </w:rPr>
              <w:t>(Gain)/loss on foreign currency revaluation</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4"/>
        </w:trPr>
        <w:tc>
          <w:tcPr>
            <w:tcW w:w="6720" w:type="dxa"/>
            <w:vAlign w:val="bottom"/>
          </w:tcPr>
          <w:p>
            <w:pPr>
              <w:ind w:left="140"/>
              <w:spacing w:after="0"/>
              <w:rPr>
                <w:sz w:val="20"/>
                <w:szCs w:val="20"/>
                <w:color w:val="auto"/>
              </w:rPr>
            </w:pPr>
            <w:r>
              <w:rPr>
                <w:rFonts w:ascii="Arial" w:cs="Arial" w:eastAsia="Arial" w:hAnsi="Arial"/>
                <w:sz w:val="18"/>
                <w:szCs w:val="18"/>
                <w:color w:val="auto"/>
              </w:rPr>
              <w:t>Settlement of terminated interest rate hedging instruments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6720" w:type="dxa"/>
            <w:vAlign w:val="bottom"/>
          </w:tcPr>
          <w:p>
            <w:pPr>
              <w:ind w:left="140"/>
              <w:spacing w:after="0"/>
              <w:rPr>
                <w:sz w:val="20"/>
                <w:szCs w:val="20"/>
                <w:color w:val="auto"/>
              </w:rPr>
            </w:pPr>
            <w:r>
              <w:rPr>
                <w:rFonts w:ascii="Arial" w:cs="Arial" w:eastAsia="Arial" w:hAnsi="Arial"/>
                <w:sz w:val="18"/>
                <w:szCs w:val="18"/>
                <w:color w:val="auto"/>
              </w:rPr>
              <w:t>Change in fair value of Preferred Distribution Rate Reset Option (Note 12)</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4"/>
        </w:trPr>
        <w:tc>
          <w:tcPr>
            <w:tcW w:w="6720" w:type="dxa"/>
            <w:vAlign w:val="bottom"/>
          </w:tcPr>
          <w:p>
            <w:pPr>
              <w:ind w:left="140"/>
              <w:spacing w:after="0"/>
              <w:rPr>
                <w:sz w:val="20"/>
                <w:szCs w:val="20"/>
                <w:color w:val="auto"/>
              </w:rPr>
            </w:pPr>
            <w:r>
              <w:rPr>
                <w:rFonts w:ascii="Arial" w:cs="Arial" w:eastAsia="Arial" w:hAnsi="Arial"/>
                <w:sz w:val="18"/>
                <w:szCs w:val="18"/>
                <w:color w:val="auto"/>
              </w:rPr>
              <w:t>Equity earnings in unconsolidated entities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56"/>
        </w:trPr>
        <w:tc>
          <w:tcPr>
            <w:tcW w:w="6720" w:type="dxa"/>
            <w:vAlign w:val="bottom"/>
          </w:tcPr>
          <w:p>
            <w:pPr>
              <w:ind w:left="140"/>
              <w:spacing w:after="0"/>
              <w:rPr>
                <w:sz w:val="20"/>
                <w:szCs w:val="20"/>
                <w:color w:val="auto"/>
              </w:rPr>
            </w:pPr>
            <w:r>
              <w:rPr>
                <w:rFonts w:ascii="Arial" w:cs="Arial" w:eastAsia="Arial" w:hAnsi="Arial"/>
                <w:sz w:val="18"/>
                <w:szCs w:val="18"/>
                <w:color w:val="auto"/>
              </w:rPr>
              <w:t>Distributions on earnings from unconsolidated entities</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50"/>
        </w:trPr>
        <w:tc>
          <w:tcPr>
            <w:tcW w:w="6720" w:type="dxa"/>
            <w:vAlign w:val="bottom"/>
          </w:tcPr>
          <w:p>
            <w:pPr>
              <w:ind w:left="140"/>
              <w:spacing w:after="0"/>
              <w:rPr>
                <w:sz w:val="20"/>
                <w:szCs w:val="20"/>
                <w:color w:val="auto"/>
              </w:rPr>
            </w:pPr>
            <w:r>
              <w:rPr>
                <w:rFonts w:ascii="Arial" w:cs="Arial" w:eastAsia="Arial" w:hAnsi="Arial"/>
                <w:sz w:val="18"/>
                <w:szCs w:val="18"/>
                <w:color w:val="auto"/>
              </w:rPr>
              <w:t>(Gains)/losses on investments in unconsolidated entities, net (Note 7, Note 8)</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2"/>
        </w:trPr>
        <w:tc>
          <w:tcPr>
            <w:tcW w:w="6720" w:type="dxa"/>
            <w:vAlign w:val="bottom"/>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6"/>
        </w:trPr>
        <w:tc>
          <w:tcPr>
            <w:tcW w:w="6720" w:type="dxa"/>
            <w:vAlign w:val="bottom"/>
          </w:tcPr>
          <w:p>
            <w:pPr>
              <w:ind w:left="120"/>
              <w:spacing w:after="0"/>
              <w:rPr>
                <w:sz w:val="20"/>
                <w:szCs w:val="20"/>
                <w:color w:val="auto"/>
              </w:rPr>
            </w:pPr>
            <w:r>
              <w:rPr>
                <w:rFonts w:ascii="Arial" w:cs="Arial" w:eastAsia="Arial" w:hAnsi="Arial"/>
                <w:sz w:val="18"/>
                <w:szCs w:val="18"/>
                <w:color w:val="auto"/>
              </w:rPr>
              <w:t>Changes in assets and liabilities, net of acquisitions:</w:t>
            </w:r>
          </w:p>
        </w:tc>
        <w:tc>
          <w:tcPr>
            <w:tcW w:w="22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649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20"/>
        </w:trPr>
        <w:tc>
          <w:tcPr>
            <w:tcW w:w="6720" w:type="dxa"/>
            <w:vAlign w:val="bottom"/>
          </w:tcPr>
          <w:p>
            <w:pPr>
              <w:ind w:left="240"/>
              <w:spacing w:after="0"/>
              <w:rPr>
                <w:sz w:val="20"/>
                <w:szCs w:val="20"/>
                <w:color w:val="auto"/>
              </w:rPr>
            </w:pPr>
            <w:r>
              <w:rPr>
                <w:rFonts w:ascii="Arial" w:cs="Arial" w:eastAsia="Arial" w:hAnsi="Arial"/>
                <w:sz w:val="18"/>
                <w:szCs w:val="18"/>
                <w:color w:val="auto"/>
              </w:rPr>
              <w:t>Trade accounts receivable and other</w:t>
            </w: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2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3"/>
        </w:trPr>
        <w:tc>
          <w:tcPr>
            <w:tcW w:w="6720" w:type="dxa"/>
            <w:vAlign w:val="bottom"/>
          </w:tcPr>
          <w:p>
            <w:pPr>
              <w:ind w:left="260"/>
              <w:spacing w:after="0"/>
              <w:rPr>
                <w:sz w:val="20"/>
                <w:szCs w:val="20"/>
                <w:color w:val="auto"/>
              </w:rPr>
            </w:pPr>
            <w:r>
              <w:rPr>
                <w:rFonts w:ascii="Arial" w:cs="Arial" w:eastAsia="Arial" w:hAnsi="Arial"/>
                <w:sz w:val="18"/>
                <w:szCs w:val="18"/>
                <w:color w:val="auto"/>
              </w:rPr>
              <w:t>Trade accounts payable and other</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37"/>
        </w:trPr>
        <w:tc>
          <w:tcPr>
            <w:tcW w:w="6720" w:type="dxa"/>
            <w:vAlign w:val="bottom"/>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465"/>
        </w:trPr>
        <w:tc>
          <w:tcPr>
            <w:tcW w:w="6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5"/>
        </w:trPr>
        <w:tc>
          <w:tcPr>
            <w:tcW w:w="6720" w:type="dxa"/>
            <w:vAlign w:val="bottom"/>
          </w:tcPr>
          <w:p>
            <w:pPr>
              <w:spacing w:after="0"/>
              <w:rPr>
                <w:sz w:val="20"/>
                <w:szCs w:val="20"/>
                <w:color w:val="auto"/>
              </w:rPr>
            </w:pPr>
            <w:r>
              <w:rPr>
                <w:rFonts w:ascii="Arial" w:cs="Arial" w:eastAsia="Arial" w:hAnsi="Arial"/>
                <w:sz w:val="18"/>
                <w:szCs w:val="18"/>
                <w:color w:val="auto"/>
              </w:rPr>
              <w:t>Cash paid in connection with acquisitions, net of cash acquired (Note 7)</w:t>
            </w: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r>
              <w:rPr>
                <w:rFonts w:ascii="Arial" w:cs="Arial" w:eastAsia="Arial" w:hAnsi="Arial"/>
                <w:sz w:val="18"/>
                <w:szCs w:val="18"/>
                <w:color w:val="auto"/>
              </w:rPr>
              <w:t>Investments in unconsolidated entities (Note 8)</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r>
              <w:rPr>
                <w:rFonts w:ascii="Arial" w:cs="Arial" w:eastAsia="Arial" w:hAnsi="Arial"/>
                <w:sz w:val="18"/>
                <w:szCs w:val="18"/>
                <w:color w:val="auto"/>
              </w:rPr>
              <w:t>Additions to property, equipment and other</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r>
              <w:rPr>
                <w:rFonts w:ascii="Arial" w:cs="Arial" w:eastAsia="Arial" w:hAnsi="Arial"/>
                <w:sz w:val="18"/>
                <w:szCs w:val="18"/>
                <w:color w:val="auto"/>
              </w:rPr>
              <w:t>Cash paid for purchases of linefill</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r>
              <w:rPr>
                <w:rFonts w:ascii="Arial" w:cs="Arial" w:eastAsia="Arial" w:hAnsi="Arial"/>
                <w:sz w:val="18"/>
                <w:szCs w:val="18"/>
                <w:color w:val="auto"/>
              </w:rPr>
              <w:t>Proceeds from sales of assets (Note 7)</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r>
              <w:rPr>
                <w:rFonts w:ascii="Arial" w:cs="Arial" w:eastAsia="Arial" w:hAnsi="Arial"/>
                <w:sz w:val="18"/>
                <w:szCs w:val="18"/>
                <w:color w:val="auto"/>
              </w:rPr>
              <w:t>Cash received from sales of linefill</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3"/>
        </w:trPr>
        <w:tc>
          <w:tcPr>
            <w:tcW w:w="672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720" w:type="dxa"/>
            <w:vAlign w:val="bottom"/>
          </w:tcPr>
          <w:p>
            <w:pPr>
              <w:ind w:left="360"/>
              <w:spacing w:after="0"/>
              <w:rPr>
                <w:sz w:val="20"/>
                <w:szCs w:val="20"/>
                <w:color w:val="auto"/>
              </w:rPr>
            </w:pPr>
            <w:r>
              <w:rPr>
                <w:rFonts w:ascii="Arial" w:cs="Arial" w:eastAsia="Arial" w:hAnsi="Arial"/>
                <w:sz w:val="18"/>
                <w:szCs w:val="18"/>
                <w:color w:val="auto"/>
              </w:rPr>
              <w:t>Net cash provided by/(used in) investing activities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465"/>
        </w:trPr>
        <w:tc>
          <w:tcPr>
            <w:tcW w:w="6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5"/>
        </w:trPr>
        <w:tc>
          <w:tcPr>
            <w:tcW w:w="6720" w:type="dxa"/>
            <w:vAlign w:val="bottom"/>
          </w:tcPr>
          <w:p>
            <w:pPr>
              <w:spacing w:after="0"/>
              <w:rPr>
                <w:sz w:val="20"/>
                <w:szCs w:val="20"/>
                <w:color w:val="auto"/>
              </w:rPr>
            </w:pPr>
            <w:r>
              <w:rPr>
                <w:rFonts w:ascii="Arial" w:cs="Arial" w:eastAsia="Arial" w:hAnsi="Arial"/>
                <w:sz w:val="18"/>
                <w:szCs w:val="18"/>
                <w:color w:val="auto"/>
              </w:rPr>
              <w:t>Net borrowings/(repayments) under PAA commercial paper program (Note 10)</w:t>
            </w: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r>
              <w:rPr>
                <w:rFonts w:ascii="Arial" w:cs="Arial" w:eastAsia="Arial" w:hAnsi="Arial"/>
                <w:sz w:val="18"/>
                <w:szCs w:val="18"/>
                <w:color w:val="auto"/>
              </w:rPr>
              <w:t>Net repayments under PAA senior secured hedged inventory facility (Note 10)</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r>
              <w:rPr>
                <w:rFonts w:ascii="Arial" w:cs="Arial" w:eastAsia="Arial" w:hAnsi="Arial"/>
                <w:sz w:val="18"/>
                <w:szCs w:val="18"/>
                <w:color w:val="auto"/>
              </w:rPr>
              <w:t>Repayment of PAA GO Zone term loans (Note 10)</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r>
              <w:rPr>
                <w:rFonts w:ascii="Arial" w:cs="Arial" w:eastAsia="Arial" w:hAnsi="Arial"/>
                <w:sz w:val="18"/>
                <w:szCs w:val="18"/>
                <w:color w:val="auto"/>
              </w:rPr>
              <w:t>Repayments of PAA senior notes (Note 10)</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Arial" w:cs="Arial" w:eastAsia="Arial" w:hAnsi="Arial"/>
                <w:sz w:val="18"/>
                <w:szCs w:val="18"/>
                <w:color w:val="auto"/>
              </w:rPr>
              <w:t>Repurchase of common units by a subsidiary (Note 11)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0"/>
        </w:trPr>
        <w:tc>
          <w:tcPr>
            <w:tcW w:w="6720" w:type="dxa"/>
            <w:vAlign w:val="bottom"/>
          </w:tcPr>
          <w:p>
            <w:pPr>
              <w:spacing w:after="0"/>
              <w:rPr>
                <w:sz w:val="20"/>
                <w:szCs w:val="20"/>
                <w:color w:val="auto"/>
              </w:rPr>
            </w:pPr>
            <w:r>
              <w:rPr>
                <w:rFonts w:ascii="Arial" w:cs="Arial" w:eastAsia="Arial" w:hAnsi="Arial"/>
                <w:sz w:val="18"/>
                <w:szCs w:val="18"/>
                <w:color w:val="auto"/>
              </w:rPr>
              <w:t>Distributions paid to Class A shareholders (Note 11)</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r>
              <w:rPr>
                <w:rFonts w:ascii="Arial" w:cs="Arial" w:eastAsia="Arial" w:hAnsi="Arial"/>
                <w:sz w:val="18"/>
                <w:szCs w:val="18"/>
                <w:color w:val="auto"/>
              </w:rPr>
              <w:t>Distributions paid to noncontrolling interests (Note 11)</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r>
              <w:rPr>
                <w:rFonts w:ascii="Arial" w:cs="Arial" w:eastAsia="Arial" w:hAnsi="Arial"/>
                <w:sz w:val="18"/>
                <w:szCs w:val="18"/>
                <w:color w:val="auto"/>
              </w:rPr>
              <w:t>Contributions from noncontrolling interests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3"/>
        </w:trPr>
        <w:tc>
          <w:tcPr>
            <w:tcW w:w="672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7"/>
        </w:trPr>
        <w:tc>
          <w:tcPr>
            <w:tcW w:w="6720" w:type="dxa"/>
            <w:vAlign w:val="bottom"/>
          </w:tcPr>
          <w:p>
            <w:pPr>
              <w:ind w:left="36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446"/>
        </w:trPr>
        <w:tc>
          <w:tcPr>
            <w:tcW w:w="6720" w:type="dxa"/>
            <w:vAlign w:val="bottom"/>
          </w:tcPr>
          <w:p>
            <w:pPr>
              <w:spacing w:after="0"/>
              <w:rPr>
                <w:sz w:val="20"/>
                <w:szCs w:val="20"/>
                <w:color w:val="auto"/>
              </w:rPr>
            </w:pPr>
            <w:r>
              <w:rPr>
                <w:rFonts w:ascii="Arial" w:cs="Arial" w:eastAsia="Arial" w:hAnsi="Arial"/>
                <w:sz w:val="18"/>
                <w:szCs w:val="18"/>
                <w:color w:val="auto"/>
              </w:rPr>
              <w:t>Effect of translation adjustment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r>
              <w:rPr>
                <w:rFonts w:ascii="Arial" w:cs="Arial" w:eastAsia="Arial" w:hAnsi="Arial"/>
                <w:sz w:val="18"/>
                <w:szCs w:val="18"/>
                <w:color w:val="auto"/>
              </w:rPr>
              <w:t>Net increase/(decrease) in cash and cash equivalents and restricted cash</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33"/>
        </w:trPr>
        <w:tc>
          <w:tcPr>
            <w:tcW w:w="6720" w:type="dxa"/>
            <w:vAlign w:val="bottom"/>
          </w:tcPr>
          <w:p>
            <w:pPr>
              <w:spacing w:after="0"/>
              <w:rPr>
                <w:sz w:val="20"/>
                <w:szCs w:val="20"/>
                <w:color w:val="auto"/>
              </w:rPr>
            </w:pPr>
            <w:r>
              <w:rPr>
                <w:rFonts w:ascii="Arial" w:cs="Arial" w:eastAsia="Arial" w:hAnsi="Arial"/>
                <w:sz w:val="18"/>
                <w:szCs w:val="18"/>
                <w:color w:val="auto"/>
              </w:rPr>
              <w:t>Cash and cash equivalents and restricted cash, beginning of period</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4"/>
        </w:trPr>
        <w:tc>
          <w:tcPr>
            <w:tcW w:w="6720" w:type="dxa"/>
            <w:vAlign w:val="bottom"/>
          </w:tcPr>
          <w:p>
            <w:pPr>
              <w:spacing w:after="0" w:line="195" w:lineRule="exact"/>
              <w:rPr>
                <w:sz w:val="20"/>
                <w:szCs w:val="20"/>
                <w:color w:val="auto"/>
              </w:rPr>
            </w:pPr>
            <w:r>
              <w:rPr>
                <w:rFonts w:ascii="Arial" w:cs="Arial" w:eastAsia="Arial" w:hAnsi="Arial"/>
                <w:sz w:val="18"/>
                <w:szCs w:val="18"/>
                <w:color w:val="auto"/>
              </w:rPr>
              <w:t>Cash and cash equivalents and restricted cash, end of period</w:t>
            </w:r>
          </w:p>
        </w:tc>
        <w:tc>
          <w:tcPr>
            <w:tcW w:w="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453</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404</w:t>
            </w:r>
          </w:p>
        </w:tc>
        <w:tc>
          <w:tcPr>
            <w:tcW w:w="60" w:type="dxa"/>
            <w:vAlign w:val="bottom"/>
          </w:tcPr>
          <w:p>
            <w:pPr>
              <w:spacing w:after="0"/>
              <w:rPr>
                <w:sz w:val="16"/>
                <w:szCs w:val="16"/>
                <w:color w:val="auto"/>
              </w:rPr>
            </w:pPr>
          </w:p>
        </w:tc>
        <w:tc>
          <w:tcPr>
            <w:tcW w:w="240" w:type="dxa"/>
            <w:vAlign w:val="bottom"/>
            <w:tcBorders>
              <w:bottom w:val="single" w:sz="8" w:color="auto"/>
            </w:tcBorders>
          </w:tcPr>
          <w:p>
            <w:pPr>
              <w:jc w:val="right"/>
              <w:ind w:right="12"/>
              <w:spacing w:after="0" w:line="195"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Cash paid for:</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720" w:type="dxa"/>
            <w:vAlign w:val="bottom"/>
            <w:vMerge w:val="continue"/>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377</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393</w:t>
            </w:r>
          </w:p>
        </w:tc>
        <w:tc>
          <w:tcPr>
            <w:tcW w:w="30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2"/>
        </w:trPr>
        <w:tc>
          <w:tcPr>
            <w:tcW w:w="6720" w:type="dxa"/>
            <w:vAlign w:val="bottom"/>
          </w:tcPr>
          <w:p>
            <w:pPr>
              <w:ind w:left="140"/>
              <w:spacing w:after="0"/>
              <w:rPr>
                <w:sz w:val="20"/>
                <w:szCs w:val="20"/>
                <w:color w:val="auto"/>
              </w:rPr>
            </w:pPr>
            <w:r>
              <w:rPr>
                <w:rFonts w:ascii="Arial" w:cs="Arial" w:eastAsia="Arial" w:hAnsi="Arial"/>
                <w:sz w:val="18"/>
                <w:szCs w:val="18"/>
                <w:color w:val="auto"/>
              </w:rPr>
              <w:t>Interest, net of amounts capitalized</w:t>
            </w: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720" w:type="dxa"/>
            <w:vAlign w:val="bottom"/>
          </w:tcPr>
          <w:p>
            <w:pPr>
              <w:ind w:left="140"/>
              <w:spacing w:after="0"/>
              <w:rPr>
                <w:sz w:val="20"/>
                <w:szCs w:val="20"/>
                <w:color w:val="auto"/>
              </w:rPr>
            </w:pPr>
            <w:r>
              <w:rPr>
                <w:rFonts w:ascii="Arial" w:cs="Arial" w:eastAsia="Arial" w:hAnsi="Arial"/>
                <w:sz w:val="18"/>
                <w:szCs w:val="18"/>
                <w:color w:val="auto"/>
              </w:rPr>
              <w:t>Income taxes, net of amounts refunded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-7625080</wp:posOffset>
            </wp:positionV>
            <wp:extent cx="6283960" cy="7630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6">
                      <a:extLst>
                        <a:ext uri="{28A0092B-C50C-407E-A947-70E740481C1C}"/>
                      </a:extLst>
                    </a:blip>
                    <a:srcRect/>
                    <a:stretch>
                      <a:fillRect/>
                    </a:stretch>
                  </pic:blipFill>
                  <pic:spPr bwMode="auto">
                    <a:xfrm>
                      <a:off x="0" y="0"/>
                      <a:ext cx="6283960" cy="7630160"/>
                    </a:xfrm>
                    <a:prstGeom prst="rect">
                      <a:avLst/>
                    </a:prstGeom>
                    <a:noFill/>
                  </pic:spPr>
                </pic:pic>
              </a:graphicData>
            </a:graphic>
          </wp:anchor>
        </w:drawing>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880" w:h="15480" w:orient="portrait"/>
          <w:cols w:equalWidth="0" w:num="1">
            <w:col w:w="9800"/>
          </w:cols>
          <w:pgMar w:left="1060" w:top="669" w:right="102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F-8</w:t>
      </w:r>
    </w:p>
    <w:p>
      <w:pPr>
        <w:sectPr>
          <w:pgSz w:w="11880" w:h="15480" w:orient="portrait"/>
          <w:cols w:equalWidth="0" w:num="1">
            <w:col w:w="9800"/>
          </w:cols>
          <w:pgMar w:left="1060" w:top="669" w:right="1020" w:bottom="0" w:gutter="0" w:footer="0" w:header="0"/>
          <w:type w:val="continuous"/>
        </w:sectPr>
      </w:pPr>
    </w:p>
    <w:bookmarkStart w:id="111" w:name="page112"/>
    <w:bookmarkEnd w:id="111"/>
    <w:p>
      <w:pPr>
        <w:jc w:val="center"/>
        <w:ind w:right="40"/>
        <w:spacing w:after="0" w:line="291" w:lineRule="auto"/>
        <w:rPr>
          <w:sz w:val="20"/>
          <w:szCs w:val="20"/>
          <w:color w:val="auto"/>
        </w:rPr>
      </w:pPr>
      <w:r>
        <w:rPr>
          <w:rFonts w:ascii="Arial" w:cs="Arial" w:eastAsia="Arial" w:hAnsi="Arial"/>
          <w:sz w:val="19"/>
          <w:szCs w:val="19"/>
          <w:b w:val="1"/>
          <w:bCs w:val="1"/>
          <w:color w:val="auto"/>
        </w:rPr>
        <w:t>PLAINS GP HOLDINGS, L.P. AND SUBSIDIARIES CONSOLIDATED STATEMENTS OF CHANGES IN PARTNERS’ CAPITAL (in millions)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243"/>
              <w:spacing w:after="0"/>
              <w:rPr>
                <w:sz w:val="20"/>
                <w:szCs w:val="20"/>
                <w:color w:val="auto"/>
              </w:rPr>
            </w:pPr>
            <w:r>
              <w:rPr>
                <w:rFonts w:ascii="Arial" w:cs="Arial" w:eastAsia="Arial" w:hAnsi="Arial"/>
                <w:sz w:val="16"/>
                <w:szCs w:val="16"/>
                <w:b w:val="1"/>
                <w:bCs w:val="1"/>
                <w:color w:val="auto"/>
                <w:w w:val="95"/>
              </w:rPr>
              <w:t>Class A</w:t>
            </w:r>
          </w:p>
        </w:tc>
        <w:tc>
          <w:tcPr>
            <w:tcW w:w="8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Noncontrolling</w:t>
            </w:r>
          </w:p>
        </w:tc>
        <w:tc>
          <w:tcPr>
            <w:tcW w:w="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w w:val="96"/>
              </w:rPr>
              <w:t>Total Partners’</w:t>
            </w:r>
          </w:p>
        </w:tc>
      </w:tr>
      <w:tr>
        <w:trPr>
          <w:trHeight w:val="209"/>
        </w:trPr>
        <w:tc>
          <w:tcPr>
            <w:tcW w:w="6280" w:type="dxa"/>
            <w:vAlign w:val="bottom"/>
          </w:tcPr>
          <w:p>
            <w:pPr>
              <w:spacing w:after="0"/>
              <w:rPr>
                <w:sz w:val="18"/>
                <w:szCs w:val="18"/>
                <w:color w:val="auto"/>
              </w:rPr>
            </w:pPr>
          </w:p>
        </w:tc>
        <w:tc>
          <w:tcPr>
            <w:tcW w:w="116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6"/>
                <w:szCs w:val="16"/>
                <w:b w:val="1"/>
                <w:bCs w:val="1"/>
                <w:color w:val="auto"/>
                <w:w w:val="97"/>
              </w:rPr>
              <w:t>Shareholders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b w:val="1"/>
                <w:bCs w:val="1"/>
                <w:color w:val="auto"/>
                <w:w w:val="92"/>
              </w:rPr>
              <w:t>Interests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b w:val="1"/>
                <w:bCs w:val="1"/>
                <w:color w:val="auto"/>
              </w:rPr>
              <w:t>Capital</w:t>
            </w:r>
          </w:p>
        </w:tc>
      </w:tr>
      <w:tr>
        <w:trPr>
          <w:trHeight w:val="253"/>
        </w:trPr>
        <w:tc>
          <w:tcPr>
            <w:tcW w:w="6280" w:type="dxa"/>
            <w:vAlign w:val="bottom"/>
          </w:tcPr>
          <w:p>
            <w:pPr>
              <w:spacing w:after="0"/>
              <w:rPr>
                <w:sz w:val="20"/>
                <w:szCs w:val="20"/>
                <w:color w:val="auto"/>
              </w:rPr>
            </w:pPr>
            <w:r>
              <w:rPr>
                <w:rFonts w:ascii="Arial" w:cs="Arial" w:eastAsia="Arial" w:hAnsi="Arial"/>
                <w:sz w:val="19"/>
                <w:szCs w:val="19"/>
                <w:color w:val="auto"/>
              </w:rPr>
              <w:t>Balance at December 31, 2020</w:t>
            </w:r>
          </w:p>
        </w:tc>
        <w:tc>
          <w:tcPr>
            <w:tcW w:w="24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1,464</w:t>
            </w:r>
          </w:p>
        </w:tc>
        <w:tc>
          <w:tcPr>
            <w:tcW w:w="300" w:type="dxa"/>
            <w:vAlign w:val="bottom"/>
            <w:gridSpan w:val="2"/>
          </w:tcPr>
          <w:p>
            <w:pPr>
              <w:jc w:val="right"/>
              <w:ind w:right="2"/>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9,726</w:t>
            </w:r>
          </w:p>
        </w:tc>
        <w:tc>
          <w:tcPr>
            <w:tcW w:w="3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11,190</w:t>
            </w:r>
          </w:p>
        </w:tc>
      </w:tr>
      <w:tr>
        <w:trPr>
          <w:trHeight w:val="20"/>
        </w:trPr>
        <w:tc>
          <w:tcPr>
            <w:tcW w:w="6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541"/>
        </w:trPr>
        <w:tc>
          <w:tcPr>
            <w:tcW w:w="6280" w:type="dxa"/>
            <w:vAlign w:val="bottom"/>
          </w:tcPr>
          <w:p>
            <w:pPr>
              <w:ind w:left="140"/>
              <w:spacing w:after="0"/>
              <w:rPr>
                <w:sz w:val="20"/>
                <w:szCs w:val="20"/>
                <w:color w:val="auto"/>
              </w:rPr>
            </w:pPr>
            <w:r>
              <w:rPr>
                <w:rFonts w:ascii="Arial" w:cs="Arial" w:eastAsia="Arial" w:hAnsi="Arial"/>
                <w:sz w:val="19"/>
                <w:szCs w:val="19"/>
                <w:color w:val="auto"/>
              </w:rPr>
              <w:t>Net income</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60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540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600</w:t>
            </w:r>
          </w:p>
        </w:tc>
      </w:tr>
      <w:tr>
        <w:trPr>
          <w:trHeight w:val="292"/>
        </w:trPr>
        <w:tc>
          <w:tcPr>
            <w:tcW w:w="6280" w:type="dxa"/>
            <w:vAlign w:val="bottom"/>
          </w:tcPr>
          <w:p>
            <w:pPr>
              <w:ind w:left="140"/>
              <w:spacing w:after="0"/>
              <w:rPr>
                <w:sz w:val="20"/>
                <w:szCs w:val="20"/>
                <w:color w:val="auto"/>
              </w:rPr>
            </w:pPr>
            <w:r>
              <w:rPr>
                <w:rFonts w:ascii="Arial" w:cs="Arial" w:eastAsia="Arial" w:hAnsi="Arial"/>
                <w:sz w:val="19"/>
                <w:szCs w:val="19"/>
                <w:color w:val="auto"/>
              </w:rPr>
              <w:t>Distributions (Note 11)</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(140)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(589)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(729)</w:t>
            </w:r>
          </w:p>
        </w:tc>
      </w:tr>
      <w:tr>
        <w:trPr>
          <w:trHeight w:val="292"/>
        </w:trPr>
        <w:tc>
          <w:tcPr>
            <w:tcW w:w="6280" w:type="dxa"/>
            <w:vAlign w:val="bottom"/>
          </w:tcPr>
          <w:p>
            <w:pPr>
              <w:ind w:left="140"/>
              <w:spacing w:after="0"/>
              <w:rPr>
                <w:sz w:val="20"/>
                <w:szCs w:val="20"/>
                <w:color w:val="auto"/>
              </w:rPr>
            </w:pPr>
            <w:r>
              <w:rPr>
                <w:rFonts w:ascii="Arial" w:cs="Arial" w:eastAsia="Arial" w:hAnsi="Arial"/>
                <w:sz w:val="19"/>
                <w:szCs w:val="19"/>
                <w:color w:val="auto"/>
              </w:rPr>
              <w:t>Deferred tax asset (Note 14)</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(42)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(42)</w:t>
            </w:r>
          </w:p>
        </w:tc>
      </w:tr>
      <w:tr>
        <w:trPr>
          <w:trHeight w:val="292"/>
        </w:trPr>
        <w:tc>
          <w:tcPr>
            <w:tcW w:w="6280" w:type="dxa"/>
            <w:vAlign w:val="bottom"/>
          </w:tcPr>
          <w:p>
            <w:pPr>
              <w:ind w:left="140"/>
              <w:spacing w:after="0"/>
              <w:rPr>
                <w:sz w:val="20"/>
                <w:szCs w:val="20"/>
                <w:color w:val="auto"/>
              </w:rPr>
            </w:pPr>
            <w:r>
              <w:rPr>
                <w:rFonts w:ascii="Arial" w:cs="Arial" w:eastAsia="Arial" w:hAnsi="Arial"/>
                <w:sz w:val="19"/>
                <w:szCs w:val="19"/>
                <w:color w:val="auto"/>
              </w:rPr>
              <w:t>Other comprehensive income (Note 11)</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48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65</w:t>
            </w:r>
          </w:p>
        </w:tc>
      </w:tr>
      <w:tr>
        <w:trPr>
          <w:trHeight w:val="292"/>
        </w:trPr>
        <w:tc>
          <w:tcPr>
            <w:tcW w:w="6280" w:type="dxa"/>
            <w:vAlign w:val="bottom"/>
          </w:tcPr>
          <w:p>
            <w:pPr>
              <w:ind w:left="140"/>
              <w:spacing w:after="0"/>
              <w:rPr>
                <w:sz w:val="20"/>
                <w:szCs w:val="20"/>
                <w:color w:val="auto"/>
              </w:rPr>
            </w:pPr>
            <w:r>
              <w:rPr>
                <w:rFonts w:ascii="Arial" w:cs="Arial" w:eastAsia="Arial" w:hAnsi="Arial"/>
                <w:sz w:val="19"/>
                <w:szCs w:val="19"/>
                <w:color w:val="auto"/>
              </w:rPr>
              <w:t>Equity-indexed compensation expense</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92"/>
        </w:trPr>
        <w:tc>
          <w:tcPr>
            <w:tcW w:w="6280" w:type="dxa"/>
            <w:vAlign w:val="bottom"/>
          </w:tcPr>
          <w:p>
            <w:pPr>
              <w:ind w:left="140"/>
              <w:spacing w:after="0"/>
              <w:rPr>
                <w:sz w:val="20"/>
                <w:szCs w:val="20"/>
                <w:color w:val="auto"/>
              </w:rPr>
            </w:pPr>
            <w:r>
              <w:rPr>
                <w:rFonts w:ascii="Arial" w:cs="Arial" w:eastAsia="Arial" w:hAnsi="Arial"/>
                <w:sz w:val="19"/>
                <w:szCs w:val="19"/>
                <w:color w:val="auto"/>
              </w:rPr>
              <w:t>Repurchase of common units by a subsidiary (Note 11)</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(180)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(178)</w:t>
            </w:r>
          </w:p>
        </w:tc>
      </w:tr>
      <w:tr>
        <w:trPr>
          <w:trHeight w:val="292"/>
        </w:trPr>
        <w:tc>
          <w:tcPr>
            <w:tcW w:w="6280" w:type="dxa"/>
            <w:vAlign w:val="bottom"/>
          </w:tcPr>
          <w:p>
            <w:pPr>
              <w:ind w:left="140"/>
              <w:spacing w:after="0"/>
              <w:rPr>
                <w:sz w:val="20"/>
                <w:szCs w:val="20"/>
                <w:color w:val="auto"/>
              </w:rPr>
            </w:pPr>
            <w:r>
              <w:rPr>
                <w:rFonts w:ascii="Arial" w:cs="Arial" w:eastAsia="Arial" w:hAnsi="Arial"/>
                <w:sz w:val="19"/>
                <w:szCs w:val="19"/>
                <w:color w:val="auto"/>
              </w:rPr>
              <w:t>Contributions from noncontrolling interests</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92"/>
        </w:trPr>
        <w:tc>
          <w:tcPr>
            <w:tcW w:w="6280" w:type="dxa"/>
            <w:vAlign w:val="bottom"/>
          </w:tcPr>
          <w:p>
            <w:pPr>
              <w:ind w:left="140"/>
              <w:spacing w:after="0"/>
              <w:rPr>
                <w:sz w:val="20"/>
                <w:szCs w:val="20"/>
                <w:color w:val="auto"/>
              </w:rPr>
            </w:pPr>
            <w:r>
              <w:rPr>
                <w:rFonts w:ascii="Arial" w:cs="Arial" w:eastAsia="Arial" w:hAnsi="Arial"/>
                <w:sz w:val="19"/>
                <w:szCs w:val="19"/>
                <w:color w:val="auto"/>
              </w:rPr>
              <w:t>Plains Oryx Permian Basin LLC joint venture formation (Note 7)</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166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3,090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3,256</w:t>
            </w:r>
          </w:p>
        </w:tc>
      </w:tr>
      <w:tr>
        <w:trPr>
          <w:trHeight w:val="295"/>
        </w:trPr>
        <w:tc>
          <w:tcPr>
            <w:tcW w:w="6280" w:type="dxa"/>
            <w:vAlign w:val="bottom"/>
          </w:tcPr>
          <w:p>
            <w:pPr>
              <w:ind w:left="140"/>
              <w:spacing w:after="0"/>
              <w:rPr>
                <w:sz w:val="20"/>
                <w:szCs w:val="20"/>
                <w:color w:val="auto"/>
              </w:rPr>
            </w:pPr>
            <w:r>
              <w:rPr>
                <w:rFonts w:ascii="Arial" w:cs="Arial" w:eastAsia="Arial" w:hAnsi="Arial"/>
                <w:sz w:val="19"/>
                <w:szCs w:val="19"/>
                <w:color w:val="auto"/>
              </w:rPr>
              <w:t>Other</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w:t>
            </w:r>
          </w:p>
        </w:tc>
      </w:tr>
      <w:tr>
        <w:trPr>
          <w:trHeight w:val="253"/>
        </w:trPr>
        <w:tc>
          <w:tcPr>
            <w:tcW w:w="6280" w:type="dxa"/>
            <w:vAlign w:val="bottom"/>
          </w:tcPr>
          <w:p>
            <w:pPr>
              <w:spacing w:after="0"/>
              <w:rPr>
                <w:sz w:val="20"/>
                <w:szCs w:val="20"/>
                <w:color w:val="auto"/>
              </w:rPr>
            </w:pPr>
            <w:r>
              <w:rPr>
                <w:rFonts w:ascii="Arial" w:cs="Arial" w:eastAsia="Arial" w:hAnsi="Arial"/>
                <w:sz w:val="19"/>
                <w:szCs w:val="19"/>
                <w:color w:val="auto"/>
              </w:rPr>
              <w:t>Balance at December 31, 2021</w:t>
            </w:r>
          </w:p>
        </w:tc>
        <w:tc>
          <w:tcPr>
            <w:tcW w:w="24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1,533</w:t>
            </w:r>
          </w:p>
        </w:tc>
        <w:tc>
          <w:tcPr>
            <w:tcW w:w="300" w:type="dxa"/>
            <w:vAlign w:val="bottom"/>
            <w:gridSpan w:val="2"/>
          </w:tcPr>
          <w:p>
            <w:pPr>
              <w:jc w:val="right"/>
              <w:ind w:right="2"/>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12,644</w:t>
            </w:r>
          </w:p>
        </w:tc>
        <w:tc>
          <w:tcPr>
            <w:tcW w:w="3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14,177</w:t>
            </w:r>
          </w:p>
        </w:tc>
      </w:tr>
      <w:tr>
        <w:trPr>
          <w:trHeight w:val="20"/>
        </w:trPr>
        <w:tc>
          <w:tcPr>
            <w:tcW w:w="6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541"/>
        </w:trPr>
        <w:tc>
          <w:tcPr>
            <w:tcW w:w="6280" w:type="dxa"/>
            <w:vAlign w:val="bottom"/>
          </w:tcPr>
          <w:p>
            <w:pPr>
              <w:ind w:left="140"/>
              <w:spacing w:after="0"/>
              <w:rPr>
                <w:sz w:val="20"/>
                <w:szCs w:val="20"/>
                <w:color w:val="auto"/>
              </w:rPr>
            </w:pPr>
            <w:r>
              <w:rPr>
                <w:rFonts w:ascii="Arial" w:cs="Arial" w:eastAsia="Arial" w:hAnsi="Arial"/>
                <w:sz w:val="19"/>
                <w:szCs w:val="19"/>
                <w:color w:val="auto"/>
              </w:rPr>
              <w:t>Net income</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168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995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1,163</w:t>
            </w:r>
          </w:p>
        </w:tc>
      </w:tr>
      <w:tr>
        <w:trPr>
          <w:trHeight w:val="292"/>
        </w:trPr>
        <w:tc>
          <w:tcPr>
            <w:tcW w:w="6280" w:type="dxa"/>
            <w:vAlign w:val="bottom"/>
          </w:tcPr>
          <w:p>
            <w:pPr>
              <w:ind w:left="140"/>
              <w:spacing w:after="0"/>
              <w:rPr>
                <w:sz w:val="20"/>
                <w:szCs w:val="20"/>
                <w:color w:val="auto"/>
              </w:rPr>
            </w:pPr>
            <w:r>
              <w:rPr>
                <w:rFonts w:ascii="Arial" w:cs="Arial" w:eastAsia="Arial" w:hAnsi="Arial"/>
                <w:sz w:val="19"/>
                <w:szCs w:val="19"/>
                <w:color w:val="auto"/>
              </w:rPr>
              <w:t>Distributions (Note 11)</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(162)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(921)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(1,083)</w:t>
            </w:r>
          </w:p>
        </w:tc>
      </w:tr>
      <w:tr>
        <w:trPr>
          <w:trHeight w:val="292"/>
        </w:trPr>
        <w:tc>
          <w:tcPr>
            <w:tcW w:w="6280" w:type="dxa"/>
            <w:vAlign w:val="bottom"/>
          </w:tcPr>
          <w:p>
            <w:pPr>
              <w:ind w:left="140"/>
              <w:spacing w:after="0"/>
              <w:rPr>
                <w:sz w:val="20"/>
                <w:szCs w:val="20"/>
                <w:color w:val="auto"/>
              </w:rPr>
            </w:pPr>
            <w:r>
              <w:rPr>
                <w:rFonts w:ascii="Arial" w:cs="Arial" w:eastAsia="Arial" w:hAnsi="Arial"/>
                <w:sz w:val="19"/>
                <w:szCs w:val="19"/>
                <w:color w:val="auto"/>
              </w:rPr>
              <w:t>Deferred tax asset (Note 14)</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92"/>
        </w:trPr>
        <w:tc>
          <w:tcPr>
            <w:tcW w:w="6280" w:type="dxa"/>
            <w:vAlign w:val="bottom"/>
          </w:tcPr>
          <w:p>
            <w:pPr>
              <w:ind w:left="140"/>
              <w:spacing w:after="0"/>
              <w:rPr>
                <w:sz w:val="20"/>
                <w:szCs w:val="20"/>
                <w:color w:val="auto"/>
              </w:rPr>
            </w:pPr>
            <w:r>
              <w:rPr>
                <w:rFonts w:ascii="Arial" w:cs="Arial" w:eastAsia="Arial" w:hAnsi="Arial"/>
                <w:sz w:val="19"/>
                <w:szCs w:val="19"/>
                <w:color w:val="auto"/>
              </w:rPr>
              <w:t>Other comprehensive loss (Note 11)</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(73)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(101)</w:t>
            </w:r>
          </w:p>
        </w:tc>
      </w:tr>
      <w:tr>
        <w:trPr>
          <w:trHeight w:val="292"/>
        </w:trPr>
        <w:tc>
          <w:tcPr>
            <w:tcW w:w="6280" w:type="dxa"/>
            <w:vAlign w:val="bottom"/>
          </w:tcPr>
          <w:p>
            <w:pPr>
              <w:ind w:left="140"/>
              <w:spacing w:after="0"/>
              <w:rPr>
                <w:sz w:val="20"/>
                <w:szCs w:val="20"/>
                <w:color w:val="auto"/>
              </w:rPr>
            </w:pPr>
            <w:r>
              <w:rPr>
                <w:rFonts w:ascii="Arial" w:cs="Arial" w:eastAsia="Arial" w:hAnsi="Arial"/>
                <w:sz w:val="19"/>
                <w:szCs w:val="19"/>
                <w:color w:val="auto"/>
              </w:rPr>
              <w:t>Equity-indexed compensation expense</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92"/>
        </w:trPr>
        <w:tc>
          <w:tcPr>
            <w:tcW w:w="6280" w:type="dxa"/>
            <w:vAlign w:val="bottom"/>
          </w:tcPr>
          <w:p>
            <w:pPr>
              <w:ind w:left="140"/>
              <w:spacing w:after="0"/>
              <w:rPr>
                <w:sz w:val="20"/>
                <w:szCs w:val="20"/>
                <w:color w:val="auto"/>
              </w:rPr>
            </w:pPr>
            <w:r>
              <w:rPr>
                <w:rFonts w:ascii="Arial" w:cs="Arial" w:eastAsia="Arial" w:hAnsi="Arial"/>
                <w:sz w:val="19"/>
                <w:szCs w:val="19"/>
                <w:color w:val="auto"/>
              </w:rPr>
              <w:t>Repurchase of common units by a subsidiary (Note 11)</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(76)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(74)</w:t>
            </w:r>
          </w:p>
        </w:tc>
      </w:tr>
      <w:tr>
        <w:trPr>
          <w:trHeight w:val="292"/>
        </w:trPr>
        <w:tc>
          <w:tcPr>
            <w:tcW w:w="6280" w:type="dxa"/>
            <w:vAlign w:val="bottom"/>
          </w:tcPr>
          <w:p>
            <w:pPr>
              <w:ind w:left="140"/>
              <w:spacing w:after="0"/>
              <w:rPr>
                <w:sz w:val="20"/>
                <w:szCs w:val="20"/>
                <w:color w:val="auto"/>
              </w:rPr>
            </w:pPr>
            <w:r>
              <w:rPr>
                <w:rFonts w:ascii="Arial" w:cs="Arial" w:eastAsia="Arial" w:hAnsi="Arial"/>
                <w:sz w:val="19"/>
                <w:szCs w:val="19"/>
                <w:color w:val="auto"/>
              </w:rPr>
              <w:t>Contributions from noncontrolling interests</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26</w:t>
            </w:r>
          </w:p>
        </w:tc>
      </w:tr>
      <w:tr>
        <w:trPr>
          <w:trHeight w:val="292"/>
        </w:trPr>
        <w:tc>
          <w:tcPr>
            <w:tcW w:w="6280" w:type="dxa"/>
            <w:vAlign w:val="bottom"/>
          </w:tcPr>
          <w:p>
            <w:pPr>
              <w:ind w:left="140"/>
              <w:spacing w:after="0"/>
              <w:rPr>
                <w:sz w:val="20"/>
                <w:szCs w:val="20"/>
                <w:color w:val="auto"/>
              </w:rPr>
            </w:pPr>
            <w:r>
              <w:rPr>
                <w:rFonts w:ascii="Arial" w:cs="Arial" w:eastAsia="Arial" w:hAnsi="Arial"/>
                <w:sz w:val="19"/>
                <w:szCs w:val="19"/>
                <w:color w:val="auto"/>
              </w:rPr>
              <w:t>Plains Oryx Permian Basin LLC joint venture formation (Note 7)</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(26)</w:t>
            </w:r>
          </w:p>
        </w:tc>
      </w:tr>
      <w:tr>
        <w:trPr>
          <w:trHeight w:val="292"/>
        </w:trPr>
        <w:tc>
          <w:tcPr>
            <w:tcW w:w="6280" w:type="dxa"/>
            <w:vAlign w:val="bottom"/>
          </w:tcPr>
          <w:p>
            <w:pPr>
              <w:ind w:left="140"/>
              <w:spacing w:after="0"/>
              <w:rPr>
                <w:sz w:val="20"/>
                <w:szCs w:val="20"/>
                <w:color w:val="auto"/>
              </w:rPr>
            </w:pPr>
            <w:r>
              <w:rPr>
                <w:rFonts w:ascii="Arial" w:cs="Arial" w:eastAsia="Arial" w:hAnsi="Arial"/>
                <w:sz w:val="19"/>
                <w:szCs w:val="19"/>
                <w:color w:val="auto"/>
              </w:rPr>
              <w:t>Cactus II Pipeline LLC transaction (Note 7)</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526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526</w:t>
            </w:r>
          </w:p>
        </w:tc>
      </w:tr>
      <w:tr>
        <w:trPr>
          <w:trHeight w:val="295"/>
        </w:trPr>
        <w:tc>
          <w:tcPr>
            <w:tcW w:w="6280" w:type="dxa"/>
            <w:vAlign w:val="bottom"/>
          </w:tcPr>
          <w:p>
            <w:pPr>
              <w:ind w:left="140"/>
              <w:spacing w:after="0"/>
              <w:rPr>
                <w:sz w:val="20"/>
                <w:szCs w:val="20"/>
                <w:color w:val="auto"/>
              </w:rPr>
            </w:pPr>
            <w:r>
              <w:rPr>
                <w:rFonts w:ascii="Arial" w:cs="Arial" w:eastAsia="Arial" w:hAnsi="Arial"/>
                <w:sz w:val="19"/>
                <w:szCs w:val="19"/>
                <w:color w:val="auto"/>
              </w:rPr>
              <w:t>Other</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w:t>
            </w:r>
          </w:p>
        </w:tc>
      </w:tr>
      <w:tr>
        <w:trPr>
          <w:trHeight w:val="253"/>
        </w:trPr>
        <w:tc>
          <w:tcPr>
            <w:tcW w:w="6280" w:type="dxa"/>
            <w:vAlign w:val="bottom"/>
          </w:tcPr>
          <w:p>
            <w:pPr>
              <w:spacing w:after="0"/>
              <w:rPr>
                <w:sz w:val="20"/>
                <w:szCs w:val="20"/>
                <w:color w:val="auto"/>
              </w:rPr>
            </w:pPr>
            <w:r>
              <w:rPr>
                <w:rFonts w:ascii="Arial" w:cs="Arial" w:eastAsia="Arial" w:hAnsi="Arial"/>
                <w:sz w:val="19"/>
                <w:szCs w:val="19"/>
                <w:color w:val="auto"/>
              </w:rPr>
              <w:t>Balance at December 31, 2022</w:t>
            </w:r>
          </w:p>
        </w:tc>
        <w:tc>
          <w:tcPr>
            <w:tcW w:w="24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1,524</w:t>
            </w:r>
          </w:p>
        </w:tc>
        <w:tc>
          <w:tcPr>
            <w:tcW w:w="300" w:type="dxa"/>
            <w:vAlign w:val="bottom"/>
            <w:gridSpan w:val="2"/>
          </w:tcPr>
          <w:p>
            <w:pPr>
              <w:jc w:val="right"/>
              <w:ind w:right="2"/>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13,114</w:t>
            </w:r>
          </w:p>
        </w:tc>
        <w:tc>
          <w:tcPr>
            <w:tcW w:w="3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14,638</w:t>
            </w:r>
          </w:p>
        </w:tc>
      </w:tr>
      <w:tr>
        <w:trPr>
          <w:trHeight w:val="20"/>
        </w:trPr>
        <w:tc>
          <w:tcPr>
            <w:tcW w:w="6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542"/>
        </w:trPr>
        <w:tc>
          <w:tcPr>
            <w:tcW w:w="6280" w:type="dxa"/>
            <w:vAlign w:val="bottom"/>
          </w:tcPr>
          <w:p>
            <w:pPr>
              <w:ind w:left="140"/>
              <w:spacing w:after="0"/>
              <w:rPr>
                <w:sz w:val="20"/>
                <w:szCs w:val="20"/>
                <w:color w:val="auto"/>
              </w:rPr>
            </w:pPr>
            <w:r>
              <w:rPr>
                <w:rFonts w:ascii="Arial" w:cs="Arial" w:eastAsia="Arial" w:hAnsi="Arial"/>
                <w:sz w:val="19"/>
                <w:szCs w:val="19"/>
                <w:color w:val="auto"/>
              </w:rPr>
              <w:t>Net income</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198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1,227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1,425</w:t>
            </w:r>
          </w:p>
        </w:tc>
      </w:tr>
      <w:tr>
        <w:trPr>
          <w:trHeight w:val="292"/>
        </w:trPr>
        <w:tc>
          <w:tcPr>
            <w:tcW w:w="6280" w:type="dxa"/>
            <w:vAlign w:val="bottom"/>
          </w:tcPr>
          <w:p>
            <w:pPr>
              <w:ind w:left="140"/>
              <w:spacing w:after="0"/>
              <w:rPr>
                <w:sz w:val="20"/>
                <w:szCs w:val="20"/>
                <w:color w:val="auto"/>
              </w:rPr>
            </w:pPr>
            <w:r>
              <w:rPr>
                <w:rFonts w:ascii="Arial" w:cs="Arial" w:eastAsia="Arial" w:hAnsi="Arial"/>
                <w:sz w:val="19"/>
                <w:szCs w:val="19"/>
                <w:color w:val="auto"/>
              </w:rPr>
              <w:t>Distributions (Note 11)</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(209)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(1,121)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(1,330)</w:t>
            </w:r>
          </w:p>
        </w:tc>
      </w:tr>
      <w:tr>
        <w:trPr>
          <w:trHeight w:val="292"/>
        </w:trPr>
        <w:tc>
          <w:tcPr>
            <w:tcW w:w="6280" w:type="dxa"/>
            <w:vAlign w:val="bottom"/>
          </w:tcPr>
          <w:p>
            <w:pPr>
              <w:ind w:left="140"/>
              <w:spacing w:after="0"/>
              <w:rPr>
                <w:sz w:val="20"/>
                <w:szCs w:val="20"/>
                <w:color w:val="auto"/>
              </w:rPr>
            </w:pPr>
            <w:r>
              <w:rPr>
                <w:rFonts w:ascii="Arial" w:cs="Arial" w:eastAsia="Arial" w:hAnsi="Arial"/>
                <w:sz w:val="19"/>
                <w:szCs w:val="19"/>
                <w:color w:val="auto"/>
              </w:rPr>
              <w:t>Deferred tax asset (Note 14)</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w:t>
            </w:r>
          </w:p>
        </w:tc>
      </w:tr>
      <w:tr>
        <w:trPr>
          <w:trHeight w:val="292"/>
        </w:trPr>
        <w:tc>
          <w:tcPr>
            <w:tcW w:w="6280" w:type="dxa"/>
            <w:vAlign w:val="bottom"/>
          </w:tcPr>
          <w:p>
            <w:pPr>
              <w:ind w:left="140"/>
              <w:spacing w:after="0"/>
              <w:rPr>
                <w:sz w:val="20"/>
                <w:szCs w:val="20"/>
                <w:color w:val="auto"/>
              </w:rPr>
            </w:pPr>
            <w:r>
              <w:rPr>
                <w:rFonts w:ascii="Arial" w:cs="Arial" w:eastAsia="Arial" w:hAnsi="Arial"/>
                <w:sz w:val="19"/>
                <w:szCs w:val="19"/>
                <w:color w:val="auto"/>
              </w:rPr>
              <w:t>Other comprehensive income (Note 11)</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33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85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118</w:t>
            </w:r>
          </w:p>
        </w:tc>
      </w:tr>
      <w:tr>
        <w:trPr>
          <w:trHeight w:val="292"/>
        </w:trPr>
        <w:tc>
          <w:tcPr>
            <w:tcW w:w="6280" w:type="dxa"/>
            <w:vAlign w:val="bottom"/>
          </w:tcPr>
          <w:p>
            <w:pPr>
              <w:ind w:left="140"/>
              <w:spacing w:after="0"/>
              <w:rPr>
                <w:sz w:val="20"/>
                <w:szCs w:val="20"/>
                <w:color w:val="auto"/>
              </w:rPr>
            </w:pPr>
            <w:r>
              <w:rPr>
                <w:rFonts w:ascii="Arial" w:cs="Arial" w:eastAsia="Arial" w:hAnsi="Arial"/>
                <w:sz w:val="19"/>
                <w:szCs w:val="19"/>
                <w:color w:val="auto"/>
              </w:rPr>
              <w:t>Equity-indexed compensation expense</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37</w:t>
            </w:r>
          </w:p>
        </w:tc>
      </w:tr>
      <w:tr>
        <w:trPr>
          <w:trHeight w:val="292"/>
        </w:trPr>
        <w:tc>
          <w:tcPr>
            <w:tcW w:w="6280" w:type="dxa"/>
            <w:vAlign w:val="bottom"/>
          </w:tcPr>
          <w:p>
            <w:pPr>
              <w:ind w:left="140"/>
              <w:spacing w:after="0"/>
              <w:rPr>
                <w:sz w:val="20"/>
                <w:szCs w:val="20"/>
                <w:color w:val="auto"/>
              </w:rPr>
            </w:pPr>
            <w:r>
              <w:rPr>
                <w:rFonts w:ascii="Arial" w:cs="Arial" w:eastAsia="Arial" w:hAnsi="Arial"/>
                <w:sz w:val="19"/>
                <w:szCs w:val="19"/>
                <w:color w:val="auto"/>
              </w:rPr>
              <w:t>Contributions from noncontrolling interests</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106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106</w:t>
            </w:r>
          </w:p>
        </w:tc>
      </w:tr>
      <w:tr>
        <w:trPr>
          <w:trHeight w:val="295"/>
        </w:trPr>
        <w:tc>
          <w:tcPr>
            <w:tcW w:w="6280" w:type="dxa"/>
            <w:vAlign w:val="bottom"/>
          </w:tcPr>
          <w:p>
            <w:pPr>
              <w:ind w:left="140"/>
              <w:spacing w:after="0"/>
              <w:rPr>
                <w:sz w:val="20"/>
                <w:szCs w:val="20"/>
                <w:color w:val="auto"/>
              </w:rPr>
            </w:pPr>
            <w:r>
              <w:rPr>
                <w:rFonts w:ascii="Arial" w:cs="Arial" w:eastAsia="Arial" w:hAnsi="Arial"/>
                <w:sz w:val="19"/>
                <w:szCs w:val="19"/>
                <w:color w:val="auto"/>
              </w:rPr>
              <w:t>Other</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w:t>
            </w:r>
          </w:p>
        </w:tc>
      </w:tr>
      <w:tr>
        <w:trPr>
          <w:trHeight w:val="253"/>
        </w:trPr>
        <w:tc>
          <w:tcPr>
            <w:tcW w:w="6280" w:type="dxa"/>
            <w:vAlign w:val="bottom"/>
          </w:tcPr>
          <w:p>
            <w:pPr>
              <w:spacing w:after="0"/>
              <w:rPr>
                <w:sz w:val="20"/>
                <w:szCs w:val="20"/>
                <w:color w:val="auto"/>
              </w:rPr>
            </w:pPr>
            <w:r>
              <w:rPr>
                <w:rFonts w:ascii="Arial" w:cs="Arial" w:eastAsia="Arial" w:hAnsi="Arial"/>
                <w:sz w:val="19"/>
                <w:szCs w:val="19"/>
                <w:color w:val="auto"/>
              </w:rPr>
              <w:t>Balance at December 31, 2023</w:t>
            </w:r>
          </w:p>
        </w:tc>
        <w:tc>
          <w:tcPr>
            <w:tcW w:w="24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1,548</w:t>
            </w:r>
          </w:p>
        </w:tc>
        <w:tc>
          <w:tcPr>
            <w:tcW w:w="300" w:type="dxa"/>
            <w:vAlign w:val="bottom"/>
            <w:gridSpan w:val="2"/>
          </w:tcPr>
          <w:p>
            <w:pPr>
              <w:jc w:val="right"/>
              <w:ind w:right="2"/>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13,424</w:t>
            </w:r>
          </w:p>
        </w:tc>
        <w:tc>
          <w:tcPr>
            <w:tcW w:w="32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14,972</w:t>
            </w:r>
          </w:p>
        </w:tc>
      </w:tr>
      <w:tr>
        <w:trPr>
          <w:trHeight w:val="20"/>
        </w:trPr>
        <w:tc>
          <w:tcPr>
            <w:tcW w:w="6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-6159500</wp:posOffset>
            </wp:positionV>
            <wp:extent cx="6358255" cy="61664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7">
                      <a:extLst>
                        <a:ext uri="{28A0092B-C50C-407E-A947-70E740481C1C}"/>
                      </a:extLst>
                    </a:blip>
                    <a:srcRect/>
                    <a:stretch>
                      <a:fillRect/>
                    </a:stretch>
                  </pic:blipFill>
                  <pic:spPr bwMode="auto">
                    <a:xfrm>
                      <a:off x="0" y="0"/>
                      <a:ext cx="6358255" cy="6166485"/>
                    </a:xfrm>
                    <a:prstGeom prst="rect">
                      <a:avLst/>
                    </a:prstGeom>
                    <a:noFill/>
                  </pic:spPr>
                </pic:pic>
              </a:graphicData>
            </a:graphic>
          </wp:anchor>
        </w:drawing>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880" w:h="15480" w:orient="portrait"/>
          <w:cols w:equalWidth="0" w:num="1">
            <w:col w:w="9920"/>
          </w:cols>
          <w:pgMar w:left="1000" w:top="66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F-9</w:t>
      </w:r>
    </w:p>
    <w:p>
      <w:pPr>
        <w:sectPr>
          <w:pgSz w:w="11880" w:h="15480" w:orient="portrait"/>
          <w:cols w:equalWidth="0" w:num="1">
            <w:col w:w="9920"/>
          </w:cols>
          <w:pgMar w:left="1000" w:top="669" w:right="960" w:bottom="0" w:gutter="0" w:footer="0" w:header="0"/>
          <w:type w:val="continuous"/>
        </w:sectPr>
      </w:pPr>
    </w:p>
    <w:bookmarkStart w:id="112" w:name="page113"/>
    <w:bookmarkEnd w:id="112"/>
    <w:p>
      <w:pPr>
        <w:jc w:val="center"/>
        <w:ind w:right="-19"/>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1—Organization and Basis of Consolidation and Presentation</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Organization</w:t>
      </w:r>
    </w:p>
    <w:p>
      <w:pPr>
        <w:spacing w:after="0" w:line="257" w:lineRule="exact"/>
        <w:rPr>
          <w:sz w:val="20"/>
          <w:szCs w:val="20"/>
          <w:color w:val="auto"/>
        </w:rPr>
      </w:pPr>
    </w:p>
    <w:p>
      <w:pPr>
        <w:ind w:right="40" w:firstLine="702"/>
        <w:spacing w:after="0" w:line="282" w:lineRule="auto"/>
        <w:rPr>
          <w:sz w:val="20"/>
          <w:szCs w:val="20"/>
          <w:color w:val="auto"/>
        </w:rPr>
      </w:pPr>
      <w:r>
        <w:rPr>
          <w:rFonts w:ascii="Arial" w:cs="Arial" w:eastAsia="Arial" w:hAnsi="Arial"/>
          <w:sz w:val="18"/>
          <w:szCs w:val="18"/>
          <w:color w:val="auto"/>
        </w:rPr>
        <w:t>Plains GP Holdings, L.P. (“PAGP”) is a Delaware limited partnership formed in 2013 that has elected to be taxed as a corporation for United States federal income tax purposes. PAGP does not directly own any operating assets; as of December 31, 2023, its sole source of cash flow is derived from an indirect investment in Plains All American Pipeline, L.P. (“PAA”), a publicly traded Delaware limited partnership. As used in this Form 10-K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79" w:lineRule="exact"/>
        <w:rPr>
          <w:sz w:val="20"/>
          <w:szCs w:val="20"/>
          <w:color w:val="auto"/>
        </w:rPr>
      </w:pPr>
    </w:p>
    <w:p>
      <w:pPr>
        <w:ind w:right="240" w:firstLine="702"/>
        <w:spacing w:after="0" w:line="262" w:lineRule="auto"/>
        <w:rPr>
          <w:sz w:val="20"/>
          <w:szCs w:val="20"/>
          <w:color w:val="auto"/>
        </w:rPr>
      </w:pPr>
      <w:r>
        <w:rPr>
          <w:rFonts w:ascii="Arial" w:cs="Arial" w:eastAsia="Arial" w:hAnsi="Arial"/>
          <w:sz w:val="19"/>
          <w:szCs w:val="19"/>
          <w:color w:val="auto"/>
        </w:rPr>
        <w:t>As of December 31, 2023, we owned an approximate 84% limited partner interest in Plains AAP, L.P. (“AAP”) through our ownership of approximately 196.4 million Class A units of AAP (“AAP units”). We also own a 100% managing member interest in Plains All American GP LLC (“GP LLC”), a Delaware limited liability company that holds the non-economic general partner interest in AAP. AAP is a Delaware limited partnership that, as of December 31, 2023, directly owned a limited partner interest in PAA through its ownership of approximately 232.7 million PAA common units (approximately 30% of PAA’s total outstanding common units and Series A preferred units combined). AAP is the sole member of PAA GP LLC (“PAA GP”), a Delaware limited liability company that directly holds the non-economic general partner interest in PAA.</w:t>
      </w:r>
    </w:p>
    <w:p>
      <w:pPr>
        <w:spacing w:after="0" w:line="198" w:lineRule="exact"/>
        <w:rPr>
          <w:sz w:val="20"/>
          <w:szCs w:val="20"/>
          <w:color w:val="auto"/>
        </w:rPr>
      </w:pPr>
    </w:p>
    <w:p>
      <w:pPr>
        <w:ind w:right="80" w:firstLine="702"/>
        <w:spacing w:after="0" w:line="263" w:lineRule="auto"/>
        <w:rPr>
          <w:sz w:val="20"/>
          <w:szCs w:val="20"/>
          <w:color w:val="auto"/>
        </w:rPr>
      </w:pPr>
      <w:r>
        <w:rPr>
          <w:rFonts w:ascii="Arial" w:cs="Arial" w:eastAsia="Arial" w:hAnsi="Arial"/>
          <w:sz w:val="19"/>
          <w:szCs w:val="19"/>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natural gas liquids (“NGL”) producing basins (including the Permian Basin) and transportation corridors and at major market hubs in the United States and Canada. PAA’s assets and the services it provides are primarily focused on and conducted through two operating segments: Crude Oil and NGL. See Note 19 for further discussion of our operating segments.</w:t>
      </w:r>
    </w:p>
    <w:p>
      <w:pPr>
        <w:spacing w:after="0" w:line="196" w:lineRule="exact"/>
        <w:rPr>
          <w:sz w:val="20"/>
          <w:szCs w:val="20"/>
          <w:color w:val="auto"/>
        </w:rPr>
      </w:pPr>
    </w:p>
    <w:p>
      <w:pPr>
        <w:ind w:firstLine="702"/>
        <w:spacing w:after="0" w:line="284" w:lineRule="auto"/>
        <w:rPr>
          <w:sz w:val="20"/>
          <w:szCs w:val="20"/>
          <w:color w:val="auto"/>
        </w:rPr>
      </w:pPr>
      <w:r>
        <w:rPr>
          <w:rFonts w:ascii="Arial" w:cs="Arial" w:eastAsia="Arial" w:hAnsi="Arial"/>
          <w:sz w:val="18"/>
          <w:szCs w:val="18"/>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179" w:lineRule="exact"/>
        <w:rPr>
          <w:sz w:val="20"/>
          <w:szCs w:val="20"/>
          <w:color w:val="auto"/>
        </w:rPr>
      </w:pPr>
    </w:p>
    <w:p>
      <w:pPr>
        <w:ind w:right="800" w:firstLine="702"/>
        <w:spacing w:after="0" w:line="295" w:lineRule="auto"/>
        <w:rPr>
          <w:sz w:val="20"/>
          <w:szCs w:val="20"/>
          <w:color w:val="auto"/>
        </w:rPr>
      </w:pPr>
      <w:r>
        <w:rPr>
          <w:rFonts w:ascii="Arial" w:cs="Arial" w:eastAsia="Arial" w:hAnsi="Arial"/>
          <w:sz w:val="19"/>
          <w:szCs w:val="19"/>
          <w:color w:val="auto"/>
        </w:rPr>
        <w:t>References to the “Plains Entities” include us, our general partner, GP LLC, AAP, PAA GP and PAA and its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Definitions</w:t>
      </w:r>
    </w:p>
    <w:p>
      <w:pPr>
        <w:spacing w:after="0" w:line="25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Additional defined terms are used in the following notes and shall have the meanings indicated below:</w:t>
      </w:r>
    </w:p>
    <w:p>
      <w:pPr>
        <w:spacing w:after="0" w:line="89" w:lineRule="exact"/>
        <w:rPr>
          <w:sz w:val="20"/>
          <w:szCs w:val="20"/>
          <w:color w:val="auto"/>
        </w:rPr>
      </w:pPr>
    </w:p>
    <w:tbl>
      <w:tblPr>
        <w:tblLayout w:type="fixed"/>
        <w:tblInd w:w="60" w:type="dxa"/>
        <w:tblCellMar>
          <w:top w:w="0" w:type="dxa"/>
          <w:left w:w="0" w:type="dxa"/>
          <w:bottom w:w="0" w:type="dxa"/>
          <w:right w:w="0" w:type="dxa"/>
        </w:tblCellMar>
      </w:tblPr>
      <w:tr>
        <w:trPr>
          <w:trHeight w:val="254"/>
        </w:trPr>
        <w:tc>
          <w:tcPr>
            <w:tcW w:w="1180" w:type="dxa"/>
            <w:vAlign w:val="bottom"/>
          </w:tcPr>
          <w:p>
            <w:pPr>
              <w:spacing w:after="0"/>
              <w:rPr>
                <w:sz w:val="20"/>
                <w:szCs w:val="20"/>
                <w:color w:val="auto"/>
              </w:rPr>
            </w:pPr>
            <w:r>
              <w:rPr>
                <w:rFonts w:ascii="Arial" w:cs="Arial" w:eastAsia="Arial" w:hAnsi="Arial"/>
                <w:sz w:val="19"/>
                <w:szCs w:val="19"/>
                <w:color w:val="auto"/>
              </w:rPr>
              <w:t>AOCI</w:t>
            </w:r>
          </w:p>
        </w:tc>
        <w:tc>
          <w:tcPr>
            <w:tcW w:w="5660" w:type="dxa"/>
            <w:vAlign w:val="bottom"/>
            <w:gridSpan w:val="2"/>
          </w:tcPr>
          <w:p>
            <w:pPr>
              <w:ind w:left="460"/>
              <w:spacing w:after="0"/>
              <w:rPr>
                <w:sz w:val="20"/>
                <w:szCs w:val="20"/>
                <w:color w:val="auto"/>
              </w:rPr>
            </w:pPr>
            <w:r>
              <w:rPr>
                <w:rFonts w:ascii="Arial" w:cs="Arial" w:eastAsia="Arial" w:hAnsi="Arial"/>
                <w:sz w:val="19"/>
                <w:szCs w:val="19"/>
                <w:color w:val="auto"/>
              </w:rPr>
              <w:t>=   Accumulated other comprehensive income/(loss)</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ASC</w:t>
            </w:r>
          </w:p>
        </w:tc>
        <w:tc>
          <w:tcPr>
            <w:tcW w:w="720" w:type="dxa"/>
            <w:vAlign w:val="bottom"/>
          </w:tcPr>
          <w:p>
            <w:pPr>
              <w:ind w:left="460"/>
              <w:spacing w:after="0"/>
              <w:rPr>
                <w:sz w:val="20"/>
                <w:szCs w:val="20"/>
                <w:color w:val="auto"/>
              </w:rPr>
            </w:pPr>
            <w:r>
              <w:rPr>
                <w:rFonts w:ascii="Arial" w:cs="Arial" w:eastAsia="Arial" w:hAnsi="Arial"/>
                <w:sz w:val="19"/>
                <w:szCs w:val="19"/>
                <w:color w:val="auto"/>
              </w:rPr>
              <w:t>=</w:t>
            </w:r>
          </w:p>
        </w:tc>
        <w:tc>
          <w:tcPr>
            <w:tcW w:w="4940" w:type="dxa"/>
            <w:vAlign w:val="bottom"/>
          </w:tcPr>
          <w:p>
            <w:pPr>
              <w:ind w:left="160"/>
              <w:spacing w:after="0"/>
              <w:rPr>
                <w:sz w:val="20"/>
                <w:szCs w:val="20"/>
                <w:color w:val="auto"/>
              </w:rPr>
            </w:pPr>
            <w:r>
              <w:rPr>
                <w:rFonts w:ascii="Arial" w:cs="Arial" w:eastAsia="Arial" w:hAnsi="Arial"/>
                <w:sz w:val="19"/>
                <w:szCs w:val="19"/>
                <w:color w:val="auto"/>
              </w:rPr>
              <w:t>Accounting Standards Codification</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ASU</w:t>
            </w:r>
          </w:p>
        </w:tc>
        <w:tc>
          <w:tcPr>
            <w:tcW w:w="720" w:type="dxa"/>
            <w:vAlign w:val="bottom"/>
          </w:tcPr>
          <w:p>
            <w:pPr>
              <w:ind w:left="460"/>
              <w:spacing w:after="0"/>
              <w:rPr>
                <w:sz w:val="20"/>
                <w:szCs w:val="20"/>
                <w:color w:val="auto"/>
              </w:rPr>
            </w:pPr>
            <w:r>
              <w:rPr>
                <w:rFonts w:ascii="Arial" w:cs="Arial" w:eastAsia="Arial" w:hAnsi="Arial"/>
                <w:sz w:val="19"/>
                <w:szCs w:val="19"/>
                <w:color w:val="auto"/>
              </w:rPr>
              <w:t>=</w:t>
            </w:r>
          </w:p>
        </w:tc>
        <w:tc>
          <w:tcPr>
            <w:tcW w:w="4940" w:type="dxa"/>
            <w:vAlign w:val="bottom"/>
          </w:tcPr>
          <w:p>
            <w:pPr>
              <w:ind w:left="160"/>
              <w:spacing w:after="0"/>
              <w:rPr>
                <w:sz w:val="20"/>
                <w:szCs w:val="20"/>
                <w:color w:val="auto"/>
              </w:rPr>
            </w:pPr>
            <w:r>
              <w:rPr>
                <w:rFonts w:ascii="Arial" w:cs="Arial" w:eastAsia="Arial" w:hAnsi="Arial"/>
                <w:sz w:val="19"/>
                <w:szCs w:val="19"/>
                <w:color w:val="auto"/>
              </w:rPr>
              <w:t>Accounting Standards Update</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Bcf</w:t>
            </w:r>
          </w:p>
        </w:tc>
        <w:tc>
          <w:tcPr>
            <w:tcW w:w="720" w:type="dxa"/>
            <w:vAlign w:val="bottom"/>
          </w:tcPr>
          <w:p>
            <w:pPr>
              <w:ind w:left="460"/>
              <w:spacing w:after="0"/>
              <w:rPr>
                <w:sz w:val="20"/>
                <w:szCs w:val="20"/>
                <w:color w:val="auto"/>
              </w:rPr>
            </w:pPr>
            <w:r>
              <w:rPr>
                <w:rFonts w:ascii="Arial" w:cs="Arial" w:eastAsia="Arial" w:hAnsi="Arial"/>
                <w:sz w:val="19"/>
                <w:szCs w:val="19"/>
                <w:color w:val="auto"/>
              </w:rPr>
              <w:t>=</w:t>
            </w:r>
          </w:p>
        </w:tc>
        <w:tc>
          <w:tcPr>
            <w:tcW w:w="4940" w:type="dxa"/>
            <w:vAlign w:val="bottom"/>
          </w:tcPr>
          <w:p>
            <w:pPr>
              <w:ind w:left="160"/>
              <w:spacing w:after="0"/>
              <w:rPr>
                <w:sz w:val="20"/>
                <w:szCs w:val="20"/>
                <w:color w:val="auto"/>
              </w:rPr>
            </w:pPr>
            <w:r>
              <w:rPr>
                <w:rFonts w:ascii="Arial" w:cs="Arial" w:eastAsia="Arial" w:hAnsi="Arial"/>
                <w:sz w:val="19"/>
                <w:szCs w:val="19"/>
                <w:color w:val="auto"/>
              </w:rPr>
              <w:t>Billion cubic feet</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Btu</w:t>
            </w:r>
          </w:p>
        </w:tc>
        <w:tc>
          <w:tcPr>
            <w:tcW w:w="720" w:type="dxa"/>
            <w:vAlign w:val="bottom"/>
          </w:tcPr>
          <w:p>
            <w:pPr>
              <w:ind w:left="460"/>
              <w:spacing w:after="0"/>
              <w:rPr>
                <w:sz w:val="20"/>
                <w:szCs w:val="20"/>
                <w:color w:val="auto"/>
              </w:rPr>
            </w:pPr>
            <w:r>
              <w:rPr>
                <w:rFonts w:ascii="Arial" w:cs="Arial" w:eastAsia="Arial" w:hAnsi="Arial"/>
                <w:sz w:val="19"/>
                <w:szCs w:val="19"/>
                <w:color w:val="auto"/>
              </w:rPr>
              <w:t>=</w:t>
            </w:r>
          </w:p>
        </w:tc>
        <w:tc>
          <w:tcPr>
            <w:tcW w:w="4940" w:type="dxa"/>
            <w:vAlign w:val="bottom"/>
          </w:tcPr>
          <w:p>
            <w:pPr>
              <w:ind w:left="160"/>
              <w:spacing w:after="0"/>
              <w:rPr>
                <w:sz w:val="20"/>
                <w:szCs w:val="20"/>
                <w:color w:val="auto"/>
              </w:rPr>
            </w:pPr>
            <w:r>
              <w:rPr>
                <w:rFonts w:ascii="Arial" w:cs="Arial" w:eastAsia="Arial" w:hAnsi="Arial"/>
                <w:sz w:val="19"/>
                <w:szCs w:val="19"/>
                <w:color w:val="auto"/>
              </w:rPr>
              <w:t>British thermal unit</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CAD</w:t>
            </w:r>
          </w:p>
        </w:tc>
        <w:tc>
          <w:tcPr>
            <w:tcW w:w="720" w:type="dxa"/>
            <w:vAlign w:val="bottom"/>
          </w:tcPr>
          <w:p>
            <w:pPr>
              <w:ind w:left="460"/>
              <w:spacing w:after="0"/>
              <w:rPr>
                <w:sz w:val="20"/>
                <w:szCs w:val="20"/>
                <w:color w:val="auto"/>
              </w:rPr>
            </w:pPr>
            <w:r>
              <w:rPr>
                <w:rFonts w:ascii="Arial" w:cs="Arial" w:eastAsia="Arial" w:hAnsi="Arial"/>
                <w:sz w:val="19"/>
                <w:szCs w:val="19"/>
                <w:color w:val="auto"/>
              </w:rPr>
              <w:t>=</w:t>
            </w:r>
          </w:p>
        </w:tc>
        <w:tc>
          <w:tcPr>
            <w:tcW w:w="4940" w:type="dxa"/>
            <w:vAlign w:val="bottom"/>
          </w:tcPr>
          <w:p>
            <w:pPr>
              <w:ind w:left="160"/>
              <w:spacing w:after="0"/>
              <w:rPr>
                <w:sz w:val="20"/>
                <w:szCs w:val="20"/>
                <w:color w:val="auto"/>
              </w:rPr>
            </w:pPr>
            <w:r>
              <w:rPr>
                <w:rFonts w:ascii="Arial" w:cs="Arial" w:eastAsia="Arial" w:hAnsi="Arial"/>
                <w:sz w:val="19"/>
                <w:szCs w:val="19"/>
                <w:color w:val="auto"/>
              </w:rPr>
              <w:t>Canadian dollar</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CODM</w:t>
            </w:r>
          </w:p>
        </w:tc>
        <w:tc>
          <w:tcPr>
            <w:tcW w:w="5660" w:type="dxa"/>
            <w:vAlign w:val="bottom"/>
            <w:gridSpan w:val="2"/>
          </w:tcPr>
          <w:p>
            <w:pPr>
              <w:ind w:left="460"/>
              <w:spacing w:after="0"/>
              <w:rPr>
                <w:sz w:val="20"/>
                <w:szCs w:val="20"/>
                <w:color w:val="auto"/>
              </w:rPr>
            </w:pPr>
            <w:r>
              <w:rPr>
                <w:rFonts w:ascii="Arial" w:cs="Arial" w:eastAsia="Arial" w:hAnsi="Arial"/>
                <w:sz w:val="19"/>
                <w:szCs w:val="19"/>
                <w:color w:val="auto"/>
              </w:rPr>
              <w:t>=   Chief Operating Decision Maker</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DERs</w:t>
            </w:r>
          </w:p>
        </w:tc>
        <w:tc>
          <w:tcPr>
            <w:tcW w:w="720" w:type="dxa"/>
            <w:vAlign w:val="bottom"/>
          </w:tcPr>
          <w:p>
            <w:pPr>
              <w:ind w:left="460"/>
              <w:spacing w:after="0"/>
              <w:rPr>
                <w:sz w:val="20"/>
                <w:szCs w:val="20"/>
                <w:color w:val="auto"/>
              </w:rPr>
            </w:pPr>
            <w:r>
              <w:rPr>
                <w:rFonts w:ascii="Arial" w:cs="Arial" w:eastAsia="Arial" w:hAnsi="Arial"/>
                <w:sz w:val="19"/>
                <w:szCs w:val="19"/>
                <w:color w:val="auto"/>
              </w:rPr>
              <w:t>=</w:t>
            </w:r>
          </w:p>
        </w:tc>
        <w:tc>
          <w:tcPr>
            <w:tcW w:w="4940" w:type="dxa"/>
            <w:vAlign w:val="bottom"/>
          </w:tcPr>
          <w:p>
            <w:pPr>
              <w:ind w:left="160"/>
              <w:spacing w:after="0"/>
              <w:rPr>
                <w:sz w:val="20"/>
                <w:szCs w:val="20"/>
                <w:color w:val="auto"/>
              </w:rPr>
            </w:pPr>
            <w:r>
              <w:rPr>
                <w:rFonts w:ascii="Arial" w:cs="Arial" w:eastAsia="Arial" w:hAnsi="Arial"/>
                <w:sz w:val="19"/>
                <w:szCs w:val="19"/>
                <w:color w:val="auto"/>
              </w:rPr>
              <w:t>Distribution equivalent rights</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EBITDA</w:t>
            </w:r>
          </w:p>
        </w:tc>
        <w:tc>
          <w:tcPr>
            <w:tcW w:w="5660" w:type="dxa"/>
            <w:vAlign w:val="bottom"/>
            <w:gridSpan w:val="2"/>
          </w:tcPr>
          <w:p>
            <w:pPr>
              <w:ind w:left="460"/>
              <w:spacing w:after="0"/>
              <w:rPr>
                <w:sz w:val="20"/>
                <w:szCs w:val="20"/>
                <w:color w:val="auto"/>
              </w:rPr>
            </w:pPr>
            <w:r>
              <w:rPr>
                <w:rFonts w:ascii="Arial" w:cs="Arial" w:eastAsia="Arial" w:hAnsi="Arial"/>
                <w:sz w:val="19"/>
                <w:szCs w:val="19"/>
                <w:color w:val="auto"/>
                <w:w w:val="95"/>
              </w:rPr>
              <w:t>=   Earnings before interest, taxes, depreciation and amortization</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EPA</w:t>
            </w:r>
          </w:p>
        </w:tc>
        <w:tc>
          <w:tcPr>
            <w:tcW w:w="5660" w:type="dxa"/>
            <w:vAlign w:val="bottom"/>
            <w:gridSpan w:val="2"/>
          </w:tcPr>
          <w:p>
            <w:pPr>
              <w:ind w:left="460"/>
              <w:spacing w:after="0"/>
              <w:rPr>
                <w:sz w:val="20"/>
                <w:szCs w:val="20"/>
                <w:color w:val="auto"/>
              </w:rPr>
            </w:pPr>
            <w:r>
              <w:rPr>
                <w:rFonts w:ascii="Arial" w:cs="Arial" w:eastAsia="Arial" w:hAnsi="Arial"/>
                <w:sz w:val="19"/>
                <w:szCs w:val="19"/>
                <w:color w:val="auto"/>
              </w:rPr>
              <w:t>=   United States Environmental Protection Agency</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FASB</w:t>
            </w:r>
          </w:p>
        </w:tc>
        <w:tc>
          <w:tcPr>
            <w:tcW w:w="5660" w:type="dxa"/>
            <w:vAlign w:val="bottom"/>
            <w:gridSpan w:val="2"/>
          </w:tcPr>
          <w:p>
            <w:pPr>
              <w:ind w:left="460"/>
              <w:spacing w:after="0"/>
              <w:rPr>
                <w:sz w:val="20"/>
                <w:szCs w:val="20"/>
                <w:color w:val="auto"/>
              </w:rPr>
            </w:pPr>
            <w:r>
              <w:rPr>
                <w:rFonts w:ascii="Arial" w:cs="Arial" w:eastAsia="Arial" w:hAnsi="Arial"/>
                <w:sz w:val="19"/>
                <w:szCs w:val="19"/>
                <w:color w:val="auto"/>
              </w:rPr>
              <w:t>=   Financial Accounting Standards Board</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GAAP</w:t>
            </w:r>
          </w:p>
        </w:tc>
        <w:tc>
          <w:tcPr>
            <w:tcW w:w="5660" w:type="dxa"/>
            <w:vAlign w:val="bottom"/>
            <w:gridSpan w:val="2"/>
          </w:tcPr>
          <w:p>
            <w:pPr>
              <w:ind w:left="460"/>
              <w:spacing w:after="0"/>
              <w:rPr>
                <w:sz w:val="20"/>
                <w:szCs w:val="20"/>
                <w:color w:val="auto"/>
              </w:rPr>
            </w:pPr>
            <w:r>
              <w:rPr>
                <w:rFonts w:ascii="Arial" w:cs="Arial" w:eastAsia="Arial" w:hAnsi="Arial"/>
                <w:sz w:val="19"/>
                <w:szCs w:val="19"/>
                <w:color w:val="auto"/>
                <w:w w:val="95"/>
              </w:rPr>
              <w:t>=   Generally accepted accounting principles in the United States</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ICE</w:t>
            </w:r>
          </w:p>
        </w:tc>
        <w:tc>
          <w:tcPr>
            <w:tcW w:w="720" w:type="dxa"/>
            <w:vAlign w:val="bottom"/>
          </w:tcPr>
          <w:p>
            <w:pPr>
              <w:ind w:left="460"/>
              <w:spacing w:after="0"/>
              <w:rPr>
                <w:sz w:val="20"/>
                <w:szCs w:val="20"/>
                <w:color w:val="auto"/>
              </w:rPr>
            </w:pPr>
            <w:r>
              <w:rPr>
                <w:rFonts w:ascii="Arial" w:cs="Arial" w:eastAsia="Arial" w:hAnsi="Arial"/>
                <w:sz w:val="19"/>
                <w:szCs w:val="19"/>
                <w:color w:val="auto"/>
              </w:rPr>
              <w:t>=</w:t>
            </w:r>
          </w:p>
        </w:tc>
        <w:tc>
          <w:tcPr>
            <w:tcW w:w="4940" w:type="dxa"/>
            <w:vAlign w:val="bottom"/>
          </w:tcPr>
          <w:p>
            <w:pPr>
              <w:ind w:left="160"/>
              <w:spacing w:after="0"/>
              <w:rPr>
                <w:sz w:val="20"/>
                <w:szCs w:val="20"/>
                <w:color w:val="auto"/>
              </w:rPr>
            </w:pPr>
            <w:r>
              <w:rPr>
                <w:rFonts w:ascii="Arial" w:cs="Arial" w:eastAsia="Arial" w:hAnsi="Arial"/>
                <w:sz w:val="19"/>
                <w:szCs w:val="19"/>
                <w:color w:val="auto"/>
              </w:rPr>
              <w:t>Intercontinental Exchange</w:t>
            </w:r>
          </w:p>
        </w:tc>
      </w:tr>
    </w:tbl>
    <w:p>
      <w:pPr>
        <w:spacing w:after="0" w:line="200" w:lineRule="exact"/>
        <w:rPr>
          <w:sz w:val="20"/>
          <w:szCs w:val="20"/>
          <w:color w:val="auto"/>
        </w:rPr>
      </w:pPr>
    </w:p>
    <w:p>
      <w:pPr>
        <w:sectPr>
          <w:pgSz w:w="11880" w:h="15480" w:orient="portrait"/>
          <w:cols w:equalWidth="0" w:num="1">
            <w:col w:w="9980"/>
          </w:cols>
          <w:pgMar w:left="940" w:top="432" w:right="960" w:bottom="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ectPr>
          <w:pgSz w:w="11880" w:h="15480" w:orient="portrait"/>
          <w:cols w:equalWidth="0" w:num="1">
            <w:col w:w="9980"/>
          </w:cols>
          <w:pgMar w:left="940" w:top="432" w:right="960" w:bottom="0" w:gutter="0" w:footer="0" w:header="0"/>
          <w:type w:val="continuous"/>
        </w:sectPr>
      </w:pPr>
    </w:p>
    <w:bookmarkStart w:id="113" w:name="page114"/>
    <w:bookmarkEnd w:id="113"/>
    <w:tbl>
      <w:tblPr>
        <w:tblLayout w:type="fixed"/>
        <w:tblInd w:w="61"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40" w:type="dxa"/>
            <w:vAlign w:val="bottom"/>
          </w:tcPr>
          <w:p>
            <w:pPr>
              <w:ind w:left="800"/>
              <w:spacing w:after="0"/>
              <w:rPr>
                <w:sz w:val="20"/>
                <w:szCs w:val="20"/>
                <w:color w:val="auto"/>
              </w:rPr>
            </w:pPr>
            <w:r>
              <w:rPr>
                <w:rFonts w:ascii="Arial" w:cs="Arial" w:eastAsia="Arial" w:hAnsi="Arial"/>
                <w:sz w:val="19"/>
                <w:szCs w:val="19"/>
                <w:b w:val="1"/>
                <w:bCs w:val="1"/>
                <w:color w:val="auto"/>
              </w:rPr>
              <w:t>PLAINS GP HOLDINGS, L.P. AND SUBSIDIARIES</w:t>
            </w:r>
          </w:p>
        </w:tc>
      </w:tr>
      <w:tr>
        <w:trPr>
          <w:trHeight w:val="258"/>
        </w:trPr>
        <w:tc>
          <w:tcPr>
            <w:tcW w:w="1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40" w:type="dxa"/>
            <w:vAlign w:val="bottom"/>
          </w:tcPr>
          <w:p>
            <w:pPr>
              <w:ind w:left="240"/>
              <w:spacing w:after="0"/>
              <w:rPr>
                <w:sz w:val="20"/>
                <w:szCs w:val="20"/>
                <w:color w:val="auto"/>
              </w:rPr>
            </w:pPr>
            <w:r>
              <w:rPr>
                <w:rFonts w:ascii="Arial" w:cs="Arial" w:eastAsia="Arial" w:hAnsi="Arial"/>
                <w:sz w:val="19"/>
                <w:szCs w:val="19"/>
                <w:b w:val="1"/>
                <w:bCs w:val="1"/>
                <w:color w:val="auto"/>
              </w:rPr>
              <w:t>NOTES TO THE CONSOLIDATED FINANCIAL STATEMENTS</w:t>
            </w:r>
          </w:p>
        </w:tc>
      </w:tr>
      <w:tr>
        <w:trPr>
          <w:trHeight w:val="430"/>
        </w:trPr>
        <w:tc>
          <w:tcPr>
            <w:tcW w:w="1180" w:type="dxa"/>
            <w:vAlign w:val="bottom"/>
          </w:tcPr>
          <w:p>
            <w:pPr>
              <w:spacing w:after="0"/>
              <w:rPr>
                <w:sz w:val="20"/>
                <w:szCs w:val="20"/>
                <w:color w:val="auto"/>
              </w:rPr>
            </w:pPr>
            <w:r>
              <w:rPr>
                <w:rFonts w:ascii="Arial" w:cs="Arial" w:eastAsia="Arial" w:hAnsi="Arial"/>
                <w:sz w:val="19"/>
                <w:szCs w:val="19"/>
                <w:color w:val="auto"/>
              </w:rPr>
              <w:t>ISDA</w:t>
            </w:r>
          </w:p>
        </w:tc>
        <w:tc>
          <w:tcPr>
            <w:tcW w:w="6560" w:type="dxa"/>
            <w:vAlign w:val="bottom"/>
            <w:gridSpan w:val="2"/>
          </w:tcPr>
          <w:p>
            <w:pPr>
              <w:ind w:left="460"/>
              <w:spacing w:after="0"/>
              <w:rPr>
                <w:sz w:val="20"/>
                <w:szCs w:val="20"/>
                <w:color w:val="auto"/>
              </w:rPr>
            </w:pPr>
            <w:r>
              <w:rPr>
                <w:rFonts w:ascii="Arial" w:cs="Arial" w:eastAsia="Arial" w:hAnsi="Arial"/>
                <w:sz w:val="19"/>
                <w:szCs w:val="19"/>
                <w:color w:val="auto"/>
              </w:rPr>
              <w:t>=   International Swaps and Derivatives Association</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LIBOR</w:t>
            </w:r>
          </w:p>
        </w:tc>
        <w:tc>
          <w:tcPr>
            <w:tcW w:w="6560" w:type="dxa"/>
            <w:vAlign w:val="bottom"/>
            <w:gridSpan w:val="2"/>
          </w:tcPr>
          <w:p>
            <w:pPr>
              <w:ind w:left="460"/>
              <w:spacing w:after="0"/>
              <w:rPr>
                <w:sz w:val="20"/>
                <w:szCs w:val="20"/>
                <w:color w:val="auto"/>
              </w:rPr>
            </w:pPr>
            <w:r>
              <w:rPr>
                <w:rFonts w:ascii="Arial" w:cs="Arial" w:eastAsia="Arial" w:hAnsi="Arial"/>
                <w:sz w:val="19"/>
                <w:szCs w:val="19"/>
                <w:color w:val="auto"/>
              </w:rPr>
              <w:t>=   London Interbank Offered Rate</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LTIP</w:t>
            </w:r>
          </w:p>
        </w:tc>
        <w:tc>
          <w:tcPr>
            <w:tcW w:w="720" w:type="dxa"/>
            <w:vAlign w:val="bottom"/>
          </w:tcPr>
          <w:p>
            <w:pPr>
              <w:ind w:left="460"/>
              <w:spacing w:after="0"/>
              <w:rPr>
                <w:sz w:val="20"/>
                <w:szCs w:val="20"/>
                <w:color w:val="auto"/>
              </w:rPr>
            </w:pPr>
            <w:r>
              <w:rPr>
                <w:rFonts w:ascii="Arial" w:cs="Arial" w:eastAsia="Arial" w:hAnsi="Arial"/>
                <w:sz w:val="19"/>
                <w:szCs w:val="19"/>
                <w:color w:val="auto"/>
              </w:rPr>
              <w:t>=</w:t>
            </w:r>
          </w:p>
        </w:tc>
        <w:tc>
          <w:tcPr>
            <w:tcW w:w="5840" w:type="dxa"/>
            <w:vAlign w:val="bottom"/>
          </w:tcPr>
          <w:p>
            <w:pPr>
              <w:ind w:left="160"/>
              <w:spacing w:after="0"/>
              <w:rPr>
                <w:sz w:val="20"/>
                <w:szCs w:val="20"/>
                <w:color w:val="auto"/>
              </w:rPr>
            </w:pPr>
            <w:r>
              <w:rPr>
                <w:rFonts w:ascii="Arial" w:cs="Arial" w:eastAsia="Arial" w:hAnsi="Arial"/>
                <w:sz w:val="19"/>
                <w:szCs w:val="19"/>
                <w:color w:val="auto"/>
              </w:rPr>
              <w:t>Long-term incentive plan</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Mcf</w:t>
            </w:r>
          </w:p>
        </w:tc>
        <w:tc>
          <w:tcPr>
            <w:tcW w:w="720" w:type="dxa"/>
            <w:vAlign w:val="bottom"/>
          </w:tcPr>
          <w:p>
            <w:pPr>
              <w:ind w:left="460"/>
              <w:spacing w:after="0"/>
              <w:rPr>
                <w:sz w:val="20"/>
                <w:szCs w:val="20"/>
                <w:color w:val="auto"/>
              </w:rPr>
            </w:pPr>
            <w:r>
              <w:rPr>
                <w:rFonts w:ascii="Arial" w:cs="Arial" w:eastAsia="Arial" w:hAnsi="Arial"/>
                <w:sz w:val="19"/>
                <w:szCs w:val="19"/>
                <w:color w:val="auto"/>
              </w:rPr>
              <w:t>=</w:t>
            </w:r>
          </w:p>
        </w:tc>
        <w:tc>
          <w:tcPr>
            <w:tcW w:w="5840" w:type="dxa"/>
            <w:vAlign w:val="bottom"/>
          </w:tcPr>
          <w:p>
            <w:pPr>
              <w:ind w:left="160"/>
              <w:spacing w:after="0"/>
              <w:rPr>
                <w:sz w:val="20"/>
                <w:szCs w:val="20"/>
                <w:color w:val="auto"/>
              </w:rPr>
            </w:pPr>
            <w:r>
              <w:rPr>
                <w:rFonts w:ascii="Arial" w:cs="Arial" w:eastAsia="Arial" w:hAnsi="Arial"/>
                <w:sz w:val="19"/>
                <w:szCs w:val="19"/>
                <w:color w:val="auto"/>
              </w:rPr>
              <w:t>Thousand cubic feet</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MMbls</w:t>
            </w:r>
          </w:p>
        </w:tc>
        <w:tc>
          <w:tcPr>
            <w:tcW w:w="720" w:type="dxa"/>
            <w:vAlign w:val="bottom"/>
          </w:tcPr>
          <w:p>
            <w:pPr>
              <w:ind w:left="460"/>
              <w:spacing w:after="0"/>
              <w:rPr>
                <w:sz w:val="20"/>
                <w:szCs w:val="20"/>
                <w:color w:val="auto"/>
              </w:rPr>
            </w:pPr>
            <w:r>
              <w:rPr>
                <w:rFonts w:ascii="Arial" w:cs="Arial" w:eastAsia="Arial" w:hAnsi="Arial"/>
                <w:sz w:val="19"/>
                <w:szCs w:val="19"/>
                <w:color w:val="auto"/>
              </w:rPr>
              <w:t>=</w:t>
            </w:r>
          </w:p>
        </w:tc>
        <w:tc>
          <w:tcPr>
            <w:tcW w:w="5840" w:type="dxa"/>
            <w:vAlign w:val="bottom"/>
          </w:tcPr>
          <w:p>
            <w:pPr>
              <w:ind w:left="160"/>
              <w:spacing w:after="0"/>
              <w:rPr>
                <w:sz w:val="20"/>
                <w:szCs w:val="20"/>
                <w:color w:val="auto"/>
              </w:rPr>
            </w:pPr>
            <w:r>
              <w:rPr>
                <w:rFonts w:ascii="Arial" w:cs="Arial" w:eastAsia="Arial" w:hAnsi="Arial"/>
                <w:sz w:val="19"/>
                <w:szCs w:val="19"/>
                <w:color w:val="auto"/>
              </w:rPr>
              <w:t>Million barrels</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NGL</w:t>
            </w:r>
          </w:p>
        </w:tc>
        <w:tc>
          <w:tcPr>
            <w:tcW w:w="6560" w:type="dxa"/>
            <w:vAlign w:val="bottom"/>
            <w:gridSpan w:val="2"/>
          </w:tcPr>
          <w:p>
            <w:pPr>
              <w:ind w:left="460"/>
              <w:spacing w:after="0"/>
              <w:rPr>
                <w:sz w:val="20"/>
                <w:szCs w:val="20"/>
                <w:color w:val="auto"/>
              </w:rPr>
            </w:pPr>
            <w:r>
              <w:rPr>
                <w:rFonts w:ascii="Arial" w:cs="Arial" w:eastAsia="Arial" w:hAnsi="Arial"/>
                <w:sz w:val="19"/>
                <w:szCs w:val="19"/>
                <w:color w:val="auto"/>
              </w:rPr>
              <w:t>=   Natural gas liquids, including ethane, propane and butane</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NYMEX</w:t>
            </w:r>
          </w:p>
        </w:tc>
        <w:tc>
          <w:tcPr>
            <w:tcW w:w="6560" w:type="dxa"/>
            <w:vAlign w:val="bottom"/>
            <w:gridSpan w:val="2"/>
          </w:tcPr>
          <w:p>
            <w:pPr>
              <w:ind w:left="460"/>
              <w:spacing w:after="0"/>
              <w:rPr>
                <w:sz w:val="20"/>
                <w:szCs w:val="20"/>
                <w:color w:val="auto"/>
              </w:rPr>
            </w:pPr>
            <w:r>
              <w:rPr>
                <w:rFonts w:ascii="Arial" w:cs="Arial" w:eastAsia="Arial" w:hAnsi="Arial"/>
                <w:sz w:val="19"/>
                <w:szCs w:val="19"/>
                <w:color w:val="auto"/>
              </w:rPr>
              <w:t>=   New York Mercantile Exchange</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SEC</w:t>
            </w:r>
          </w:p>
        </w:tc>
        <w:tc>
          <w:tcPr>
            <w:tcW w:w="6560" w:type="dxa"/>
            <w:vAlign w:val="bottom"/>
            <w:gridSpan w:val="2"/>
          </w:tcPr>
          <w:p>
            <w:pPr>
              <w:ind w:left="460"/>
              <w:spacing w:after="0"/>
              <w:rPr>
                <w:sz w:val="20"/>
                <w:szCs w:val="20"/>
                <w:color w:val="auto"/>
              </w:rPr>
            </w:pPr>
            <w:r>
              <w:rPr>
                <w:rFonts w:ascii="Arial" w:cs="Arial" w:eastAsia="Arial" w:hAnsi="Arial"/>
                <w:sz w:val="19"/>
                <w:szCs w:val="19"/>
                <w:color w:val="auto"/>
              </w:rPr>
              <w:t>=   United States Securities and Exchange Commission</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SOFR</w:t>
            </w:r>
          </w:p>
        </w:tc>
        <w:tc>
          <w:tcPr>
            <w:tcW w:w="6560" w:type="dxa"/>
            <w:vAlign w:val="bottom"/>
            <w:gridSpan w:val="2"/>
          </w:tcPr>
          <w:p>
            <w:pPr>
              <w:ind w:left="460"/>
              <w:spacing w:after="0"/>
              <w:rPr>
                <w:sz w:val="20"/>
                <w:szCs w:val="20"/>
                <w:color w:val="auto"/>
              </w:rPr>
            </w:pPr>
            <w:r>
              <w:rPr>
                <w:rFonts w:ascii="Arial" w:cs="Arial" w:eastAsia="Arial" w:hAnsi="Arial"/>
                <w:sz w:val="19"/>
                <w:szCs w:val="19"/>
                <w:color w:val="auto"/>
              </w:rPr>
              <w:t>=   Secured Overnight Financing Rate</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TWh</w:t>
            </w:r>
          </w:p>
        </w:tc>
        <w:tc>
          <w:tcPr>
            <w:tcW w:w="720" w:type="dxa"/>
            <w:vAlign w:val="bottom"/>
          </w:tcPr>
          <w:p>
            <w:pPr>
              <w:ind w:left="460"/>
              <w:spacing w:after="0"/>
              <w:rPr>
                <w:sz w:val="20"/>
                <w:szCs w:val="20"/>
                <w:color w:val="auto"/>
              </w:rPr>
            </w:pPr>
            <w:r>
              <w:rPr>
                <w:rFonts w:ascii="Arial" w:cs="Arial" w:eastAsia="Arial" w:hAnsi="Arial"/>
                <w:sz w:val="19"/>
                <w:szCs w:val="19"/>
                <w:color w:val="auto"/>
              </w:rPr>
              <w:t>=</w:t>
            </w:r>
          </w:p>
        </w:tc>
        <w:tc>
          <w:tcPr>
            <w:tcW w:w="5840" w:type="dxa"/>
            <w:vAlign w:val="bottom"/>
          </w:tcPr>
          <w:p>
            <w:pPr>
              <w:ind w:left="160"/>
              <w:spacing w:after="0"/>
              <w:rPr>
                <w:sz w:val="20"/>
                <w:szCs w:val="20"/>
                <w:color w:val="auto"/>
              </w:rPr>
            </w:pPr>
            <w:r>
              <w:rPr>
                <w:rFonts w:ascii="Arial" w:cs="Arial" w:eastAsia="Arial" w:hAnsi="Arial"/>
                <w:sz w:val="19"/>
                <w:szCs w:val="19"/>
                <w:color w:val="auto"/>
              </w:rPr>
              <w:t>Terawatt hour</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U.S.</w:t>
            </w:r>
          </w:p>
        </w:tc>
        <w:tc>
          <w:tcPr>
            <w:tcW w:w="720" w:type="dxa"/>
            <w:vAlign w:val="bottom"/>
          </w:tcPr>
          <w:p>
            <w:pPr>
              <w:ind w:left="460"/>
              <w:spacing w:after="0"/>
              <w:rPr>
                <w:sz w:val="20"/>
                <w:szCs w:val="20"/>
                <w:color w:val="auto"/>
              </w:rPr>
            </w:pPr>
            <w:r>
              <w:rPr>
                <w:rFonts w:ascii="Arial" w:cs="Arial" w:eastAsia="Arial" w:hAnsi="Arial"/>
                <w:sz w:val="19"/>
                <w:szCs w:val="19"/>
                <w:color w:val="auto"/>
              </w:rPr>
              <w:t>=</w:t>
            </w:r>
          </w:p>
        </w:tc>
        <w:tc>
          <w:tcPr>
            <w:tcW w:w="5840" w:type="dxa"/>
            <w:vAlign w:val="bottom"/>
          </w:tcPr>
          <w:p>
            <w:pPr>
              <w:ind w:left="160"/>
              <w:spacing w:after="0"/>
              <w:rPr>
                <w:sz w:val="20"/>
                <w:szCs w:val="20"/>
                <w:color w:val="auto"/>
              </w:rPr>
            </w:pPr>
            <w:r>
              <w:rPr>
                <w:rFonts w:ascii="Arial" w:cs="Arial" w:eastAsia="Arial" w:hAnsi="Arial"/>
                <w:sz w:val="19"/>
                <w:szCs w:val="19"/>
                <w:color w:val="auto"/>
              </w:rPr>
              <w:t>United States</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USD</w:t>
            </w:r>
          </w:p>
        </w:tc>
        <w:tc>
          <w:tcPr>
            <w:tcW w:w="720" w:type="dxa"/>
            <w:vAlign w:val="bottom"/>
          </w:tcPr>
          <w:p>
            <w:pPr>
              <w:ind w:left="460"/>
              <w:spacing w:after="0"/>
              <w:rPr>
                <w:sz w:val="20"/>
                <w:szCs w:val="20"/>
                <w:color w:val="auto"/>
              </w:rPr>
            </w:pPr>
            <w:r>
              <w:rPr>
                <w:rFonts w:ascii="Arial" w:cs="Arial" w:eastAsia="Arial" w:hAnsi="Arial"/>
                <w:sz w:val="19"/>
                <w:szCs w:val="19"/>
                <w:color w:val="auto"/>
              </w:rPr>
              <w:t>=</w:t>
            </w:r>
          </w:p>
        </w:tc>
        <w:tc>
          <w:tcPr>
            <w:tcW w:w="5840" w:type="dxa"/>
            <w:vAlign w:val="bottom"/>
          </w:tcPr>
          <w:p>
            <w:pPr>
              <w:ind w:left="160"/>
              <w:spacing w:after="0"/>
              <w:rPr>
                <w:sz w:val="20"/>
                <w:szCs w:val="20"/>
                <w:color w:val="auto"/>
              </w:rPr>
            </w:pPr>
            <w:r>
              <w:rPr>
                <w:rFonts w:ascii="Arial" w:cs="Arial" w:eastAsia="Arial" w:hAnsi="Arial"/>
                <w:sz w:val="19"/>
                <w:szCs w:val="19"/>
                <w:color w:val="auto"/>
              </w:rPr>
              <w:t>United States dollar</w:t>
            </w:r>
          </w:p>
        </w:tc>
      </w:tr>
      <w:tr>
        <w:trPr>
          <w:trHeight w:val="292"/>
        </w:trPr>
        <w:tc>
          <w:tcPr>
            <w:tcW w:w="1180" w:type="dxa"/>
            <w:vAlign w:val="bottom"/>
          </w:tcPr>
          <w:p>
            <w:pPr>
              <w:spacing w:after="0"/>
              <w:rPr>
                <w:sz w:val="20"/>
                <w:szCs w:val="20"/>
                <w:color w:val="auto"/>
              </w:rPr>
            </w:pPr>
            <w:r>
              <w:rPr>
                <w:rFonts w:ascii="Arial" w:cs="Arial" w:eastAsia="Arial" w:hAnsi="Arial"/>
                <w:sz w:val="19"/>
                <w:szCs w:val="19"/>
                <w:color w:val="auto"/>
              </w:rPr>
              <w:t>WTI</w:t>
            </w:r>
          </w:p>
        </w:tc>
        <w:tc>
          <w:tcPr>
            <w:tcW w:w="720" w:type="dxa"/>
            <w:vAlign w:val="bottom"/>
          </w:tcPr>
          <w:p>
            <w:pPr>
              <w:ind w:left="460"/>
              <w:spacing w:after="0"/>
              <w:rPr>
                <w:sz w:val="20"/>
                <w:szCs w:val="20"/>
                <w:color w:val="auto"/>
              </w:rPr>
            </w:pPr>
            <w:r>
              <w:rPr>
                <w:rFonts w:ascii="Arial" w:cs="Arial" w:eastAsia="Arial" w:hAnsi="Arial"/>
                <w:sz w:val="19"/>
                <w:szCs w:val="19"/>
                <w:color w:val="auto"/>
              </w:rPr>
              <w:t>=</w:t>
            </w:r>
          </w:p>
        </w:tc>
        <w:tc>
          <w:tcPr>
            <w:tcW w:w="5840" w:type="dxa"/>
            <w:vAlign w:val="bottom"/>
          </w:tcPr>
          <w:p>
            <w:pPr>
              <w:ind w:left="160"/>
              <w:spacing w:after="0"/>
              <w:rPr>
                <w:sz w:val="20"/>
                <w:szCs w:val="20"/>
                <w:color w:val="auto"/>
              </w:rPr>
            </w:pPr>
            <w:r>
              <w:rPr>
                <w:rFonts w:ascii="Arial" w:cs="Arial" w:eastAsia="Arial" w:hAnsi="Arial"/>
                <w:sz w:val="19"/>
                <w:szCs w:val="19"/>
                <w:color w:val="auto"/>
              </w:rPr>
              <w:t>West Texas Intermediate</w:t>
            </w:r>
          </w:p>
        </w:tc>
      </w:tr>
    </w:tbl>
    <w:p>
      <w:pPr>
        <w:spacing w:after="0" w:line="290"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Basis of Consolidation and Presentation</w:t>
      </w:r>
    </w:p>
    <w:p>
      <w:pPr>
        <w:spacing w:after="0" w:line="257" w:lineRule="exact"/>
        <w:rPr>
          <w:sz w:val="20"/>
          <w:szCs w:val="20"/>
          <w:color w:val="auto"/>
        </w:rPr>
      </w:pPr>
    </w:p>
    <w:p>
      <w:pPr>
        <w:ind w:left="1" w:firstLine="702"/>
        <w:spacing w:after="0" w:line="284" w:lineRule="auto"/>
        <w:rPr>
          <w:sz w:val="20"/>
          <w:szCs w:val="20"/>
          <w:color w:val="auto"/>
        </w:rPr>
      </w:pPr>
      <w:r>
        <w:rPr>
          <w:rFonts w:ascii="Arial" w:cs="Arial" w:eastAsia="Arial" w:hAnsi="Arial"/>
          <w:sz w:val="18"/>
          <w:szCs w:val="18"/>
          <w:color w:val="auto"/>
        </w:rPr>
        <w:t>The accompanying financial statements and related notes present and discuss our consolidated financial position as of December 31, 2023 and 2022, and the consolidated results of our operations, cash flows, changes in partners’ capital, comprehensive income and changes in accumulated other comprehensive income/(loss) for the years ended December 31, 2023, 2022 and 2021. All significant intercompany balances and transactions have been eliminated in consolidation, and certain reclassifications have been made to information from previous years to conform to the current presentation.</w:t>
      </w:r>
    </w:p>
    <w:p>
      <w:pPr>
        <w:spacing w:after="0" w:line="179" w:lineRule="exact"/>
        <w:rPr>
          <w:sz w:val="20"/>
          <w:szCs w:val="20"/>
          <w:color w:val="auto"/>
        </w:rPr>
      </w:pPr>
    </w:p>
    <w:p>
      <w:pPr>
        <w:ind w:left="1" w:right="200" w:firstLine="702"/>
        <w:spacing w:after="0" w:line="269" w:lineRule="auto"/>
        <w:rPr>
          <w:sz w:val="20"/>
          <w:szCs w:val="20"/>
          <w:color w:val="auto"/>
        </w:rPr>
      </w:pPr>
      <w:r>
        <w:rPr>
          <w:rFonts w:ascii="Arial" w:cs="Arial" w:eastAsia="Arial" w:hAnsi="Arial"/>
          <w:sz w:val="19"/>
          <w:szCs w:val="19"/>
          <w:color w:val="auto"/>
        </w:rPr>
        <w:t>The accompanying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w:t>
      </w:r>
    </w:p>
    <w:p>
      <w:pPr>
        <w:spacing w:after="0" w:line="190" w:lineRule="exact"/>
        <w:rPr>
          <w:sz w:val="20"/>
          <w:szCs w:val="20"/>
          <w:color w:val="auto"/>
        </w:rPr>
      </w:pPr>
    </w:p>
    <w:p>
      <w:pPr>
        <w:ind w:left="701"/>
        <w:spacing w:after="0"/>
        <w:rPr>
          <w:sz w:val="20"/>
          <w:szCs w:val="20"/>
          <w:color w:val="auto"/>
        </w:rPr>
      </w:pPr>
      <w:r>
        <w:rPr>
          <w:rFonts w:ascii="Arial" w:cs="Arial" w:eastAsia="Arial" w:hAnsi="Arial"/>
          <w:sz w:val="18"/>
          <w:szCs w:val="18"/>
          <w:color w:val="auto"/>
        </w:rPr>
        <w:t>Management judgment is required to evaluate whether PAGP controls an entity. Key areas of that evaluation include</w:t>
      </w:r>
    </w:p>
    <w:p>
      <w:pPr>
        <w:spacing w:after="0" w:line="47" w:lineRule="exact"/>
        <w:rPr>
          <w:sz w:val="20"/>
          <w:szCs w:val="20"/>
          <w:color w:val="auto"/>
        </w:rPr>
      </w:pPr>
    </w:p>
    <w:p>
      <w:pPr>
        <w:ind w:left="1" w:right="40" w:hanging="1"/>
        <w:spacing w:after="0" w:line="261" w:lineRule="auto"/>
        <w:tabs>
          <w:tab w:leader="none" w:pos="234" w:val="left"/>
        </w:tabs>
        <w:numPr>
          <w:ilvl w:val="0"/>
          <w:numId w:val="72"/>
        </w:numPr>
        <w:rPr>
          <w:rFonts w:ascii="Arial" w:cs="Arial" w:eastAsia="Arial" w:hAnsi="Arial"/>
          <w:sz w:val="19"/>
          <w:szCs w:val="19"/>
          <w:color w:val="auto"/>
        </w:rPr>
      </w:pPr>
      <w:r>
        <w:rPr>
          <w:rFonts w:ascii="Arial" w:cs="Arial" w:eastAsia="Arial" w:hAnsi="Arial"/>
          <w:sz w:val="19"/>
          <w:szCs w:val="19"/>
          <w:color w:val="auto"/>
        </w:rPr>
        <w:t>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196" w:lineRule="exact"/>
        <w:rPr>
          <w:sz w:val="20"/>
          <w:szCs w:val="20"/>
          <w:color w:val="auto"/>
        </w:rPr>
      </w:pPr>
    </w:p>
    <w:p>
      <w:pPr>
        <w:ind w:left="701"/>
        <w:spacing w:after="0"/>
        <w:rPr>
          <w:sz w:val="20"/>
          <w:szCs w:val="20"/>
          <w:color w:val="auto"/>
        </w:rPr>
      </w:pPr>
      <w:r>
        <w:rPr>
          <w:rFonts w:ascii="Arial" w:cs="Arial" w:eastAsia="Arial" w:hAnsi="Arial"/>
          <w:sz w:val="18"/>
          <w:szCs w:val="18"/>
          <w:color w:val="auto"/>
        </w:rPr>
        <w:t>We have determined that our subsidiaries, PAA and AAP, are VIEs and should be consolidated by PAGP because:</w:t>
      </w:r>
    </w:p>
    <w:p>
      <w:pPr>
        <w:spacing w:after="0" w:line="261" w:lineRule="exact"/>
        <w:rPr>
          <w:sz w:val="20"/>
          <w:szCs w:val="20"/>
          <w:color w:val="auto"/>
        </w:rPr>
      </w:pPr>
    </w:p>
    <w:p>
      <w:pPr>
        <w:ind w:left="1061" w:right="40" w:hanging="359"/>
        <w:spacing w:after="0" w:line="269" w:lineRule="auto"/>
        <w:tabs>
          <w:tab w:leader="none" w:pos="1061"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190" w:lineRule="exact"/>
        <w:rPr>
          <w:rFonts w:ascii="Arial" w:cs="Arial" w:eastAsia="Arial" w:hAnsi="Arial"/>
          <w:sz w:val="19"/>
          <w:szCs w:val="19"/>
          <w:color w:val="auto"/>
        </w:rPr>
      </w:pPr>
    </w:p>
    <w:p>
      <w:pPr>
        <w:ind w:left="1061" w:right="380" w:hanging="359"/>
        <w:spacing w:after="0" w:line="276" w:lineRule="auto"/>
        <w:tabs>
          <w:tab w:leader="none" w:pos="1061" w:val="left"/>
        </w:tabs>
        <w:numPr>
          <w:ilvl w:val="0"/>
          <w:numId w:val="73"/>
        </w:numPr>
        <w:rPr>
          <w:rFonts w:ascii="Arial" w:cs="Arial" w:eastAsia="Arial" w:hAnsi="Arial"/>
          <w:sz w:val="19"/>
          <w:szCs w:val="19"/>
          <w:color w:val="auto"/>
        </w:rPr>
      </w:pPr>
      <w:r>
        <w:rPr>
          <w:rFonts w:ascii="Arial" w:cs="Arial" w:eastAsia="Arial" w:hAnsi="Arial"/>
          <w:sz w:val="19"/>
          <w:szCs w:val="19"/>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82" w:lineRule="exact"/>
        <w:rPr>
          <w:rFonts w:ascii="Arial" w:cs="Arial" w:eastAsia="Arial" w:hAnsi="Arial"/>
          <w:sz w:val="19"/>
          <w:szCs w:val="19"/>
          <w:color w:val="auto"/>
        </w:rPr>
      </w:pPr>
    </w:p>
    <w:p>
      <w:pPr>
        <w:ind w:left="1061" w:right="280" w:hanging="359"/>
        <w:spacing w:after="0" w:line="276" w:lineRule="auto"/>
        <w:tabs>
          <w:tab w:leader="none" w:pos="1061" w:val="left"/>
        </w:tabs>
        <w:numPr>
          <w:ilvl w:val="0"/>
          <w:numId w:val="73"/>
        </w:numPr>
        <w:rPr>
          <w:rFonts w:ascii="Arial" w:cs="Arial" w:eastAsia="Arial" w:hAnsi="Arial"/>
          <w:sz w:val="19"/>
          <w:szCs w:val="19"/>
          <w:color w:val="auto"/>
        </w:rPr>
      </w:pPr>
      <w:r>
        <w:rPr>
          <w:rFonts w:ascii="Arial" w:cs="Arial" w:eastAsia="Arial" w:hAnsi="Arial"/>
          <w:sz w:val="19"/>
          <w:szCs w:val="19"/>
          <w:color w:val="auto"/>
        </w:rPr>
        <w:t>PAGP is the primary beneficiary of AAP because it has the power to direct the activities that most significantly impact AAP’s performance and the right to receive benefits, and obligation to absorb losses, that could be significant to AAP.</w:t>
      </w:r>
    </w:p>
    <w:p>
      <w:pPr>
        <w:sectPr>
          <w:pgSz w:w="11880" w:h="15480" w:orient="portrait"/>
          <w:cols w:equalWidth="0" w:num="1">
            <w:col w:w="10001"/>
          </w:cols>
          <w:pgMar w:left="939" w:top="43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ectPr>
          <w:pgSz w:w="11880" w:h="15480" w:orient="portrait"/>
          <w:cols w:equalWidth="0" w:num="1">
            <w:col w:w="10001"/>
          </w:cols>
          <w:pgMar w:left="939" w:top="432" w:right="940" w:bottom="0" w:gutter="0" w:footer="0" w:header="0"/>
          <w:type w:val="continuous"/>
        </w:sectPr>
      </w:pPr>
    </w:p>
    <w:bookmarkStart w:id="114" w:name="page115"/>
    <w:bookmarkEnd w:id="114"/>
    <w:p>
      <w:pPr>
        <w:jc w:val="center"/>
        <w:ind w:right="-20"/>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left="1" w:firstLine="702"/>
        <w:spacing w:after="0" w:line="264" w:lineRule="auto"/>
        <w:rPr>
          <w:sz w:val="20"/>
          <w:szCs w:val="20"/>
          <w:color w:val="auto"/>
        </w:rPr>
      </w:pPr>
      <w:r>
        <w:rPr>
          <w:rFonts w:ascii="Arial" w:cs="Arial" w:eastAsia="Arial" w:hAnsi="Arial"/>
          <w:sz w:val="19"/>
          <w:szCs w:val="19"/>
          <w:color w:val="auto"/>
        </w:rPr>
        <w:t>With the exception of a deferred tax asset of $1.239 billion and $1.309 billion as of December 31, 2023 and 2022, respectively, substantially all assets and liabilities presented on PAGP’s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years ended December 31, 2023, 2022 or 2021. See Note 16 for information regarding the Omnibus Agreement entered into by the Plains Entities on November 15, 2016.</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Subsequent Events</w:t>
      </w:r>
    </w:p>
    <w:p>
      <w:pPr>
        <w:spacing w:after="0" w:line="257" w:lineRule="exact"/>
        <w:rPr>
          <w:sz w:val="20"/>
          <w:szCs w:val="20"/>
          <w:color w:val="auto"/>
        </w:rPr>
      </w:pPr>
    </w:p>
    <w:p>
      <w:pPr>
        <w:ind w:left="1" w:right="220" w:firstLine="702"/>
        <w:spacing w:after="0" w:line="295" w:lineRule="auto"/>
        <w:rPr>
          <w:sz w:val="20"/>
          <w:szCs w:val="20"/>
          <w:color w:val="auto"/>
        </w:rPr>
      </w:pPr>
      <w:r>
        <w:rPr>
          <w:rFonts w:ascii="Arial" w:cs="Arial" w:eastAsia="Arial" w:hAnsi="Arial"/>
          <w:sz w:val="19"/>
          <w:szCs w:val="19"/>
          <w:color w:val="auto"/>
        </w:rPr>
        <w:t>Subsequent events have been evaluated through the financial statements issuance date and have been included in the following footnotes where applicable.</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Note 2—Summary of Significant Accounting Policies</w:t>
      </w:r>
    </w:p>
    <w:p>
      <w:pPr>
        <w:spacing w:after="0" w:line="249"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Use of Estimates</w:t>
      </w:r>
    </w:p>
    <w:p>
      <w:pPr>
        <w:spacing w:after="0" w:line="257" w:lineRule="exact"/>
        <w:rPr>
          <w:sz w:val="20"/>
          <w:szCs w:val="20"/>
          <w:color w:val="auto"/>
        </w:rPr>
      </w:pPr>
    </w:p>
    <w:p>
      <w:pPr>
        <w:ind w:left="1" w:right="20" w:firstLine="702"/>
        <w:spacing w:after="0" w:line="292"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We make significant estimates with respect to (i) estimated fair value of assets and liabilities acquired and identification of associated goodwill and intangible assets, (ii) fair value of derivatives, (iii) accruals and contingent liabilities,</w:t>
      </w:r>
    </w:p>
    <w:p>
      <w:pPr>
        <w:spacing w:after="0" w:line="1" w:lineRule="exact"/>
        <w:rPr>
          <w:sz w:val="20"/>
          <w:szCs w:val="20"/>
          <w:color w:val="auto"/>
        </w:rPr>
      </w:pPr>
    </w:p>
    <w:p>
      <w:pPr>
        <w:ind w:left="1" w:right="740" w:hanging="1"/>
        <w:spacing w:after="0" w:line="310" w:lineRule="auto"/>
        <w:tabs>
          <w:tab w:leader="none" w:pos="331" w:val="left"/>
        </w:tabs>
        <w:numPr>
          <w:ilvl w:val="0"/>
          <w:numId w:val="74"/>
        </w:numPr>
        <w:rPr>
          <w:rFonts w:ascii="Arial" w:cs="Arial" w:eastAsia="Arial" w:hAnsi="Arial"/>
          <w:sz w:val="17"/>
          <w:szCs w:val="17"/>
          <w:color w:val="auto"/>
        </w:rPr>
      </w:pPr>
      <w:r>
        <w:rPr>
          <w:rFonts w:ascii="Arial" w:cs="Arial" w:eastAsia="Arial" w:hAnsi="Arial"/>
          <w:sz w:val="17"/>
          <w:szCs w:val="17"/>
          <w:color w:val="auto"/>
        </w:rPr>
        <w:t>property and equipment, depreciation and amortization expense and asset retirement obligations, (v) impairment assessments of property and equipment, investments in unconsolidated entities and intangible assets and (vi) inventory valuations. Although we believe these estimates are reasonable, actual results could differ from these estimates.</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Purchases and Related Costs</w:t>
      </w:r>
    </w:p>
    <w:p>
      <w:pPr>
        <w:spacing w:after="0" w:line="257" w:lineRule="exact"/>
        <w:rPr>
          <w:sz w:val="20"/>
          <w:szCs w:val="20"/>
          <w:color w:val="auto"/>
        </w:rPr>
      </w:pPr>
    </w:p>
    <w:p>
      <w:pPr>
        <w:ind w:left="1" w:right="80" w:firstLine="702"/>
        <w:spacing w:after="0" w:line="266" w:lineRule="auto"/>
        <w:rPr>
          <w:sz w:val="20"/>
          <w:szCs w:val="20"/>
          <w:color w:val="auto"/>
        </w:rPr>
      </w:pPr>
      <w:r>
        <w:rPr>
          <w:rFonts w:ascii="Arial" w:cs="Arial" w:eastAsia="Arial" w:hAnsi="Arial"/>
          <w:sz w:val="19"/>
          <w:szCs w:val="19"/>
          <w:color w:val="auto"/>
        </w:rPr>
        <w:t>Purchases and related costs include (i) the weighted average cost of crude oil and NGL sold to customers, (ii) fees incurred for storage and transportation, whether by pipeline, truck or rail and (iii) performance-related bonus costs. These costs are recognized when incurred except in the case of products sold, which are recognized at the time title transfers to our customers. Inventory exchanges under buy/sell transactions are presented net in “Purchases and related costs” in our Consolidated Statements of Operations.</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Field Operating Costs and General and Administrative Expenses</w:t>
      </w:r>
    </w:p>
    <w:p>
      <w:pPr>
        <w:spacing w:after="0" w:line="257" w:lineRule="exact"/>
        <w:rPr>
          <w:sz w:val="20"/>
          <w:szCs w:val="20"/>
          <w:color w:val="auto"/>
        </w:rPr>
      </w:pPr>
    </w:p>
    <w:p>
      <w:pPr>
        <w:ind w:left="1" w:right="160" w:firstLine="702"/>
        <w:spacing w:after="0" w:line="301" w:lineRule="auto"/>
        <w:rPr>
          <w:sz w:val="20"/>
          <w:szCs w:val="20"/>
          <w:color w:val="auto"/>
        </w:rPr>
      </w:pPr>
      <w:r>
        <w:rPr>
          <w:rFonts w:ascii="Arial" w:cs="Arial" w:eastAsia="Arial" w:hAnsi="Arial"/>
          <w:sz w:val="17"/>
          <w:szCs w:val="17"/>
          <w:color w:val="auto"/>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Foreign Currency Transactions/Translation</w:t>
      </w:r>
    </w:p>
    <w:p>
      <w:pPr>
        <w:spacing w:after="0" w:line="257" w:lineRule="exact"/>
        <w:rPr>
          <w:sz w:val="20"/>
          <w:szCs w:val="20"/>
          <w:color w:val="auto"/>
        </w:rPr>
      </w:pPr>
    </w:p>
    <w:p>
      <w:pPr>
        <w:ind w:left="1" w:right="260" w:firstLine="702"/>
        <w:spacing w:after="0" w:line="266" w:lineRule="auto"/>
        <w:rPr>
          <w:sz w:val="20"/>
          <w:szCs w:val="20"/>
          <w:color w:val="auto"/>
        </w:rPr>
      </w:pPr>
      <w:r>
        <w:rPr>
          <w:rFonts w:ascii="Arial" w:cs="Arial" w:eastAsia="Arial" w:hAnsi="Arial"/>
          <w:sz w:val="19"/>
          <w:szCs w:val="19"/>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spacing w:after="0" w:line="193" w:lineRule="exact"/>
        <w:rPr>
          <w:sz w:val="20"/>
          <w:szCs w:val="20"/>
          <w:color w:val="auto"/>
        </w:rPr>
      </w:pPr>
    </w:p>
    <w:p>
      <w:pPr>
        <w:ind w:left="1" w:right="20" w:firstLine="702"/>
        <w:spacing w:after="0" w:line="299" w:lineRule="auto"/>
        <w:rPr>
          <w:sz w:val="20"/>
          <w:szCs w:val="20"/>
          <w:color w:val="auto"/>
        </w:rPr>
      </w:pPr>
      <w:r>
        <w:rPr>
          <w:rFonts w:ascii="Arial" w:cs="Arial" w:eastAsia="Arial" w:hAnsi="Arial"/>
          <w:sz w:val="17"/>
          <w:szCs w:val="17"/>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generally included in the Consolidated Statements of Operations. However, gains and losses arising from intercompany foreign currency transactions that are of a long-term investment nature are reported in the same manner as translation adjustments. For the years ended December 31, 2023, 2022 and 2021, the revaluation of foreign currency transactions and monetary assets and liabilities resulted in the recognition of a net loss of $8 million, a net loss of $41 million and a net gain of $7 million, respectively, in our Consolidated Statements of Operations.</w:t>
      </w:r>
    </w:p>
    <w:p>
      <w:pPr>
        <w:sectPr>
          <w:pgSz w:w="11880" w:h="15480" w:orient="portrait"/>
          <w:cols w:equalWidth="0" w:num="1">
            <w:col w:w="9981"/>
          </w:cols>
          <w:pgMar w:left="939" w:top="432" w:right="96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F-12</w:t>
      </w:r>
    </w:p>
    <w:p>
      <w:pPr>
        <w:sectPr>
          <w:pgSz w:w="11880" w:h="15480" w:orient="portrait"/>
          <w:cols w:equalWidth="0" w:num="1">
            <w:col w:w="9981"/>
          </w:cols>
          <w:pgMar w:left="939" w:top="432" w:right="960" w:bottom="0" w:gutter="0" w:footer="0" w:header="0"/>
          <w:type w:val="continuous"/>
        </w:sectPr>
      </w:pPr>
    </w:p>
    <w:bookmarkStart w:id="115" w:name="page116"/>
    <w:bookmarkEnd w:id="115"/>
    <w:p>
      <w:pPr>
        <w:jc w:val="center"/>
        <w:ind w:right="-20"/>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46"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Cash and Cash Equivalents</w:t>
      </w:r>
    </w:p>
    <w:p>
      <w:pPr>
        <w:spacing w:after="0" w:line="257" w:lineRule="exact"/>
        <w:rPr>
          <w:sz w:val="20"/>
          <w:szCs w:val="20"/>
          <w:color w:val="auto"/>
        </w:rPr>
      </w:pPr>
    </w:p>
    <w:p>
      <w:pPr>
        <w:ind w:left="1" w:right="140" w:firstLine="702"/>
        <w:spacing w:after="0" w:line="298" w:lineRule="auto"/>
        <w:rPr>
          <w:sz w:val="20"/>
          <w:szCs w:val="20"/>
          <w:color w:val="auto"/>
        </w:rPr>
      </w:pPr>
      <w:r>
        <w:rPr>
          <w:rFonts w:ascii="Arial" w:cs="Arial" w:eastAsia="Arial" w:hAnsi="Arial"/>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165" w:lineRule="exact"/>
        <w:rPr>
          <w:sz w:val="20"/>
          <w:szCs w:val="20"/>
          <w:color w:val="auto"/>
        </w:rPr>
      </w:pPr>
    </w:p>
    <w:p>
      <w:pPr>
        <w:ind w:left="1" w:right="260" w:firstLine="702"/>
        <w:spacing w:after="0" w:line="323" w:lineRule="auto"/>
        <w:rPr>
          <w:sz w:val="20"/>
          <w:szCs w:val="20"/>
          <w:color w:val="auto"/>
        </w:rPr>
      </w:pPr>
      <w:r>
        <w:rPr>
          <w:rFonts w:ascii="Arial" w:cs="Arial" w:eastAsia="Arial" w:hAnsi="Arial"/>
          <w:sz w:val="17"/>
          <w:szCs w:val="17"/>
          <w:color w:val="auto"/>
        </w:rPr>
        <w:t>In accordance with our policy, unless they may be covered by funds on deposit, outstanding checks are classified as trade accounts payable rather than negative cash. As of December 31, 2023 and 2022, trade accounts payable included $26 million and $25 million, respectively, of outstanding checks that were reclassified from cash and cash equivalents.</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Noncontrolling Interests</w:t>
      </w:r>
    </w:p>
    <w:p>
      <w:pPr>
        <w:spacing w:after="0" w:line="257" w:lineRule="exact"/>
        <w:rPr>
          <w:sz w:val="20"/>
          <w:szCs w:val="20"/>
          <w:color w:val="auto"/>
        </w:rPr>
      </w:pPr>
    </w:p>
    <w:p>
      <w:pPr>
        <w:ind w:left="1" w:right="20" w:firstLine="702"/>
        <w:spacing w:after="0" w:line="298" w:lineRule="auto"/>
        <w:rPr>
          <w:sz w:val="20"/>
          <w:szCs w:val="20"/>
          <w:color w:val="auto"/>
        </w:rPr>
      </w:pPr>
      <w:r>
        <w:rPr>
          <w:rFonts w:ascii="Arial" w:cs="Arial" w:eastAsia="Arial" w:hAnsi="Arial"/>
          <w:sz w:val="18"/>
          <w:szCs w:val="18"/>
          <w:color w:val="auto"/>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See Note 11 for additional discussion regarding our noncontrolling interests.</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Asset Retirement Obligations</w:t>
      </w:r>
    </w:p>
    <w:p>
      <w:pPr>
        <w:spacing w:after="0" w:line="257" w:lineRule="exact"/>
        <w:rPr>
          <w:sz w:val="20"/>
          <w:szCs w:val="20"/>
          <w:color w:val="auto"/>
        </w:rPr>
      </w:pPr>
    </w:p>
    <w:p>
      <w:pPr>
        <w:ind w:left="1" w:right="360" w:firstLine="702"/>
        <w:spacing w:after="0" w:line="282" w:lineRule="auto"/>
        <w:rPr>
          <w:sz w:val="20"/>
          <w:szCs w:val="20"/>
          <w:color w:val="auto"/>
        </w:rPr>
      </w:pPr>
      <w:r>
        <w:rPr>
          <w:rFonts w:ascii="Arial" w:cs="Arial" w:eastAsia="Arial" w:hAnsi="Arial"/>
          <w:sz w:val="18"/>
          <w:szCs w:val="18"/>
          <w:color w:val="auto"/>
        </w:rPr>
        <w:t>FASB guidance establishes accounting requirements for retirement obligations associated with tangible long-lived assets, including estimates related to (i) the time of the liability recognition, (ii) initial measurement of the liability,</w:t>
      </w:r>
    </w:p>
    <w:p>
      <w:pPr>
        <w:spacing w:after="0" w:line="1" w:lineRule="exact"/>
        <w:rPr>
          <w:sz w:val="20"/>
          <w:szCs w:val="20"/>
          <w:color w:val="auto"/>
        </w:rPr>
      </w:pPr>
    </w:p>
    <w:p>
      <w:pPr>
        <w:ind w:left="1" w:hanging="1"/>
        <w:spacing w:after="0" w:line="265" w:lineRule="auto"/>
        <w:tabs>
          <w:tab w:leader="none" w:pos="342" w:val="left"/>
        </w:tabs>
        <w:numPr>
          <w:ilvl w:val="0"/>
          <w:numId w:val="75"/>
        </w:numPr>
        <w:rPr>
          <w:rFonts w:ascii="Arial" w:cs="Arial" w:eastAsia="Arial" w:hAnsi="Arial"/>
          <w:sz w:val="19"/>
          <w:szCs w:val="19"/>
          <w:color w:val="auto"/>
        </w:rPr>
      </w:pPr>
      <w:r>
        <w:rPr>
          <w:rFonts w:ascii="Arial" w:cs="Arial" w:eastAsia="Arial" w:hAnsi="Arial"/>
          <w:sz w:val="19"/>
          <w:szCs w:val="19"/>
          <w:color w:val="auto"/>
        </w:rPr>
        <w:t>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192" w:lineRule="exact"/>
        <w:rPr>
          <w:sz w:val="20"/>
          <w:szCs w:val="20"/>
          <w:color w:val="auto"/>
        </w:rPr>
      </w:pPr>
    </w:p>
    <w:p>
      <w:pPr>
        <w:ind w:left="1" w:firstLine="702"/>
        <w:spacing w:after="0" w:line="295" w:lineRule="auto"/>
        <w:rPr>
          <w:sz w:val="20"/>
          <w:szCs w:val="20"/>
          <w:color w:val="auto"/>
        </w:rPr>
      </w:pPr>
      <w:r>
        <w:rPr>
          <w:rFonts w:ascii="Arial" w:cs="Arial" w:eastAsia="Arial" w:hAnsi="Arial"/>
          <w:sz w:val="17"/>
          <w:szCs w:val="17"/>
          <w:color w:val="auto"/>
        </w:rPr>
        <w:t>Some of our assets, primarily our pipelines, certain processing and fractionation facilities and terminals assets,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storage or other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estimate the settlement dates.</w:t>
      </w:r>
    </w:p>
    <w:p>
      <w:pPr>
        <w:spacing w:after="0" w:line="171" w:lineRule="exact"/>
        <w:rPr>
          <w:sz w:val="20"/>
          <w:szCs w:val="20"/>
          <w:color w:val="auto"/>
        </w:rPr>
      </w:pPr>
    </w:p>
    <w:p>
      <w:pPr>
        <w:ind w:left="1" w:right="120" w:firstLine="702"/>
        <w:spacing w:after="0" w:line="266" w:lineRule="auto"/>
        <w:rPr>
          <w:sz w:val="20"/>
          <w:szCs w:val="20"/>
          <w:color w:val="auto"/>
        </w:rPr>
      </w:pPr>
      <w:r>
        <w:rPr>
          <w:rFonts w:ascii="Arial" w:cs="Arial" w:eastAsia="Arial" w:hAnsi="Arial"/>
          <w:sz w:val="19"/>
          <w:szCs w:val="19"/>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The following table presents the change in the liability for asset retirement obligations, substantially all of which is reflected in “Other long-term liabilities and deferred credits” on our Consolidated Balance Sheets as of December 31, 2023, 2022 and 2021 (in millions):</w:t>
      </w:r>
    </w:p>
    <w:p>
      <w:pPr>
        <w:spacing w:after="0" w:line="280"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34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29"/>
        </w:trPr>
        <w:tc>
          <w:tcPr>
            <w:tcW w:w="34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b w:val="1"/>
                <w:bCs w:val="1"/>
                <w:color w:val="auto"/>
              </w:rPr>
              <w:t>2021</w:t>
            </w:r>
          </w:p>
        </w:tc>
      </w:tr>
      <w:tr>
        <w:trPr>
          <w:trHeight w:val="269"/>
        </w:trPr>
        <w:tc>
          <w:tcPr>
            <w:tcW w:w="6640" w:type="dxa"/>
            <w:vAlign w:val="bottom"/>
            <w:gridSpan w:val="2"/>
          </w:tcPr>
          <w:p>
            <w:pPr>
              <w:ind w:left="80"/>
              <w:spacing w:after="0"/>
              <w:rPr>
                <w:sz w:val="20"/>
                <w:szCs w:val="20"/>
                <w:color w:val="auto"/>
              </w:rPr>
            </w:pPr>
            <w:r>
              <w:rPr>
                <w:rFonts w:ascii="Arial" w:cs="Arial" w:eastAsia="Arial" w:hAnsi="Arial"/>
                <w:sz w:val="19"/>
                <w:szCs w:val="19"/>
                <w:color w:val="auto"/>
              </w:rPr>
              <w:t>Beginning balance</w:t>
            </w:r>
          </w:p>
        </w:tc>
        <w:tc>
          <w:tcPr>
            <w:tcW w:w="680" w:type="dxa"/>
            <w:vAlign w:val="bottom"/>
          </w:tcPr>
          <w:p>
            <w:pPr>
              <w:jc w:val="right"/>
              <w:ind w:right="449"/>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w w:val="88"/>
              </w:rPr>
              <w:t>122</w:t>
            </w:r>
          </w:p>
        </w:tc>
        <w:tc>
          <w:tcPr>
            <w:tcW w:w="340" w:type="dxa"/>
            <w:vAlign w:val="bottom"/>
            <w:gridSpan w:val="2"/>
          </w:tcPr>
          <w:p>
            <w:pPr>
              <w:jc w:val="right"/>
              <w:ind w:right="42"/>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143</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135</w:t>
            </w:r>
          </w:p>
        </w:tc>
      </w:tr>
      <w:tr>
        <w:trPr>
          <w:trHeight w:val="292"/>
        </w:trPr>
        <w:tc>
          <w:tcPr>
            <w:tcW w:w="6640" w:type="dxa"/>
            <w:vAlign w:val="bottom"/>
            <w:gridSpan w:val="2"/>
          </w:tcPr>
          <w:p>
            <w:pPr>
              <w:ind w:left="200"/>
              <w:spacing w:after="0"/>
              <w:rPr>
                <w:sz w:val="20"/>
                <w:szCs w:val="20"/>
                <w:color w:val="auto"/>
              </w:rPr>
            </w:pPr>
            <w:r>
              <w:rPr>
                <w:rFonts w:ascii="Arial" w:cs="Arial" w:eastAsia="Arial" w:hAnsi="Arial"/>
                <w:sz w:val="19"/>
                <w:szCs w:val="19"/>
                <w:color w:val="auto"/>
              </w:rPr>
              <w:t>Liabilities incurred</w:t>
            </w:r>
          </w:p>
        </w:tc>
        <w:tc>
          <w:tcPr>
            <w:tcW w:w="6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w:t>
            </w:r>
          </w:p>
        </w:tc>
      </w:tr>
      <w:tr>
        <w:trPr>
          <w:trHeight w:val="331"/>
        </w:trPr>
        <w:tc>
          <w:tcPr>
            <w:tcW w:w="6640" w:type="dxa"/>
            <w:vAlign w:val="bottom"/>
            <w:gridSpan w:val="2"/>
          </w:tcPr>
          <w:p>
            <w:pPr>
              <w:ind w:left="200"/>
              <w:spacing w:after="0"/>
              <w:rPr>
                <w:sz w:val="20"/>
                <w:szCs w:val="20"/>
                <w:color w:val="auto"/>
              </w:rPr>
            </w:pPr>
            <w:r>
              <w:rPr>
                <w:rFonts w:ascii="Arial" w:cs="Arial" w:eastAsia="Arial" w:hAnsi="Arial"/>
                <w:sz w:val="19"/>
                <w:szCs w:val="19"/>
                <w:color w:val="auto"/>
              </w:rPr>
              <w:t xml:space="preserve">Liabilities settled </w:t>
            </w:r>
            <w:r>
              <w:rPr>
                <w:rFonts w:ascii="Arial" w:cs="Arial" w:eastAsia="Arial" w:hAnsi="Arial"/>
                <w:sz w:val="25"/>
                <w:szCs w:val="25"/>
                <w:color w:val="auto"/>
                <w:vertAlign w:val="superscript"/>
              </w:rPr>
              <w:t>(1)</w:t>
            </w:r>
          </w:p>
        </w:tc>
        <w:tc>
          <w:tcPr>
            <w:tcW w:w="6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54"/>
        </w:trPr>
        <w:tc>
          <w:tcPr>
            <w:tcW w:w="6640" w:type="dxa"/>
            <w:vAlign w:val="bottom"/>
            <w:gridSpan w:val="2"/>
          </w:tcPr>
          <w:p>
            <w:pPr>
              <w:ind w:left="200"/>
              <w:spacing w:after="0"/>
              <w:rPr>
                <w:sz w:val="20"/>
                <w:szCs w:val="20"/>
                <w:color w:val="auto"/>
              </w:rPr>
            </w:pPr>
            <w:r>
              <w:rPr>
                <w:rFonts w:ascii="Arial" w:cs="Arial" w:eastAsia="Arial" w:hAnsi="Arial"/>
                <w:sz w:val="19"/>
                <w:szCs w:val="19"/>
                <w:color w:val="auto"/>
              </w:rPr>
              <w:t>Accretion expense</w:t>
            </w:r>
          </w:p>
        </w:tc>
        <w:tc>
          <w:tcPr>
            <w:tcW w:w="6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96"/>
        </w:trPr>
        <w:tc>
          <w:tcPr>
            <w:tcW w:w="6640" w:type="dxa"/>
            <w:vAlign w:val="bottom"/>
            <w:gridSpan w:val="2"/>
          </w:tcPr>
          <w:p>
            <w:pPr>
              <w:ind w:left="200"/>
              <w:spacing w:after="0"/>
              <w:rPr>
                <w:sz w:val="20"/>
                <w:szCs w:val="20"/>
                <w:color w:val="auto"/>
              </w:rPr>
            </w:pPr>
            <w:r>
              <w:rPr>
                <w:rFonts w:ascii="Arial" w:cs="Arial" w:eastAsia="Arial" w:hAnsi="Arial"/>
                <w:sz w:val="19"/>
                <w:szCs w:val="19"/>
                <w:color w:val="auto"/>
              </w:rPr>
              <w:t>Revisions in estimated cash flows</w:t>
            </w:r>
          </w:p>
        </w:tc>
        <w:tc>
          <w:tcPr>
            <w:tcW w:w="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w:t>
            </w:r>
          </w:p>
        </w:tc>
      </w:tr>
      <w:tr>
        <w:trPr>
          <w:trHeight w:val="253"/>
        </w:trPr>
        <w:tc>
          <w:tcPr>
            <w:tcW w:w="6640" w:type="dxa"/>
            <w:vAlign w:val="bottom"/>
            <w:gridSpan w:val="2"/>
          </w:tcPr>
          <w:p>
            <w:pPr>
              <w:ind w:left="80"/>
              <w:spacing w:after="0"/>
              <w:rPr>
                <w:sz w:val="20"/>
                <w:szCs w:val="20"/>
                <w:color w:val="auto"/>
              </w:rPr>
            </w:pPr>
            <w:r>
              <w:rPr>
                <w:rFonts w:ascii="Arial" w:cs="Arial" w:eastAsia="Arial" w:hAnsi="Arial"/>
                <w:sz w:val="19"/>
                <w:szCs w:val="19"/>
                <w:color w:val="auto"/>
              </w:rPr>
              <w:t>Ending balance</w:t>
            </w:r>
          </w:p>
        </w:tc>
        <w:tc>
          <w:tcPr>
            <w:tcW w:w="680" w:type="dxa"/>
            <w:vAlign w:val="bottom"/>
          </w:tcPr>
          <w:p>
            <w:pPr>
              <w:jc w:val="right"/>
              <w:ind w:right="449"/>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w w:val="88"/>
              </w:rPr>
              <w:t>126</w:t>
            </w:r>
          </w:p>
        </w:tc>
        <w:tc>
          <w:tcPr>
            <w:tcW w:w="340" w:type="dxa"/>
            <w:vAlign w:val="bottom"/>
            <w:gridSpan w:val="2"/>
          </w:tcPr>
          <w:p>
            <w:pPr>
              <w:jc w:val="right"/>
              <w:ind w:right="42"/>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122</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143</w:t>
            </w:r>
          </w:p>
        </w:tc>
      </w:tr>
      <w:tr>
        <w:trPr>
          <w:trHeight w:val="20"/>
        </w:trPr>
        <w:tc>
          <w:tcPr>
            <w:tcW w:w="34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30"/>
        </w:trPr>
        <w:tc>
          <w:tcPr>
            <w:tcW w:w="3440" w:type="dxa"/>
            <w:vAlign w:val="bottom"/>
            <w:tcBorders>
              <w:bottom w:val="single" w:sz="8" w:color="auto"/>
            </w:tcBorders>
          </w:tcPr>
          <w:p>
            <w:pPr>
              <w:spacing w:after="0"/>
              <w:rPr>
                <w:sz w:val="11"/>
                <w:szCs w:val="11"/>
                <w:color w:val="auto"/>
              </w:rPr>
            </w:pPr>
          </w:p>
        </w:tc>
        <w:tc>
          <w:tcPr>
            <w:tcW w:w="3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-1240790</wp:posOffset>
            </wp:positionV>
            <wp:extent cx="6348730" cy="1151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8">
                      <a:extLst>
                        <a:ext uri="{28A0092B-C50C-407E-A947-70E740481C1C}"/>
                      </a:extLst>
                    </a:blip>
                    <a:srcRect/>
                    <a:stretch>
                      <a:fillRect/>
                    </a:stretch>
                  </pic:blipFill>
                  <pic:spPr bwMode="auto">
                    <a:xfrm>
                      <a:off x="0" y="0"/>
                      <a:ext cx="6348730" cy="1151890"/>
                    </a:xfrm>
                    <a:prstGeom prst="rect">
                      <a:avLst/>
                    </a:prstGeom>
                    <a:noFill/>
                  </pic:spPr>
                </pic:pic>
              </a:graphicData>
            </a:graphic>
          </wp:anchor>
        </w:drawing>
      </w:r>
    </w:p>
    <w:p>
      <w:pPr>
        <w:spacing w:after="0" w:line="65" w:lineRule="exact"/>
        <w:rPr>
          <w:sz w:val="20"/>
          <w:szCs w:val="20"/>
          <w:color w:val="auto"/>
        </w:rPr>
      </w:pPr>
    </w:p>
    <w:p>
      <w:pPr>
        <w:ind w:left="621" w:right="140" w:hanging="621"/>
        <w:spacing w:after="0" w:line="288" w:lineRule="auto"/>
        <w:tabs>
          <w:tab w:leader="none" w:pos="621" w:val="left"/>
        </w:tabs>
        <w:numPr>
          <w:ilvl w:val="0"/>
          <w:numId w:val="76"/>
        </w:numPr>
        <w:rPr>
          <w:rFonts w:ascii="Arial" w:cs="Arial" w:eastAsia="Arial" w:hAnsi="Arial"/>
          <w:sz w:val="22"/>
          <w:szCs w:val="22"/>
          <w:color w:val="auto"/>
          <w:vertAlign w:val="superscript"/>
        </w:rPr>
      </w:pPr>
      <w:r>
        <w:rPr>
          <w:rFonts w:ascii="Arial" w:cs="Arial" w:eastAsia="Arial" w:hAnsi="Arial"/>
          <w:sz w:val="17"/>
          <w:szCs w:val="17"/>
          <w:color w:val="auto"/>
        </w:rPr>
        <w:t>The 2022 amount primarily relates to the transfer of liabilities to the third party purchaser associated with the sale of Line 901 and the Sisquoc to Pentland portion of Line 903 pipeline. See Note 7 and Note 18 for additional information.</w:t>
      </w:r>
    </w:p>
    <w:p>
      <w:pPr>
        <w:sectPr>
          <w:pgSz w:w="11880" w:h="15480" w:orient="portrait"/>
          <w:cols w:equalWidth="0" w:num="1">
            <w:col w:w="9981"/>
          </w:cols>
          <w:pgMar w:left="939" w:top="43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F-13</w:t>
      </w:r>
    </w:p>
    <w:p>
      <w:pPr>
        <w:sectPr>
          <w:pgSz w:w="11880" w:h="15480" w:orient="portrait"/>
          <w:cols w:equalWidth="0" w:num="1">
            <w:col w:w="9981"/>
          </w:cols>
          <w:pgMar w:left="939" w:top="431" w:right="960" w:bottom="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2"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Fair Value Measurements</w:t>
      </w:r>
    </w:p>
    <w:p>
      <w:pPr>
        <w:spacing w:after="0" w:line="257" w:lineRule="exact"/>
        <w:rPr>
          <w:sz w:val="20"/>
          <w:szCs w:val="20"/>
          <w:color w:val="auto"/>
        </w:rPr>
      </w:pPr>
    </w:p>
    <w:p>
      <w:pPr>
        <w:ind w:left="1" w:right="100" w:firstLine="702"/>
        <w:spacing w:after="0" w:line="279"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and interest rate derivatives includes adjustments for credit risk. Our credit adjustment methodology uses market observable inputs and requires judgment. There were no changes to any of our valuation techniques during the period. See Note 12 for further discussion.</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Other Significant Accounting Policies</w:t>
      </w:r>
    </w:p>
    <w:p>
      <w:pPr>
        <w:spacing w:after="0" w:line="257" w:lineRule="exact"/>
        <w:rPr>
          <w:sz w:val="20"/>
          <w:szCs w:val="20"/>
          <w:color w:val="auto"/>
        </w:rPr>
      </w:pPr>
    </w:p>
    <w:p>
      <w:pPr>
        <w:ind w:left="1" w:right="60" w:firstLine="702"/>
        <w:spacing w:after="0" w:line="282" w:lineRule="auto"/>
        <w:rPr>
          <w:sz w:val="20"/>
          <w:szCs w:val="20"/>
          <w:color w:val="auto"/>
        </w:rPr>
      </w:pPr>
      <w:r>
        <w:rPr>
          <w:rFonts w:ascii="Arial" w:cs="Arial" w:eastAsia="Arial" w:hAnsi="Arial"/>
          <w:sz w:val="18"/>
          <w:szCs w:val="18"/>
          <w:color w:val="auto"/>
        </w:rPr>
        <w:t>See the respective footnotes for our accounting policies regarding (i) revenues and accounts receivable, (ii) net income per Class A share, (iii) inventory, linefill and long-term inventory, (iv) property and equipment, (v) acquisitions,</w:t>
      </w:r>
    </w:p>
    <w:p>
      <w:pPr>
        <w:spacing w:after="0" w:line="1" w:lineRule="exact"/>
        <w:rPr>
          <w:sz w:val="20"/>
          <w:szCs w:val="20"/>
          <w:color w:val="auto"/>
        </w:rPr>
      </w:pPr>
    </w:p>
    <w:p>
      <w:pPr>
        <w:ind w:left="321" w:hanging="321"/>
        <w:spacing w:after="0"/>
        <w:tabs>
          <w:tab w:leader="none" w:pos="321"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investments in unconsolidated entities, (vii) intangible assets, (viii) derivatives and risk management activities, (ix) leases,</w:t>
      </w:r>
    </w:p>
    <w:p>
      <w:pPr>
        <w:spacing w:after="0" w:line="26" w:lineRule="exact"/>
        <w:rPr>
          <w:rFonts w:ascii="Arial" w:cs="Arial" w:eastAsia="Arial" w:hAnsi="Arial"/>
          <w:sz w:val="18"/>
          <w:szCs w:val="18"/>
          <w:color w:val="auto"/>
        </w:rPr>
      </w:pPr>
    </w:p>
    <w:p>
      <w:pPr>
        <w:ind w:left="281" w:hanging="281"/>
        <w:spacing w:after="0"/>
        <w:tabs>
          <w:tab w:leader="none" w:pos="281" w:val="left"/>
        </w:tabs>
        <w:numPr>
          <w:ilvl w:val="0"/>
          <w:numId w:val="78"/>
        </w:numPr>
        <w:rPr>
          <w:rFonts w:ascii="Arial" w:cs="Arial" w:eastAsia="Arial" w:hAnsi="Arial"/>
          <w:sz w:val="19"/>
          <w:szCs w:val="19"/>
          <w:color w:val="auto"/>
        </w:rPr>
      </w:pPr>
      <w:r>
        <w:rPr>
          <w:rFonts w:ascii="Arial" w:cs="Arial" w:eastAsia="Arial" w:hAnsi="Arial"/>
          <w:sz w:val="19"/>
          <w:szCs w:val="19"/>
          <w:color w:val="auto"/>
        </w:rPr>
        <w:t>income taxes, (xi) equity-indexed compensation and (xii) legal and environmental matters.</w:t>
      </w:r>
    </w:p>
    <w:p>
      <w:pPr>
        <w:spacing w:after="0" w:line="223"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Recent Accounting Pronouncements</w:t>
      </w:r>
    </w:p>
    <w:p>
      <w:pPr>
        <w:spacing w:after="0" w:line="255" w:lineRule="exact"/>
        <w:rPr>
          <w:sz w:val="20"/>
          <w:szCs w:val="20"/>
          <w:color w:val="auto"/>
        </w:rPr>
      </w:pPr>
    </w:p>
    <w:p>
      <w:pPr>
        <w:ind w:left="1" w:right="180" w:firstLine="702"/>
        <w:spacing w:after="0" w:line="267" w:lineRule="auto"/>
        <w:rPr>
          <w:sz w:val="20"/>
          <w:szCs w:val="20"/>
          <w:color w:val="auto"/>
        </w:rPr>
      </w:pPr>
      <w:r>
        <w:rPr>
          <w:rFonts w:ascii="Arial" w:cs="Arial" w:eastAsia="Arial" w:hAnsi="Arial"/>
          <w:sz w:val="19"/>
          <w:szCs w:val="19"/>
          <w:color w:val="auto"/>
        </w:rPr>
        <w:t xml:space="preserve">In December 2023, the FASB issued ASU 2023-09, </w:t>
      </w:r>
      <w:r>
        <w:rPr>
          <w:rFonts w:ascii="Arial" w:cs="Arial" w:eastAsia="Arial" w:hAnsi="Arial"/>
          <w:sz w:val="19"/>
          <w:szCs w:val="19"/>
          <w:b w:val="1"/>
          <w:bCs w:val="1"/>
          <w:i w:val="1"/>
          <w:iCs w:val="1"/>
          <w:color w:val="auto"/>
        </w:rPr>
        <w:t>Income Taxes (Topic 740): Improvements to Income Tax</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Disclosures</w:t>
      </w:r>
      <w:r>
        <w:rPr>
          <w:rFonts w:ascii="Arial" w:cs="Arial" w:eastAsia="Arial" w:hAnsi="Arial"/>
          <w:sz w:val="19"/>
          <w:szCs w:val="19"/>
          <w:color w:val="auto"/>
        </w:rPr>
        <w:t>, which requires, among other things, disaggregated information about effective tax rate reconciliation and income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taxes paid (net of refunds received) on an annual basis. The guidance is effective prospectively for annual periods beginning after December 15, 2024 with retrospective or early adoption permitted. We intend to provide the required disclosures prospectively for annual periods beginning after December 15, 2024.</w:t>
      </w:r>
    </w:p>
    <w:p>
      <w:pPr>
        <w:spacing w:after="0" w:line="189" w:lineRule="exact"/>
        <w:rPr>
          <w:sz w:val="20"/>
          <w:szCs w:val="20"/>
          <w:color w:val="auto"/>
        </w:rPr>
      </w:pPr>
    </w:p>
    <w:p>
      <w:pPr>
        <w:ind w:left="1" w:right="80" w:firstLine="702"/>
        <w:spacing w:after="0" w:line="265" w:lineRule="auto"/>
        <w:rPr>
          <w:sz w:val="20"/>
          <w:szCs w:val="20"/>
          <w:color w:val="auto"/>
        </w:rPr>
      </w:pPr>
      <w:r>
        <w:rPr>
          <w:rFonts w:ascii="Arial" w:cs="Arial" w:eastAsia="Arial" w:hAnsi="Arial"/>
          <w:sz w:val="19"/>
          <w:szCs w:val="19"/>
          <w:color w:val="auto"/>
        </w:rPr>
        <w:t xml:space="preserve">In November 2023, the FASB issued ASU 2023-07, </w:t>
      </w:r>
      <w:r>
        <w:rPr>
          <w:rFonts w:ascii="Arial" w:cs="Arial" w:eastAsia="Arial" w:hAnsi="Arial"/>
          <w:sz w:val="19"/>
          <w:szCs w:val="19"/>
          <w:b w:val="1"/>
          <w:bCs w:val="1"/>
          <w:i w:val="1"/>
          <w:iCs w:val="1"/>
          <w:color w:val="auto"/>
        </w:rPr>
        <w:t>Segment Reporting (Topic 280): Improvements to Reportable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Segment Disclosures, </w:t>
      </w:r>
      <w:r>
        <w:rPr>
          <w:rFonts w:ascii="Arial" w:cs="Arial" w:eastAsia="Arial" w:hAnsi="Arial"/>
          <w:sz w:val="19"/>
          <w:szCs w:val="19"/>
          <w:color w:val="auto"/>
        </w:rPr>
        <w:t>which requires disaggregated disclosure of significant segment expenses and other amounts included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within the reported measure of segment profit or loss for each reportable segment on an annual and interim basis. The guidance is effective retrospectively for annual periods beginning after December 15, 2023, and interim periods in fiscal years beginning after December 15, 2024 with early adoption permitted. We intend to provide the required disclosures beginning with our annual report for the year ended December 31, 2024.</w:t>
      </w:r>
    </w:p>
    <w:p>
      <w:pPr>
        <w:spacing w:after="0" w:line="190" w:lineRule="exact"/>
        <w:rPr>
          <w:sz w:val="20"/>
          <w:szCs w:val="20"/>
          <w:color w:val="auto"/>
        </w:rPr>
      </w:pPr>
    </w:p>
    <w:p>
      <w:pPr>
        <w:ind w:left="1" w:right="40" w:firstLine="702"/>
        <w:spacing w:after="0" w:line="285" w:lineRule="auto"/>
        <w:rPr>
          <w:sz w:val="20"/>
          <w:szCs w:val="20"/>
          <w:color w:val="auto"/>
        </w:rPr>
      </w:pPr>
      <w:r>
        <w:rPr>
          <w:rFonts w:ascii="Arial" w:cs="Arial" w:eastAsia="Arial" w:hAnsi="Arial"/>
          <w:sz w:val="18"/>
          <w:szCs w:val="18"/>
          <w:color w:val="auto"/>
        </w:rPr>
        <w:t xml:space="preserve">In August 2023, the FASB issued ASU 2023-05, </w:t>
      </w:r>
      <w:r>
        <w:rPr>
          <w:rFonts w:ascii="Arial" w:cs="Arial" w:eastAsia="Arial" w:hAnsi="Arial"/>
          <w:sz w:val="18"/>
          <w:szCs w:val="18"/>
          <w:b w:val="1"/>
          <w:bCs w:val="1"/>
          <w:i w:val="1"/>
          <w:iCs w:val="1"/>
          <w:color w:val="auto"/>
        </w:rPr>
        <w:t>Business Combinations—Joint Venture Formations (Subtopic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805-60): Recognition and Initial Measurement</w:t>
      </w:r>
      <w:r>
        <w:rPr>
          <w:rFonts w:ascii="Arial" w:cs="Arial" w:eastAsia="Arial" w:hAnsi="Arial"/>
          <w:sz w:val="18"/>
          <w:szCs w:val="18"/>
          <w:color w:val="auto"/>
        </w:rPr>
        <w:t>, which requires a newly-formed joint venture to apply a new basis of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its contributed net assets, resulting in the joint venture initially measuring its contributed net assets at fair value on the formation date. This guidance is effective prospectively for all joint ventures with a formation date on or after January 1, 2025, with early adoption permitted. We intend to adopt this guidance for joint venture formations on January 1, 2025.</w:t>
      </w:r>
    </w:p>
    <w:p>
      <w:pPr>
        <w:spacing w:after="0" w:line="175" w:lineRule="exact"/>
        <w:rPr>
          <w:sz w:val="20"/>
          <w:szCs w:val="20"/>
          <w:color w:val="auto"/>
        </w:rPr>
      </w:pPr>
    </w:p>
    <w:p>
      <w:pPr>
        <w:ind w:left="1" w:firstLine="702"/>
        <w:spacing w:after="0" w:line="282"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b w:val="1"/>
          <w:bCs w:val="1"/>
          <w:i w:val="1"/>
          <w:iCs w:val="1"/>
          <w:color w:val="auto"/>
        </w:rPr>
        <w:t>Business Combinations (Topic 805): Accounting for Contract Assets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 Contract Liabilities from Contracts with Customers</w:t>
      </w:r>
      <w:r>
        <w:rPr>
          <w:rFonts w:ascii="Arial" w:cs="Arial" w:eastAsia="Arial" w:hAnsi="Arial"/>
          <w:sz w:val="18"/>
          <w:szCs w:val="18"/>
          <w:color w:val="auto"/>
        </w:rPr>
        <w:t>. This guidance requires that an acquirer recognize and measure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 assets and contract liabilities acquired in a business combination in accordance with Topic 606, Revenue from Contracts with Customers, as if it had originated the contracts. The guidance is effective prospectively for interim and annual periods beginning after December 15, 2022, with early adoption permitted. We adopted this guidance as of January 1, 2023, and our adoption did not have a material impact on our financial position, results of operations or cash flows.</w:t>
      </w:r>
    </w:p>
    <w:p>
      <w:pPr>
        <w:spacing w:after="0" w:line="179" w:lineRule="exact"/>
        <w:rPr>
          <w:sz w:val="20"/>
          <w:szCs w:val="20"/>
          <w:color w:val="auto"/>
        </w:rPr>
      </w:pPr>
    </w:p>
    <w:p>
      <w:pPr>
        <w:ind w:left="1" w:right="120" w:firstLine="702"/>
        <w:spacing w:after="0" w:line="299"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b w:val="1"/>
          <w:bCs w:val="1"/>
          <w:i w:val="1"/>
          <w:iCs w:val="1"/>
          <w:color w:val="auto"/>
        </w:rPr>
        <w:t>Reference Rate Reform (Topic 848): Facilitation of the Effects of</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Reference Rate Reform on Financial Reporting</w:t>
      </w:r>
      <w:r>
        <w:rPr>
          <w:rFonts w:ascii="Arial" w:cs="Arial" w:eastAsia="Arial" w:hAnsi="Arial"/>
          <w:sz w:val="17"/>
          <w:szCs w:val="17"/>
          <w:color w:val="auto"/>
        </w:rPr>
        <w:t>, which provides optional expedients and exceptions for applying GAAP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contracts, hedging relationships and other transactions that reference LIBOR or another reference rate expected to be discontinued because of reference rate reform. This guidance was effective prospectively upon issuance through December 31, 2022. In December 2022, the FASB issued ASU 2022-06, </w:t>
      </w:r>
      <w:r>
        <w:rPr>
          <w:rFonts w:ascii="Arial" w:cs="Arial" w:eastAsia="Arial" w:hAnsi="Arial"/>
          <w:sz w:val="17"/>
          <w:szCs w:val="17"/>
          <w:b w:val="1"/>
          <w:bCs w:val="1"/>
          <w:i w:val="1"/>
          <w:iCs w:val="1"/>
          <w:color w:val="auto"/>
        </w:rPr>
        <w:t>Reference Rate Reform (Topic 848): Deferral of the Sunset Date of</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Topic 848, </w:t>
      </w:r>
      <w:r>
        <w:rPr>
          <w:rFonts w:ascii="Arial" w:cs="Arial" w:eastAsia="Arial" w:hAnsi="Arial"/>
          <w:sz w:val="17"/>
          <w:szCs w:val="17"/>
          <w:color w:val="auto"/>
        </w:rPr>
        <w:t>which defers the sunset date of Topic 848 from December 31, 2022 to December 31, 2024. We will continue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apply applicable expedients and exceptions to contract modifications through December 31, 2024, as applicable.</w:t>
      </w:r>
    </w:p>
    <w:p>
      <w:pPr>
        <w:sectPr>
          <w:pgSz w:w="11880" w:h="15480" w:orient="portrait"/>
          <w:cols w:equalWidth="0" w:num="1">
            <w:col w:w="10001"/>
          </w:cols>
          <w:pgMar w:left="939" w:top="43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1880" w:h="15480" w:orient="portrait"/>
          <w:cols w:equalWidth="0" w:num="1">
            <w:col w:w="10001"/>
          </w:cols>
          <w:pgMar w:left="939" w:top="432" w:right="940" w:bottom="0"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3—Revenues and Accounts Receivable</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257" w:lineRule="exact"/>
        <w:rPr>
          <w:sz w:val="20"/>
          <w:szCs w:val="20"/>
          <w:color w:val="auto"/>
        </w:rPr>
      </w:pPr>
    </w:p>
    <w:p>
      <w:pPr>
        <w:ind w:right="20" w:firstLine="702"/>
        <w:spacing w:after="0" w:line="295" w:lineRule="auto"/>
        <w:rPr>
          <w:sz w:val="20"/>
          <w:szCs w:val="20"/>
          <w:color w:val="auto"/>
        </w:rPr>
      </w:pPr>
      <w:r>
        <w:rPr>
          <w:rFonts w:ascii="Arial" w:cs="Arial" w:eastAsia="Arial" w:hAnsi="Arial"/>
          <w:sz w:val="19"/>
          <w:szCs w:val="19"/>
          <w:color w:val="auto"/>
        </w:rPr>
        <w:t>We disaggregate our revenues by segment and type of activity. These categories depict how the nature, amount, timing and uncertainty of revenues and cash flows are affected by economic factors.</w:t>
      </w:r>
    </w:p>
    <w:p>
      <w:pPr>
        <w:spacing w:after="0" w:line="163" w:lineRule="exact"/>
        <w:rPr>
          <w:sz w:val="20"/>
          <w:szCs w:val="20"/>
          <w:color w:val="auto"/>
        </w:rPr>
      </w:pPr>
    </w:p>
    <w:p>
      <w:pPr>
        <w:ind w:right="280" w:firstLine="702"/>
        <w:spacing w:after="0" w:line="297" w:lineRule="auto"/>
        <w:rPr>
          <w:sz w:val="20"/>
          <w:szCs w:val="20"/>
          <w:color w:val="auto"/>
        </w:rPr>
      </w:pPr>
      <w:r>
        <w:rPr>
          <w:rFonts w:ascii="Arial" w:cs="Arial" w:eastAsia="Arial" w:hAnsi="Arial"/>
          <w:sz w:val="19"/>
          <w:szCs w:val="19"/>
          <w:b w:val="1"/>
          <w:bCs w:val="1"/>
          <w:i w:val="1"/>
          <w:iCs w:val="1"/>
          <w:color w:val="auto"/>
        </w:rPr>
        <w:t xml:space="preserve">Revenues from Contracts with Customers. </w:t>
      </w:r>
      <w:r>
        <w:rPr>
          <w:rFonts w:ascii="Arial" w:cs="Arial" w:eastAsia="Arial" w:hAnsi="Arial"/>
          <w:sz w:val="19"/>
          <w:szCs w:val="19"/>
          <w:color w:val="auto"/>
        </w:rPr>
        <w:t>The following tables present our revenues from contracts with customers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disaggregated by segment and type of activity (in millions):</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60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529"/>
              <w:spacing w:after="0"/>
              <w:rPr>
                <w:sz w:val="20"/>
                <w:szCs w:val="20"/>
                <w:color w:val="auto"/>
              </w:rPr>
            </w:pPr>
            <w:r>
              <w:rPr>
                <w:rFonts w:ascii="Arial" w:cs="Arial" w:eastAsia="Arial" w:hAnsi="Arial"/>
                <w:sz w:val="16"/>
                <w:szCs w:val="16"/>
                <w:b w:val="1"/>
                <w:bCs w:val="1"/>
                <w:color w:val="auto"/>
                <w:w w:val="89"/>
              </w:rPr>
              <w:t>Year Ended December 31,</w:t>
            </w:r>
          </w:p>
        </w:tc>
        <w:tc>
          <w:tcPr>
            <w:tcW w:w="940" w:type="dxa"/>
            <w:vAlign w:val="bottom"/>
            <w:tcBorders>
              <w:bottom w:val="single" w:sz="8" w:color="auto"/>
            </w:tcBorders>
          </w:tcPr>
          <w:p>
            <w:pPr>
              <w:spacing w:after="0"/>
              <w:rPr>
                <w:sz w:val="18"/>
                <w:szCs w:val="18"/>
                <w:color w:val="auto"/>
              </w:rPr>
            </w:pPr>
          </w:p>
        </w:tc>
      </w:tr>
      <w:tr>
        <w:trPr>
          <w:trHeight w:val="229"/>
        </w:trPr>
        <w:tc>
          <w:tcPr>
            <w:tcW w:w="60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26"/>
              <w:spacing w:after="0"/>
              <w:rPr>
                <w:sz w:val="20"/>
                <w:szCs w:val="20"/>
                <w:color w:val="auto"/>
              </w:rPr>
            </w:pPr>
            <w:r>
              <w:rPr>
                <w:rFonts w:ascii="Arial" w:cs="Arial" w:eastAsia="Arial" w:hAnsi="Arial"/>
                <w:sz w:val="16"/>
                <w:szCs w:val="16"/>
                <w:b w:val="1"/>
                <w:bCs w:val="1"/>
                <w:color w:val="auto"/>
                <w:w w:val="84"/>
              </w:rPr>
              <w:t>2022</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2021</w:t>
            </w:r>
          </w:p>
        </w:tc>
      </w:tr>
      <w:tr>
        <w:trPr>
          <w:trHeight w:val="269"/>
        </w:trPr>
        <w:tc>
          <w:tcPr>
            <w:tcW w:w="6020" w:type="dxa"/>
            <w:vAlign w:val="bottom"/>
          </w:tcPr>
          <w:p>
            <w:pPr>
              <w:spacing w:after="0"/>
              <w:rPr>
                <w:sz w:val="20"/>
                <w:szCs w:val="20"/>
                <w:color w:val="auto"/>
              </w:rPr>
            </w:pPr>
            <w:r>
              <w:rPr>
                <w:rFonts w:ascii="Arial" w:cs="Arial" w:eastAsia="Arial" w:hAnsi="Arial"/>
                <w:sz w:val="19"/>
                <w:szCs w:val="19"/>
                <w:b w:val="1"/>
                <w:bCs w:val="1"/>
                <w:color w:val="auto"/>
              </w:rPr>
              <w:t>Crude Oil segment revenues from contracts with customers</w:t>
            </w: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92"/>
        </w:trPr>
        <w:tc>
          <w:tcPr>
            <w:tcW w:w="6020" w:type="dxa"/>
            <w:vAlign w:val="bottom"/>
          </w:tcPr>
          <w:p>
            <w:pPr>
              <w:ind w:left="120"/>
              <w:spacing w:after="0"/>
              <w:rPr>
                <w:sz w:val="20"/>
                <w:szCs w:val="20"/>
                <w:color w:val="auto"/>
              </w:rPr>
            </w:pPr>
            <w:r>
              <w:rPr>
                <w:rFonts w:ascii="Arial" w:cs="Arial" w:eastAsia="Arial" w:hAnsi="Arial"/>
                <w:sz w:val="19"/>
                <w:szCs w:val="19"/>
                <w:color w:val="auto"/>
              </w:rPr>
              <w:t>Sales</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45,621</w:t>
            </w:r>
          </w:p>
        </w:tc>
        <w:tc>
          <w:tcPr>
            <w:tcW w:w="40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53,822</w:t>
            </w:r>
          </w:p>
        </w:tc>
        <w:tc>
          <w:tcPr>
            <w:tcW w:w="38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39,635</w:t>
            </w:r>
          </w:p>
        </w:tc>
      </w:tr>
      <w:tr>
        <w:trPr>
          <w:trHeight w:val="292"/>
        </w:trPr>
        <w:tc>
          <w:tcPr>
            <w:tcW w:w="6020" w:type="dxa"/>
            <w:vAlign w:val="bottom"/>
          </w:tcPr>
          <w:p>
            <w:pPr>
              <w:ind w:left="120"/>
              <w:spacing w:after="0"/>
              <w:rPr>
                <w:sz w:val="20"/>
                <w:szCs w:val="20"/>
                <w:color w:val="auto"/>
              </w:rPr>
            </w:pPr>
            <w:r>
              <w:rPr>
                <w:rFonts w:ascii="Arial" w:cs="Arial" w:eastAsia="Arial" w:hAnsi="Arial"/>
                <w:sz w:val="19"/>
                <w:szCs w:val="19"/>
                <w:color w:val="auto"/>
              </w:rPr>
              <w:t>Transportation</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1,144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745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484</w:t>
            </w:r>
          </w:p>
        </w:tc>
      </w:tr>
      <w:tr>
        <w:trPr>
          <w:trHeight w:val="296"/>
        </w:trPr>
        <w:tc>
          <w:tcPr>
            <w:tcW w:w="6020" w:type="dxa"/>
            <w:vAlign w:val="bottom"/>
          </w:tcPr>
          <w:p>
            <w:pPr>
              <w:ind w:left="120"/>
              <w:spacing w:after="0"/>
              <w:rPr>
                <w:sz w:val="20"/>
                <w:szCs w:val="20"/>
                <w:color w:val="auto"/>
              </w:rPr>
            </w:pPr>
            <w:r>
              <w:rPr>
                <w:rFonts w:ascii="Arial" w:cs="Arial" w:eastAsia="Arial" w:hAnsi="Arial"/>
                <w:sz w:val="19"/>
                <w:szCs w:val="19"/>
                <w:color w:val="auto"/>
              </w:rPr>
              <w:t>Terminalling, Storage and Other</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381</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431</w:t>
            </w:r>
          </w:p>
        </w:tc>
      </w:tr>
      <w:tr>
        <w:trPr>
          <w:trHeight w:val="253"/>
        </w:trPr>
        <w:tc>
          <w:tcPr>
            <w:tcW w:w="6020" w:type="dxa"/>
            <w:vAlign w:val="bottom"/>
          </w:tcPr>
          <w:p>
            <w:pPr>
              <w:spacing w:after="0"/>
              <w:rPr>
                <w:sz w:val="20"/>
                <w:szCs w:val="20"/>
                <w:color w:val="auto"/>
              </w:rPr>
            </w:pPr>
            <w:r>
              <w:rPr>
                <w:rFonts w:ascii="Arial" w:cs="Arial" w:eastAsia="Arial" w:hAnsi="Arial"/>
                <w:sz w:val="19"/>
                <w:szCs w:val="19"/>
                <w:color w:val="auto"/>
              </w:rPr>
              <w:t>Total Crude Oil segment revenues from contracts with customers</w:t>
            </w:r>
          </w:p>
        </w:tc>
        <w:tc>
          <w:tcPr>
            <w:tcW w:w="32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47,146</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54,929</w:t>
            </w:r>
          </w:p>
        </w:tc>
        <w:tc>
          <w:tcPr>
            <w:tcW w:w="60" w:type="dxa"/>
            <w:vAlign w:val="bottom"/>
          </w:tcPr>
          <w:p>
            <w:pPr>
              <w:spacing w:after="0"/>
              <w:rPr>
                <w:sz w:val="21"/>
                <w:szCs w:val="21"/>
                <w:color w:val="auto"/>
              </w:rPr>
            </w:pP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40,550</w:t>
            </w:r>
          </w:p>
        </w:tc>
      </w:tr>
      <w:tr>
        <w:trPr>
          <w:trHeight w:val="20"/>
        </w:trPr>
        <w:tc>
          <w:tcPr>
            <w:tcW w:w="6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40"/>
        </w:trPr>
        <w:tc>
          <w:tcPr>
            <w:tcW w:w="60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ind w:left="529"/>
              <w:spacing w:after="0"/>
              <w:rPr>
                <w:sz w:val="20"/>
                <w:szCs w:val="20"/>
                <w:color w:val="auto"/>
              </w:rPr>
            </w:pPr>
            <w:r>
              <w:rPr>
                <w:rFonts w:ascii="Arial" w:cs="Arial" w:eastAsia="Arial" w:hAnsi="Arial"/>
                <w:sz w:val="16"/>
                <w:szCs w:val="16"/>
                <w:b w:val="1"/>
                <w:bCs w:val="1"/>
                <w:color w:val="auto"/>
                <w:w w:val="89"/>
              </w:rPr>
              <w:t>Year Ended December 31,</w:t>
            </w:r>
          </w:p>
        </w:tc>
        <w:tc>
          <w:tcPr>
            <w:tcW w:w="940" w:type="dxa"/>
            <w:vAlign w:val="bottom"/>
            <w:tcBorders>
              <w:bottom w:val="single" w:sz="8" w:color="auto"/>
            </w:tcBorders>
          </w:tcPr>
          <w:p>
            <w:pPr>
              <w:spacing w:after="0"/>
              <w:rPr>
                <w:sz w:val="24"/>
                <w:szCs w:val="24"/>
                <w:color w:val="auto"/>
              </w:rPr>
            </w:pPr>
          </w:p>
        </w:tc>
      </w:tr>
      <w:tr>
        <w:trPr>
          <w:trHeight w:val="229"/>
        </w:trPr>
        <w:tc>
          <w:tcPr>
            <w:tcW w:w="60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26"/>
              <w:spacing w:after="0"/>
              <w:rPr>
                <w:sz w:val="20"/>
                <w:szCs w:val="20"/>
                <w:color w:val="auto"/>
              </w:rPr>
            </w:pPr>
            <w:r>
              <w:rPr>
                <w:rFonts w:ascii="Arial" w:cs="Arial" w:eastAsia="Arial" w:hAnsi="Arial"/>
                <w:sz w:val="16"/>
                <w:szCs w:val="16"/>
                <w:b w:val="1"/>
                <w:bCs w:val="1"/>
                <w:color w:val="auto"/>
                <w:w w:val="84"/>
              </w:rPr>
              <w:t>2022</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2021</w:t>
            </w:r>
          </w:p>
        </w:tc>
      </w:tr>
      <w:tr>
        <w:trPr>
          <w:trHeight w:val="269"/>
        </w:trPr>
        <w:tc>
          <w:tcPr>
            <w:tcW w:w="6020" w:type="dxa"/>
            <w:vAlign w:val="bottom"/>
          </w:tcPr>
          <w:p>
            <w:pPr>
              <w:spacing w:after="0"/>
              <w:rPr>
                <w:sz w:val="20"/>
                <w:szCs w:val="20"/>
                <w:color w:val="auto"/>
              </w:rPr>
            </w:pPr>
            <w:r>
              <w:rPr>
                <w:rFonts w:ascii="Arial" w:cs="Arial" w:eastAsia="Arial" w:hAnsi="Arial"/>
                <w:sz w:val="19"/>
                <w:szCs w:val="19"/>
                <w:b w:val="1"/>
                <w:bCs w:val="1"/>
                <w:color w:val="auto"/>
              </w:rPr>
              <w:t>NGL segment revenues from contracts with customers</w:t>
            </w: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92"/>
        </w:trPr>
        <w:tc>
          <w:tcPr>
            <w:tcW w:w="6020" w:type="dxa"/>
            <w:vAlign w:val="bottom"/>
          </w:tcPr>
          <w:p>
            <w:pPr>
              <w:ind w:left="120"/>
              <w:spacing w:after="0"/>
              <w:rPr>
                <w:sz w:val="20"/>
                <w:szCs w:val="20"/>
                <w:color w:val="auto"/>
              </w:rPr>
            </w:pPr>
            <w:r>
              <w:rPr>
                <w:rFonts w:ascii="Arial" w:cs="Arial" w:eastAsia="Arial" w:hAnsi="Arial"/>
                <w:sz w:val="19"/>
                <w:szCs w:val="19"/>
                <w:color w:val="auto"/>
              </w:rPr>
              <w:t>Sales</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1,729</w:t>
            </w:r>
          </w:p>
        </w:tc>
        <w:tc>
          <w:tcPr>
            <w:tcW w:w="40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2,414</w:t>
            </w:r>
          </w:p>
        </w:tc>
        <w:tc>
          <w:tcPr>
            <w:tcW w:w="38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2,292</w:t>
            </w:r>
          </w:p>
        </w:tc>
      </w:tr>
      <w:tr>
        <w:trPr>
          <w:trHeight w:val="292"/>
        </w:trPr>
        <w:tc>
          <w:tcPr>
            <w:tcW w:w="6020" w:type="dxa"/>
            <w:vAlign w:val="bottom"/>
          </w:tcPr>
          <w:p>
            <w:pPr>
              <w:ind w:left="120"/>
              <w:spacing w:after="0"/>
              <w:rPr>
                <w:sz w:val="20"/>
                <w:szCs w:val="20"/>
                <w:color w:val="auto"/>
              </w:rPr>
            </w:pPr>
            <w:r>
              <w:rPr>
                <w:rFonts w:ascii="Arial" w:cs="Arial" w:eastAsia="Arial" w:hAnsi="Arial"/>
                <w:sz w:val="19"/>
                <w:szCs w:val="19"/>
                <w:color w:val="auto"/>
              </w:rPr>
              <w:t>Transportation</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25</w:t>
            </w:r>
          </w:p>
        </w:tc>
      </w:tr>
      <w:tr>
        <w:trPr>
          <w:trHeight w:val="296"/>
        </w:trPr>
        <w:tc>
          <w:tcPr>
            <w:tcW w:w="6020" w:type="dxa"/>
            <w:vAlign w:val="bottom"/>
          </w:tcPr>
          <w:p>
            <w:pPr>
              <w:ind w:left="120"/>
              <w:spacing w:after="0"/>
              <w:rPr>
                <w:sz w:val="20"/>
                <w:szCs w:val="20"/>
                <w:color w:val="auto"/>
              </w:rPr>
            </w:pPr>
            <w:r>
              <w:rPr>
                <w:rFonts w:ascii="Arial" w:cs="Arial" w:eastAsia="Arial" w:hAnsi="Arial"/>
                <w:sz w:val="19"/>
                <w:szCs w:val="19"/>
                <w:color w:val="auto"/>
              </w:rPr>
              <w:t>Terminalling, Storage and Other</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94</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82</w:t>
            </w:r>
          </w:p>
        </w:tc>
      </w:tr>
      <w:tr>
        <w:trPr>
          <w:trHeight w:val="253"/>
        </w:trPr>
        <w:tc>
          <w:tcPr>
            <w:tcW w:w="6020" w:type="dxa"/>
            <w:vAlign w:val="bottom"/>
          </w:tcPr>
          <w:p>
            <w:pPr>
              <w:spacing w:after="0"/>
              <w:rPr>
                <w:sz w:val="20"/>
                <w:szCs w:val="20"/>
                <w:color w:val="auto"/>
              </w:rPr>
            </w:pPr>
            <w:r>
              <w:rPr>
                <w:rFonts w:ascii="Arial" w:cs="Arial" w:eastAsia="Arial" w:hAnsi="Arial"/>
                <w:sz w:val="19"/>
                <w:szCs w:val="19"/>
                <w:color w:val="auto"/>
              </w:rPr>
              <w:t>Total NGL segment revenues from contracts with customers</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1,853</w:t>
            </w:r>
          </w:p>
        </w:tc>
        <w:tc>
          <w:tcPr>
            <w:tcW w:w="40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2,544</w:t>
            </w:r>
          </w:p>
        </w:tc>
        <w:tc>
          <w:tcPr>
            <w:tcW w:w="38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2,399</w:t>
            </w:r>
          </w:p>
        </w:tc>
      </w:tr>
      <w:tr>
        <w:trPr>
          <w:trHeight w:val="20"/>
        </w:trPr>
        <w:tc>
          <w:tcPr>
            <w:tcW w:w="6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-2414270</wp:posOffset>
            </wp:positionV>
            <wp:extent cx="6367145" cy="9664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9">
                      <a:extLst>
                        <a:ext uri="{28A0092B-C50C-407E-A947-70E740481C1C}"/>
                      </a:extLst>
                    </a:blip>
                    <a:srcRect/>
                    <a:stretch>
                      <a:fillRect/>
                    </a:stretch>
                  </pic:blipFill>
                  <pic:spPr bwMode="auto">
                    <a:xfrm>
                      <a:off x="0" y="0"/>
                      <a:ext cx="6367145" cy="9664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-959485</wp:posOffset>
            </wp:positionV>
            <wp:extent cx="6367145" cy="9664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0">
                      <a:extLst>
                        <a:ext uri="{28A0092B-C50C-407E-A947-70E740481C1C}"/>
                      </a:extLst>
                    </a:blip>
                    <a:srcRect/>
                    <a:stretch>
                      <a:fillRect/>
                    </a:stretch>
                  </pic:blipFill>
                  <pic:spPr bwMode="auto">
                    <a:xfrm>
                      <a:off x="0" y="0"/>
                      <a:ext cx="6367145" cy="966470"/>
                    </a:xfrm>
                    <a:prstGeom prst="rect">
                      <a:avLst/>
                    </a:prstGeom>
                    <a:noFill/>
                  </pic:spPr>
                </pic:pic>
              </a:graphicData>
            </a:graphic>
          </wp:anchor>
        </w:drawing>
      </w:r>
    </w:p>
    <w:p>
      <w:pPr>
        <w:spacing w:after="0" w:line="220" w:lineRule="exact"/>
        <w:rPr>
          <w:sz w:val="20"/>
          <w:szCs w:val="20"/>
          <w:color w:val="auto"/>
        </w:rPr>
      </w:pPr>
    </w:p>
    <w:p>
      <w:pPr>
        <w:ind w:right="40" w:firstLine="702"/>
        <w:spacing w:after="0" w:line="270" w:lineRule="auto"/>
        <w:rPr>
          <w:sz w:val="20"/>
          <w:szCs w:val="20"/>
          <w:color w:val="auto"/>
        </w:rPr>
      </w:pPr>
      <w:r>
        <w:rPr>
          <w:rFonts w:ascii="Arial" w:cs="Arial" w:eastAsia="Arial" w:hAnsi="Arial"/>
          <w:sz w:val="19"/>
          <w:szCs w:val="19"/>
          <w:b w:val="1"/>
          <w:bCs w:val="1"/>
          <w:i w:val="1"/>
          <w:iCs w:val="1"/>
          <w:color w:val="auto"/>
        </w:rPr>
        <w:t xml:space="preserve">Sales Revenues. </w:t>
      </w:r>
      <w:r>
        <w:rPr>
          <w:rFonts w:ascii="Arial" w:cs="Arial" w:eastAsia="Arial" w:hAnsi="Arial"/>
          <w:sz w:val="19"/>
          <w:szCs w:val="19"/>
          <w:color w:val="auto"/>
        </w:rPr>
        <w:t>Revenues from sales of crude oil and NGL are recognized at the time title to the product sold transfers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the purchaser, which occurs upon delivery of the product to the purchaser or its designee. The consideration received under these contracts is variable based on commodity prices. Inventory exchanges under buy/sell transactions are excluded from sales revenues in our Consolidated Statements of Operations.</w:t>
      </w:r>
    </w:p>
    <w:p>
      <w:pPr>
        <w:spacing w:after="0" w:line="187" w:lineRule="exact"/>
        <w:rPr>
          <w:sz w:val="20"/>
          <w:szCs w:val="20"/>
          <w:color w:val="auto"/>
        </w:rPr>
      </w:pPr>
    </w:p>
    <w:p>
      <w:pPr>
        <w:ind w:right="60" w:firstLine="702"/>
        <w:spacing w:after="0" w:line="265" w:lineRule="auto"/>
        <w:rPr>
          <w:sz w:val="20"/>
          <w:szCs w:val="20"/>
          <w:color w:val="auto"/>
        </w:rPr>
      </w:pPr>
      <w:r>
        <w:rPr>
          <w:rFonts w:ascii="Arial" w:cs="Arial" w:eastAsia="Arial" w:hAnsi="Arial"/>
          <w:sz w:val="19"/>
          <w:szCs w:val="19"/>
          <w:b w:val="1"/>
          <w:bCs w:val="1"/>
          <w:i w:val="1"/>
          <w:iCs w:val="1"/>
          <w:color w:val="auto"/>
        </w:rPr>
        <w:t xml:space="preserve">Transportation Revenues. </w:t>
      </w:r>
      <w:r>
        <w:rPr>
          <w:rFonts w:ascii="Arial" w:cs="Arial" w:eastAsia="Arial" w:hAnsi="Arial"/>
          <w:sz w:val="19"/>
          <w:szCs w:val="19"/>
          <w:color w:val="auto"/>
        </w:rPr>
        <w:t>Transportation revenues include revenues from transporting crude oil and NGL on pipelines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trucks. Revenues from pipeline tariffs and fees are associated with 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190" w:lineRule="exact"/>
        <w:rPr>
          <w:sz w:val="20"/>
          <w:szCs w:val="20"/>
          <w:color w:val="auto"/>
        </w:rPr>
      </w:pPr>
    </w:p>
    <w:p>
      <w:pPr>
        <w:ind w:right="80" w:firstLine="702"/>
        <w:spacing w:after="0" w:line="276" w:lineRule="auto"/>
        <w:rPr>
          <w:sz w:val="20"/>
          <w:szCs w:val="20"/>
          <w:color w:val="auto"/>
        </w:rPr>
      </w:pPr>
      <w:r>
        <w:rPr>
          <w:rFonts w:ascii="Arial" w:cs="Arial" w:eastAsia="Arial" w:hAnsi="Arial"/>
          <w:sz w:val="18"/>
          <w:szCs w:val="18"/>
          <w:b w:val="1"/>
          <w:bCs w:val="1"/>
          <w:i w:val="1"/>
          <w:iCs w:val="1"/>
          <w:color w:val="auto"/>
        </w:rPr>
        <w:t xml:space="preserve">Terminalling, Storage and Other Revenues. </w:t>
      </w:r>
      <w:r>
        <w:rPr>
          <w:rFonts w:ascii="Arial" w:cs="Arial" w:eastAsia="Arial" w:hAnsi="Arial"/>
          <w:sz w:val="18"/>
          <w:szCs w:val="18"/>
          <w:color w:val="auto"/>
        </w:rPr>
        <w:t>Revenues in this category include (i) fees that are generated when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liquids from one connecting source and deliver the applicable product to another connecting carrier, (ii) fees from storage capacity agreements, (iii) fees from loading and unloading services at our terminals and (iv) fees from natural gas and condensate processing services and from NGL fractionation and isomerization service. 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loading/unloading fees) are recognized as the liquids enter or exit the terminal and are received from or delivered to the connecting carrier or third-party terminal, as applicable. We recognize loading and unloading fees when the volumes are delivered or received. Natural gas storage related activities fees were recognized in the period the natural gas moved across our header system. Fees from NGL fractionation and isomerization services and gas processing services are recognized in the period when the services are performed.</w:t>
      </w:r>
    </w:p>
    <w:p>
      <w:pPr>
        <w:sectPr>
          <w:pgSz w:w="11880" w:h="15480" w:orient="portrait"/>
          <w:cols w:equalWidth="0" w:num="1">
            <w:col w:w="10000"/>
          </w:cols>
          <w:pgMar w:left="940" w:top="43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880" w:h="15480" w:orient="portrait"/>
          <w:cols w:equalWidth="0" w:num="1">
            <w:col w:w="10000"/>
          </w:cols>
          <w:pgMar w:left="940" w:top="431" w:right="940" w:bottom="0"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right="60" w:firstLine="702"/>
        <w:spacing w:after="0" w:line="267" w:lineRule="auto"/>
        <w:rPr>
          <w:sz w:val="20"/>
          <w:szCs w:val="20"/>
          <w:color w:val="auto"/>
        </w:rPr>
      </w:pPr>
      <w:r>
        <w:rPr>
          <w:rFonts w:ascii="Arial" w:cs="Arial" w:eastAsia="Arial" w:hAnsi="Arial"/>
          <w:sz w:val="19"/>
          <w:szCs w:val="19"/>
          <w:b w:val="1"/>
          <w:bCs w:val="1"/>
          <w:i w:val="1"/>
          <w:iCs w:val="1"/>
          <w:color w:val="auto"/>
        </w:rPr>
        <w:t xml:space="preserve">Reconciliation to Total Revenues of Reportable Segments. </w:t>
      </w:r>
      <w:r>
        <w:rPr>
          <w:rFonts w:ascii="Arial" w:cs="Arial" w:eastAsia="Arial" w:hAnsi="Arial"/>
          <w:sz w:val="19"/>
          <w:szCs w:val="19"/>
          <w:color w:val="auto"/>
        </w:rPr>
        <w:t>The following disclosures only include information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regarding revenues associated with consolidated entities; revenues from entities accounted for by the equity method are not included. The following tables present the reconciliation of our revenues from contracts with customers (as described above for each segment) to total revenues of reportable segments and total revenues as disclosed in our Consolidated Statements of Operations (in millions):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 Ended December 31, 2023</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07"/>
              <w:spacing w:after="0"/>
              <w:rPr>
                <w:sz w:val="20"/>
                <w:szCs w:val="20"/>
                <w:color w:val="auto"/>
              </w:rPr>
            </w:pPr>
            <w:r>
              <w:rPr>
                <w:rFonts w:ascii="Arial" w:cs="Arial" w:eastAsia="Arial" w:hAnsi="Arial"/>
                <w:sz w:val="16"/>
                <w:szCs w:val="16"/>
                <w:b w:val="1"/>
                <w:bCs w:val="1"/>
                <w:color w:val="auto"/>
                <w:w w:val="97"/>
              </w:rPr>
              <w:t>Crude Oil</w:t>
            </w:r>
          </w:p>
        </w:tc>
        <w:tc>
          <w:tcPr>
            <w:tcW w:w="60" w:type="dxa"/>
            <w:vAlign w:val="bottom"/>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NGL</w:t>
            </w:r>
          </w:p>
        </w:tc>
        <w:tc>
          <w:tcPr>
            <w:tcW w:w="60" w:type="dxa"/>
            <w:vAlign w:val="bottom"/>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6"/>
              <w:spacing w:after="0"/>
              <w:rPr>
                <w:sz w:val="20"/>
                <w:szCs w:val="20"/>
                <w:color w:val="auto"/>
              </w:rPr>
            </w:pPr>
            <w:r>
              <w:rPr>
                <w:rFonts w:ascii="Arial" w:cs="Arial" w:eastAsia="Arial" w:hAnsi="Arial"/>
                <w:sz w:val="16"/>
                <w:szCs w:val="16"/>
                <w:b w:val="1"/>
                <w:bCs w:val="1"/>
                <w:color w:val="auto"/>
              </w:rPr>
              <w:t>Total</w:t>
            </w:r>
          </w:p>
        </w:tc>
      </w:tr>
      <w:tr>
        <w:trPr>
          <w:trHeight w:val="269"/>
        </w:trPr>
        <w:tc>
          <w:tcPr>
            <w:tcW w:w="6000" w:type="dxa"/>
            <w:vAlign w:val="bottom"/>
          </w:tcPr>
          <w:p>
            <w:pPr>
              <w:ind w:left="60"/>
              <w:spacing w:after="0"/>
              <w:rPr>
                <w:sz w:val="20"/>
                <w:szCs w:val="20"/>
                <w:color w:val="auto"/>
              </w:rPr>
            </w:pPr>
            <w:r>
              <w:rPr>
                <w:rFonts w:ascii="Arial" w:cs="Arial" w:eastAsia="Arial" w:hAnsi="Arial"/>
                <w:sz w:val="19"/>
                <w:szCs w:val="19"/>
                <w:color w:val="auto"/>
              </w:rPr>
              <w:t>Revenues from contracts with customers</w:t>
            </w:r>
          </w:p>
        </w:tc>
        <w:tc>
          <w:tcPr>
            <w:tcW w:w="30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47,146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1,853</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48,999</w:t>
            </w:r>
          </w:p>
        </w:tc>
      </w:tr>
      <w:tr>
        <w:trPr>
          <w:trHeight w:val="296"/>
        </w:trPr>
        <w:tc>
          <w:tcPr>
            <w:tcW w:w="6000" w:type="dxa"/>
            <w:vAlign w:val="bottom"/>
          </w:tcPr>
          <w:p>
            <w:pPr>
              <w:ind w:left="60"/>
              <w:spacing w:after="0"/>
              <w:rPr>
                <w:sz w:val="20"/>
                <w:szCs w:val="20"/>
                <w:color w:val="auto"/>
              </w:rPr>
            </w:pPr>
            <w:r>
              <w:rPr>
                <w:rFonts w:ascii="Arial" w:cs="Arial" w:eastAsia="Arial" w:hAnsi="Arial"/>
                <w:sz w:val="19"/>
                <w:szCs w:val="19"/>
                <w:color w:val="auto"/>
              </w:rPr>
              <w:t>Other revenues</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110</w:t>
            </w:r>
          </w:p>
        </w:tc>
      </w:tr>
      <w:tr>
        <w:trPr>
          <w:trHeight w:val="272"/>
        </w:trPr>
        <w:tc>
          <w:tcPr>
            <w:tcW w:w="6000" w:type="dxa"/>
            <w:vAlign w:val="bottom"/>
          </w:tcPr>
          <w:p>
            <w:pPr>
              <w:ind w:left="160"/>
              <w:spacing w:after="0"/>
              <w:rPr>
                <w:sz w:val="20"/>
                <w:szCs w:val="20"/>
                <w:color w:val="auto"/>
              </w:rPr>
            </w:pPr>
            <w:r>
              <w:rPr>
                <w:rFonts w:ascii="Arial" w:cs="Arial" w:eastAsia="Arial" w:hAnsi="Arial"/>
                <w:sz w:val="19"/>
                <w:szCs w:val="19"/>
                <w:color w:val="auto"/>
              </w:rPr>
              <w:t>Total revenues of reportable segments</w:t>
            </w:r>
          </w:p>
        </w:tc>
        <w:tc>
          <w:tcPr>
            <w:tcW w:w="30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47,174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1,935</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49,109</w:t>
            </w:r>
          </w:p>
        </w:tc>
      </w:tr>
      <w:tr>
        <w:trPr>
          <w:trHeight w:val="272"/>
        </w:trPr>
        <w:tc>
          <w:tcPr>
            <w:tcW w:w="6000" w:type="dxa"/>
            <w:vAlign w:val="bottom"/>
          </w:tcPr>
          <w:p>
            <w:pPr>
              <w:ind w:left="60"/>
              <w:spacing w:after="0"/>
              <w:rPr>
                <w:sz w:val="20"/>
                <w:szCs w:val="20"/>
                <w:color w:val="auto"/>
              </w:rPr>
            </w:pPr>
            <w:r>
              <w:rPr>
                <w:rFonts w:ascii="Arial" w:cs="Arial" w:eastAsia="Arial" w:hAnsi="Arial"/>
                <w:sz w:val="19"/>
                <w:szCs w:val="19"/>
                <w:color w:val="auto"/>
              </w:rPr>
              <w:t>Intersegment revenues elimination</w:t>
            </w:r>
          </w:p>
        </w:tc>
        <w:tc>
          <w:tcPr>
            <w:tcW w:w="6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Borders>
              <w:top w:val="single" w:sz="8" w:color="auto"/>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(397)</w:t>
            </w:r>
          </w:p>
        </w:tc>
      </w:tr>
      <w:tr>
        <w:trPr>
          <w:trHeight w:val="253"/>
        </w:trPr>
        <w:tc>
          <w:tcPr>
            <w:tcW w:w="6000" w:type="dxa"/>
            <w:vAlign w:val="bottom"/>
          </w:tcPr>
          <w:p>
            <w:pPr>
              <w:ind w:left="160"/>
              <w:spacing w:after="0"/>
              <w:rPr>
                <w:sz w:val="20"/>
                <w:szCs w:val="20"/>
                <w:color w:val="auto"/>
              </w:rPr>
            </w:pPr>
            <w:r>
              <w:rPr>
                <w:rFonts w:ascii="Arial" w:cs="Arial" w:eastAsia="Arial" w:hAnsi="Arial"/>
                <w:sz w:val="19"/>
                <w:szCs w:val="19"/>
                <w:color w:val="auto"/>
              </w:rPr>
              <w:t>Total revenues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48,712</w:t>
            </w:r>
          </w:p>
        </w:tc>
      </w:tr>
      <w:tr>
        <w:trPr>
          <w:trHeight w:val="20"/>
        </w:trPr>
        <w:tc>
          <w:tcPr>
            <w:tcW w:w="6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86"/>
        </w:trPr>
        <w:tc>
          <w:tcPr>
            <w:tcW w:w="60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 Ended December 31, 2022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Crude Oil</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NGL</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6"/>
              <w:spacing w:after="0"/>
              <w:rPr>
                <w:sz w:val="20"/>
                <w:szCs w:val="20"/>
                <w:color w:val="auto"/>
              </w:rPr>
            </w:pPr>
            <w:r>
              <w:rPr>
                <w:rFonts w:ascii="Arial" w:cs="Arial" w:eastAsia="Arial" w:hAnsi="Arial"/>
                <w:sz w:val="16"/>
                <w:szCs w:val="16"/>
                <w:b w:val="1"/>
                <w:bCs w:val="1"/>
                <w:color w:val="auto"/>
              </w:rPr>
              <w:t>Total</w:t>
            </w:r>
          </w:p>
        </w:tc>
      </w:tr>
      <w:tr>
        <w:trPr>
          <w:trHeight w:val="269"/>
        </w:trPr>
        <w:tc>
          <w:tcPr>
            <w:tcW w:w="6000" w:type="dxa"/>
            <w:vAlign w:val="bottom"/>
          </w:tcPr>
          <w:p>
            <w:pPr>
              <w:ind w:left="60"/>
              <w:spacing w:after="0"/>
              <w:rPr>
                <w:sz w:val="20"/>
                <w:szCs w:val="20"/>
                <w:color w:val="auto"/>
              </w:rPr>
            </w:pPr>
            <w:r>
              <w:rPr>
                <w:rFonts w:ascii="Arial" w:cs="Arial" w:eastAsia="Arial" w:hAnsi="Arial"/>
                <w:sz w:val="19"/>
                <w:szCs w:val="19"/>
                <w:color w:val="auto"/>
              </w:rPr>
              <w:t>Revenues from contracts with customers</w:t>
            </w:r>
          </w:p>
        </w:tc>
        <w:tc>
          <w:tcPr>
            <w:tcW w:w="300" w:type="dxa"/>
            <w:vAlign w:val="bottom"/>
            <w:gridSpan w:val="3"/>
          </w:tcPr>
          <w:p>
            <w:pPr>
              <w:jc w:val="right"/>
              <w:ind w:right="6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54,929</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2,544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57,473</w:t>
            </w:r>
          </w:p>
        </w:tc>
      </w:tr>
      <w:tr>
        <w:trPr>
          <w:trHeight w:val="296"/>
        </w:trPr>
        <w:tc>
          <w:tcPr>
            <w:tcW w:w="6000" w:type="dxa"/>
            <w:vAlign w:val="bottom"/>
          </w:tcPr>
          <w:p>
            <w:pPr>
              <w:ind w:left="60"/>
              <w:spacing w:after="0"/>
              <w:rPr>
                <w:sz w:val="20"/>
                <w:szCs w:val="20"/>
                <w:color w:val="auto"/>
              </w:rPr>
            </w:pPr>
            <w:r>
              <w:rPr>
                <w:rFonts w:ascii="Arial" w:cs="Arial" w:eastAsia="Arial" w:hAnsi="Arial"/>
                <w:sz w:val="19"/>
                <w:szCs w:val="19"/>
                <w:color w:val="auto"/>
              </w:rPr>
              <w:t>Other revenues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151</w:t>
            </w: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217</w:t>
            </w: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368</w:t>
            </w:r>
          </w:p>
        </w:tc>
      </w:tr>
      <w:tr>
        <w:trPr>
          <w:trHeight w:val="272"/>
        </w:trPr>
        <w:tc>
          <w:tcPr>
            <w:tcW w:w="6000" w:type="dxa"/>
            <w:vAlign w:val="bottom"/>
          </w:tcPr>
          <w:p>
            <w:pPr>
              <w:ind w:left="180"/>
              <w:spacing w:after="0"/>
              <w:rPr>
                <w:sz w:val="20"/>
                <w:szCs w:val="20"/>
                <w:color w:val="auto"/>
              </w:rPr>
            </w:pPr>
            <w:r>
              <w:rPr>
                <w:rFonts w:ascii="Arial" w:cs="Arial" w:eastAsia="Arial" w:hAnsi="Arial"/>
                <w:sz w:val="19"/>
                <w:szCs w:val="19"/>
                <w:color w:val="auto"/>
              </w:rPr>
              <w:t>Total revenues of reportable segments</w:t>
            </w:r>
          </w:p>
        </w:tc>
        <w:tc>
          <w:tcPr>
            <w:tcW w:w="300" w:type="dxa"/>
            <w:vAlign w:val="bottom"/>
            <w:gridSpan w:val="3"/>
          </w:tcPr>
          <w:p>
            <w:pPr>
              <w:jc w:val="right"/>
              <w:ind w:right="6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55,080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2,761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57,841</w:t>
            </w:r>
          </w:p>
        </w:tc>
      </w:tr>
      <w:tr>
        <w:trPr>
          <w:trHeight w:val="272"/>
        </w:trPr>
        <w:tc>
          <w:tcPr>
            <w:tcW w:w="6000" w:type="dxa"/>
            <w:vAlign w:val="bottom"/>
          </w:tcPr>
          <w:p>
            <w:pPr>
              <w:ind w:left="60"/>
              <w:spacing w:after="0"/>
              <w:rPr>
                <w:sz w:val="20"/>
                <w:szCs w:val="20"/>
                <w:color w:val="auto"/>
              </w:rPr>
            </w:pPr>
            <w:r>
              <w:rPr>
                <w:rFonts w:ascii="Arial" w:cs="Arial" w:eastAsia="Arial" w:hAnsi="Arial"/>
                <w:sz w:val="19"/>
                <w:szCs w:val="19"/>
                <w:color w:val="auto"/>
              </w:rPr>
              <w:t>Intersegment revenues elimination</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(499)</w:t>
            </w:r>
          </w:p>
        </w:tc>
      </w:tr>
      <w:tr>
        <w:trPr>
          <w:trHeight w:val="253"/>
        </w:trPr>
        <w:tc>
          <w:tcPr>
            <w:tcW w:w="6000" w:type="dxa"/>
            <w:vAlign w:val="bottom"/>
          </w:tcPr>
          <w:p>
            <w:pPr>
              <w:ind w:left="180"/>
              <w:spacing w:after="0"/>
              <w:rPr>
                <w:sz w:val="20"/>
                <w:szCs w:val="20"/>
                <w:color w:val="auto"/>
              </w:rPr>
            </w:pPr>
            <w:r>
              <w:rPr>
                <w:rFonts w:ascii="Arial" w:cs="Arial" w:eastAsia="Arial" w:hAnsi="Arial"/>
                <w:sz w:val="19"/>
                <w:szCs w:val="19"/>
                <w:color w:val="auto"/>
              </w:rPr>
              <w:t>Total revenues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57,342</w:t>
            </w:r>
          </w:p>
        </w:tc>
      </w:tr>
      <w:tr>
        <w:trPr>
          <w:trHeight w:val="20"/>
        </w:trPr>
        <w:tc>
          <w:tcPr>
            <w:tcW w:w="6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700"/>
        </w:trPr>
        <w:tc>
          <w:tcPr>
            <w:tcW w:w="60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 Ended December 31, 2021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Crude Oil</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NGL</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6"/>
              <w:spacing w:after="0"/>
              <w:rPr>
                <w:sz w:val="20"/>
                <w:szCs w:val="20"/>
                <w:color w:val="auto"/>
              </w:rPr>
            </w:pPr>
            <w:r>
              <w:rPr>
                <w:rFonts w:ascii="Arial" w:cs="Arial" w:eastAsia="Arial" w:hAnsi="Arial"/>
                <w:sz w:val="16"/>
                <w:szCs w:val="16"/>
                <w:b w:val="1"/>
                <w:bCs w:val="1"/>
                <w:color w:val="auto"/>
              </w:rPr>
              <w:t>Total</w:t>
            </w:r>
          </w:p>
        </w:tc>
      </w:tr>
      <w:tr>
        <w:trPr>
          <w:trHeight w:val="284"/>
        </w:trPr>
        <w:tc>
          <w:tcPr>
            <w:tcW w:w="6000" w:type="dxa"/>
            <w:vAlign w:val="bottom"/>
          </w:tcPr>
          <w:p>
            <w:pPr>
              <w:ind w:left="60"/>
              <w:spacing w:after="0"/>
              <w:rPr>
                <w:sz w:val="20"/>
                <w:szCs w:val="20"/>
                <w:color w:val="auto"/>
              </w:rPr>
            </w:pPr>
            <w:r>
              <w:rPr>
                <w:rFonts w:ascii="Arial" w:cs="Arial" w:eastAsia="Arial" w:hAnsi="Arial"/>
                <w:sz w:val="19"/>
                <w:szCs w:val="19"/>
                <w:color w:val="auto"/>
              </w:rPr>
              <w:t>Revenues from contracts with customers</w:t>
            </w:r>
          </w:p>
        </w:tc>
        <w:tc>
          <w:tcPr>
            <w:tcW w:w="300" w:type="dxa"/>
            <w:vAlign w:val="bottom"/>
            <w:gridSpan w:val="3"/>
          </w:tcPr>
          <w:p>
            <w:pPr>
              <w:jc w:val="right"/>
              <w:ind w:right="6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40,550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2,399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42,949</w:t>
            </w:r>
          </w:p>
        </w:tc>
      </w:tr>
      <w:tr>
        <w:trPr>
          <w:trHeight w:val="310"/>
        </w:trPr>
        <w:tc>
          <w:tcPr>
            <w:tcW w:w="6000" w:type="dxa"/>
            <w:vAlign w:val="bottom"/>
          </w:tcPr>
          <w:p>
            <w:pPr>
              <w:ind w:left="60"/>
              <w:spacing w:after="0"/>
              <w:rPr>
                <w:sz w:val="20"/>
                <w:szCs w:val="20"/>
                <w:color w:val="auto"/>
              </w:rPr>
            </w:pPr>
            <w:r>
              <w:rPr>
                <w:rFonts w:ascii="Arial" w:cs="Arial" w:eastAsia="Arial" w:hAnsi="Arial"/>
                <w:sz w:val="19"/>
                <w:szCs w:val="19"/>
                <w:color w:val="auto"/>
              </w:rPr>
              <w:t>Other revenues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(80)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(431)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(511)</w:t>
            </w:r>
          </w:p>
        </w:tc>
      </w:tr>
      <w:tr>
        <w:trPr>
          <w:trHeight w:val="287"/>
        </w:trPr>
        <w:tc>
          <w:tcPr>
            <w:tcW w:w="6000" w:type="dxa"/>
            <w:vAlign w:val="bottom"/>
          </w:tcPr>
          <w:p>
            <w:pPr>
              <w:ind w:left="180"/>
              <w:spacing w:after="0"/>
              <w:rPr>
                <w:sz w:val="20"/>
                <w:szCs w:val="20"/>
                <w:color w:val="auto"/>
              </w:rPr>
            </w:pPr>
            <w:r>
              <w:rPr>
                <w:rFonts w:ascii="Arial" w:cs="Arial" w:eastAsia="Arial" w:hAnsi="Arial"/>
                <w:sz w:val="19"/>
                <w:szCs w:val="19"/>
                <w:color w:val="auto"/>
              </w:rPr>
              <w:t>Total revenues of reportable segments</w:t>
            </w:r>
          </w:p>
        </w:tc>
        <w:tc>
          <w:tcPr>
            <w:tcW w:w="300" w:type="dxa"/>
            <w:vAlign w:val="bottom"/>
            <w:gridSpan w:val="3"/>
          </w:tcPr>
          <w:p>
            <w:pPr>
              <w:jc w:val="right"/>
              <w:ind w:right="6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40,470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1,968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42,438</w:t>
            </w:r>
          </w:p>
        </w:tc>
      </w:tr>
      <w:tr>
        <w:trPr>
          <w:trHeight w:val="287"/>
        </w:trPr>
        <w:tc>
          <w:tcPr>
            <w:tcW w:w="6000" w:type="dxa"/>
            <w:vAlign w:val="bottom"/>
          </w:tcPr>
          <w:p>
            <w:pPr>
              <w:ind w:left="60"/>
              <w:spacing w:after="0"/>
              <w:rPr>
                <w:sz w:val="20"/>
                <w:szCs w:val="20"/>
                <w:color w:val="auto"/>
              </w:rPr>
            </w:pPr>
            <w:r>
              <w:rPr>
                <w:rFonts w:ascii="Arial" w:cs="Arial" w:eastAsia="Arial" w:hAnsi="Arial"/>
                <w:sz w:val="19"/>
                <w:szCs w:val="19"/>
                <w:color w:val="auto"/>
              </w:rPr>
              <w:t>Intersegment revenues elimination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(360)</w:t>
            </w:r>
          </w:p>
        </w:tc>
      </w:tr>
      <w:tr>
        <w:trPr>
          <w:trHeight w:val="268"/>
        </w:trPr>
        <w:tc>
          <w:tcPr>
            <w:tcW w:w="6000" w:type="dxa"/>
            <w:vAlign w:val="bottom"/>
          </w:tcPr>
          <w:p>
            <w:pPr>
              <w:ind w:left="180"/>
              <w:spacing w:after="0"/>
              <w:rPr>
                <w:sz w:val="20"/>
                <w:szCs w:val="20"/>
                <w:color w:val="auto"/>
              </w:rPr>
            </w:pPr>
            <w:r>
              <w:rPr>
                <w:rFonts w:ascii="Arial" w:cs="Arial" w:eastAsia="Arial" w:hAnsi="Arial"/>
                <w:sz w:val="19"/>
                <w:szCs w:val="19"/>
                <w:color w:val="auto"/>
              </w:rPr>
              <w:t>Total revenues</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42,078</w:t>
            </w:r>
          </w:p>
        </w:tc>
      </w:tr>
      <w:tr>
        <w:trPr>
          <w:trHeight w:val="20"/>
        </w:trPr>
        <w:tc>
          <w:tcPr>
            <w:tcW w:w="6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-3794760</wp:posOffset>
            </wp:positionV>
            <wp:extent cx="6376670" cy="9664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1">
                      <a:extLst>
                        <a:ext uri="{28A0092B-C50C-407E-A947-70E740481C1C}"/>
                      </a:extLst>
                    </a:blip>
                    <a:srcRect/>
                    <a:stretch>
                      <a:fillRect/>
                    </a:stretch>
                  </pic:blipFill>
                  <pic:spPr bwMode="auto">
                    <a:xfrm>
                      <a:off x="0" y="0"/>
                      <a:ext cx="6376670" cy="96647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-2404745</wp:posOffset>
            </wp:positionV>
            <wp:extent cx="6376670" cy="9664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2">
                      <a:extLst>
                        <a:ext uri="{28A0092B-C50C-407E-A947-70E740481C1C}"/>
                      </a:extLst>
                    </a:blip>
                    <a:srcRect/>
                    <a:stretch>
                      <a:fillRect/>
                    </a:stretch>
                  </pic:blipFill>
                  <pic:spPr bwMode="auto">
                    <a:xfrm>
                      <a:off x="0" y="0"/>
                      <a:ext cx="6376670" cy="96647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-1005840</wp:posOffset>
            </wp:positionV>
            <wp:extent cx="6376670" cy="10128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3">
                      <a:extLst>
                        <a:ext uri="{28A0092B-C50C-407E-A947-70E740481C1C}"/>
                      </a:extLst>
                    </a:blip>
                    <a:srcRect/>
                    <a:stretch>
                      <a:fillRect/>
                    </a:stretch>
                  </pic:blipFill>
                  <pic:spPr bwMode="auto">
                    <a:xfrm>
                      <a:off x="0" y="0"/>
                      <a:ext cx="6376670" cy="1012825"/>
                    </a:xfrm>
                    <a:prstGeom prst="rect">
                      <a:avLst/>
                    </a:prstGeom>
                    <a:noFill/>
                  </pic:spPr>
                </pic:pic>
              </a:graphicData>
            </a:graphic>
          </wp:anchor>
        </w:drawing>
      </w:r>
    </w:p>
    <w:p>
      <w:pPr>
        <w:spacing w:after="0" w:line="220" w:lineRule="exact"/>
        <w:rPr>
          <w:sz w:val="20"/>
          <w:szCs w:val="20"/>
          <w:color w:val="auto"/>
        </w:rPr>
      </w:pPr>
    </w:p>
    <w:p>
      <w:pPr>
        <w:ind w:right="80" w:firstLine="702"/>
        <w:spacing w:after="0" w:line="262" w:lineRule="auto"/>
        <w:rPr>
          <w:sz w:val="20"/>
          <w:szCs w:val="20"/>
          <w:color w:val="auto"/>
        </w:rPr>
      </w:pPr>
      <w:r>
        <w:rPr>
          <w:rFonts w:ascii="Arial" w:cs="Arial" w:eastAsia="Arial" w:hAnsi="Arial"/>
          <w:sz w:val="19"/>
          <w:szCs w:val="19"/>
          <w:b w:val="1"/>
          <w:bCs w:val="1"/>
          <w:i w:val="1"/>
          <w:iCs w:val="1"/>
          <w:color w:val="auto"/>
        </w:rPr>
        <w:t xml:space="preserve">Minimum Volume Commitments. </w:t>
      </w:r>
      <w:r>
        <w:rPr>
          <w:rFonts w:ascii="Arial" w:cs="Arial" w:eastAsia="Arial" w:hAnsi="Arial"/>
          <w:sz w:val="19"/>
          <w:szCs w:val="19"/>
          <w:color w:val="auto"/>
        </w:rPr>
        <w:t>We have certain agreements that require counterparties to transport or throughput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minimum volume over an 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sectPr>
          <w:pgSz w:w="11880" w:h="15480" w:orient="portrait"/>
          <w:cols w:equalWidth="0" w:num="1">
            <w:col w:w="10000"/>
          </w:cols>
          <w:pgMar w:left="940" w:top="43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1880" w:h="15480" w:orient="portrait"/>
          <w:cols w:equalWidth="0" w:num="1">
            <w:col w:w="10000"/>
          </w:cols>
          <w:pgMar w:left="940" w:top="431" w:right="940" w:bottom="0"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left="1" w:right="640" w:firstLine="702"/>
        <w:spacing w:after="0" w:line="276" w:lineRule="auto"/>
        <w:rPr>
          <w:sz w:val="20"/>
          <w:szCs w:val="20"/>
          <w:color w:val="auto"/>
        </w:rPr>
      </w:pPr>
      <w:r>
        <w:rPr>
          <w:rFonts w:ascii="Arial" w:cs="Arial" w:eastAsia="Arial" w:hAnsi="Arial"/>
          <w:sz w:val="19"/>
          <w:szCs w:val="19"/>
          <w:color w:val="auto"/>
        </w:rPr>
        <w:t>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328"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3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88"/>
              </w:rPr>
              <w:t>December 31,</w:t>
            </w:r>
          </w:p>
        </w:tc>
        <w:tc>
          <w:tcPr>
            <w:tcW w:w="820" w:type="dxa"/>
            <w:vAlign w:val="bottom"/>
            <w:tcBorders>
              <w:bottom w:val="single" w:sz="8" w:color="auto"/>
            </w:tcBorders>
          </w:tcPr>
          <w:p>
            <w:pPr>
              <w:spacing w:after="0"/>
              <w:rPr>
                <w:sz w:val="18"/>
                <w:szCs w:val="18"/>
                <w:color w:val="auto"/>
              </w:rPr>
            </w:pPr>
          </w:p>
        </w:tc>
      </w:tr>
      <w:tr>
        <w:trPr>
          <w:trHeight w:val="287"/>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Counterparty Deficiencies</w:t>
            </w:r>
          </w:p>
        </w:tc>
        <w:tc>
          <w:tcPr>
            <w:tcW w:w="60" w:type="dxa"/>
            <w:vAlign w:val="bottom"/>
          </w:tcPr>
          <w:p>
            <w:pPr>
              <w:spacing w:after="0"/>
              <w:rPr>
                <w:sz w:val="24"/>
                <w:szCs w:val="24"/>
                <w:color w:val="auto"/>
              </w:rPr>
            </w:pPr>
          </w:p>
        </w:tc>
        <w:tc>
          <w:tcPr>
            <w:tcW w:w="364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Financial Statement Classification</w:t>
            </w:r>
          </w:p>
        </w:tc>
        <w:tc>
          <w:tcPr>
            <w:tcW w:w="6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w w:val="89"/>
              </w:rPr>
              <w:t>2022</w:t>
            </w:r>
          </w:p>
        </w:tc>
      </w:tr>
      <w:tr>
        <w:trPr>
          <w:trHeight w:val="284"/>
        </w:trPr>
        <w:tc>
          <w:tcPr>
            <w:tcW w:w="3620" w:type="dxa"/>
            <w:vAlign w:val="bottom"/>
          </w:tcPr>
          <w:p>
            <w:pPr>
              <w:ind w:left="40"/>
              <w:spacing w:after="0"/>
              <w:rPr>
                <w:sz w:val="20"/>
                <w:szCs w:val="20"/>
                <w:color w:val="auto"/>
              </w:rPr>
            </w:pPr>
            <w:r>
              <w:rPr>
                <w:rFonts w:ascii="Arial" w:cs="Arial" w:eastAsia="Arial" w:hAnsi="Arial"/>
                <w:sz w:val="19"/>
                <w:szCs w:val="19"/>
                <w:color w:val="auto"/>
              </w:rPr>
              <w:t>Billed and collected</w:t>
            </w:r>
          </w:p>
        </w:tc>
        <w:tc>
          <w:tcPr>
            <w:tcW w:w="60" w:type="dxa"/>
            <w:vAlign w:val="bottom"/>
          </w:tcPr>
          <w:p>
            <w:pPr>
              <w:spacing w:after="0"/>
              <w:rPr>
                <w:sz w:val="24"/>
                <w:szCs w:val="24"/>
                <w:color w:val="auto"/>
              </w:rPr>
            </w:pPr>
          </w:p>
        </w:tc>
        <w:tc>
          <w:tcPr>
            <w:tcW w:w="3700" w:type="dxa"/>
            <w:vAlign w:val="bottom"/>
            <w:gridSpan w:val="2"/>
          </w:tcPr>
          <w:p>
            <w:pPr>
              <w:ind w:left="60"/>
              <w:spacing w:after="0"/>
              <w:rPr>
                <w:sz w:val="20"/>
                <w:szCs w:val="20"/>
                <w:color w:val="auto"/>
              </w:rPr>
            </w:pPr>
            <w:r>
              <w:rPr>
                <w:rFonts w:ascii="Arial" w:cs="Arial" w:eastAsia="Arial" w:hAnsi="Arial"/>
                <w:sz w:val="19"/>
                <w:szCs w:val="19"/>
                <w:color w:val="auto"/>
              </w:rPr>
              <w:t>Other current liabilities</w:t>
            </w:r>
          </w:p>
        </w:tc>
        <w:tc>
          <w:tcPr>
            <w:tcW w:w="820" w:type="dxa"/>
            <w:vAlign w:val="bottom"/>
          </w:tcPr>
          <w:p>
            <w:pPr>
              <w:jc w:val="right"/>
              <w:ind w:right="572"/>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77</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-198755</wp:posOffset>
            </wp:positionV>
            <wp:extent cx="6376670" cy="2203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4">
                      <a:extLst>
                        <a:ext uri="{28A0092B-C50C-407E-A947-70E740481C1C}"/>
                      </a:extLst>
                    </a:blip>
                    <a:srcRect/>
                    <a:stretch>
                      <a:fillRect/>
                    </a:stretch>
                  </pic:blipFill>
                  <pic:spPr bwMode="auto">
                    <a:xfrm>
                      <a:off x="0" y="0"/>
                      <a:ext cx="6376670" cy="220345"/>
                    </a:xfrm>
                    <a:prstGeom prst="rect">
                      <a:avLst/>
                    </a:prstGeom>
                    <a:noFill/>
                  </pic:spPr>
                </pic:pic>
              </a:graphicData>
            </a:graphic>
          </wp:anchor>
        </w:drawing>
      </w:r>
    </w:p>
    <w:p>
      <w:pPr>
        <w:spacing w:after="0" w:line="262" w:lineRule="exact"/>
        <w:rPr>
          <w:sz w:val="20"/>
          <w:szCs w:val="20"/>
          <w:color w:val="auto"/>
        </w:rPr>
      </w:pPr>
    </w:p>
    <w:p>
      <w:pPr>
        <w:ind w:left="1" w:right="200" w:firstLine="702"/>
        <w:spacing w:after="0" w:line="277" w:lineRule="auto"/>
        <w:rPr>
          <w:sz w:val="20"/>
          <w:szCs w:val="20"/>
          <w:color w:val="auto"/>
        </w:rPr>
      </w:pPr>
      <w:r>
        <w:rPr>
          <w:rFonts w:ascii="Arial" w:cs="Arial" w:eastAsia="Arial" w:hAnsi="Arial"/>
          <w:sz w:val="19"/>
          <w:szCs w:val="19"/>
          <w:b w:val="1"/>
          <w:bCs w:val="1"/>
          <w:i w:val="1"/>
          <w:iCs w:val="1"/>
          <w:color w:val="auto"/>
        </w:rPr>
        <w:t>Contract Balances</w:t>
      </w:r>
      <w:r>
        <w:rPr>
          <w:rFonts w:ascii="Arial" w:cs="Arial" w:eastAsia="Arial" w:hAnsi="Arial"/>
          <w:sz w:val="19"/>
          <w:szCs w:val="19"/>
          <w:color w:val="auto"/>
        </w:rPr>
        <w:t>. Our contract balances consist of amounts received associated with services or sales for which we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have not yet completed the related performance obligation. The following table presents the changes in the liability balance associated with contracts with customers (in millions):</w:t>
      </w:r>
    </w:p>
    <w:p>
      <w:pPr>
        <w:spacing w:after="0" w:line="269"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34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w w:val="91"/>
              </w:rPr>
              <w:t>Contract Liabilities</w:t>
            </w:r>
          </w:p>
        </w:tc>
        <w:tc>
          <w:tcPr>
            <w:tcW w:w="0" w:type="dxa"/>
            <w:vAlign w:val="bottom"/>
          </w:tcPr>
          <w:p>
            <w:pPr>
              <w:spacing w:after="0"/>
              <w:rPr>
                <w:sz w:val="1"/>
                <w:szCs w:val="1"/>
                <w:color w:val="auto"/>
              </w:rPr>
            </w:pPr>
          </w:p>
        </w:tc>
      </w:tr>
      <w:tr>
        <w:trPr>
          <w:trHeight w:val="238"/>
        </w:trPr>
        <w:tc>
          <w:tcPr>
            <w:tcW w:w="8220" w:type="dxa"/>
            <w:vAlign w:val="bottom"/>
            <w:gridSpan w:val="2"/>
          </w:tcPr>
          <w:p>
            <w:pPr>
              <w:ind w:left="80"/>
              <w:spacing w:after="0"/>
              <w:rPr>
                <w:sz w:val="20"/>
                <w:szCs w:val="20"/>
                <w:color w:val="auto"/>
              </w:rPr>
            </w:pPr>
            <w:r>
              <w:rPr>
                <w:rFonts w:ascii="Arial" w:cs="Arial" w:eastAsia="Arial" w:hAnsi="Arial"/>
                <w:sz w:val="19"/>
                <w:szCs w:val="19"/>
                <w:color w:val="auto"/>
              </w:rPr>
              <w:t>Balance at December 31,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141</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ind w:left="220"/>
              <w:spacing w:after="0"/>
              <w:rPr>
                <w:sz w:val="20"/>
                <w:szCs w:val="20"/>
                <w:color w:val="auto"/>
              </w:rPr>
            </w:pPr>
            <w:r>
              <w:rPr>
                <w:rFonts w:ascii="Arial" w:cs="Arial" w:eastAsia="Arial" w:hAnsi="Arial"/>
                <w:sz w:val="19"/>
                <w:szCs w:val="19"/>
                <w:color w:val="auto"/>
              </w:rPr>
              <w:t>Amounts recognized as revenue</w:t>
            </w: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82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(26)</w:t>
            </w:r>
          </w:p>
        </w:tc>
        <w:tc>
          <w:tcPr>
            <w:tcW w:w="0" w:type="dxa"/>
            <w:vAlign w:val="bottom"/>
          </w:tcPr>
          <w:p>
            <w:pPr>
              <w:spacing w:after="0"/>
              <w:rPr>
                <w:sz w:val="1"/>
                <w:szCs w:val="1"/>
                <w:color w:val="auto"/>
              </w:rPr>
            </w:pPr>
          </w:p>
        </w:tc>
      </w:tr>
      <w:tr>
        <w:trPr>
          <w:trHeight w:val="298"/>
        </w:trPr>
        <w:tc>
          <w:tcPr>
            <w:tcW w:w="8220" w:type="dxa"/>
            <w:vAlign w:val="bottom"/>
            <w:gridSpan w:val="2"/>
          </w:tcPr>
          <w:p>
            <w:pPr>
              <w:ind w:left="220"/>
              <w:spacing w:after="0"/>
              <w:rPr>
                <w:sz w:val="20"/>
                <w:szCs w:val="20"/>
                <w:color w:val="auto"/>
              </w:rPr>
            </w:pPr>
            <w:r>
              <w:rPr>
                <w:rFonts w:ascii="Arial" w:cs="Arial" w:eastAsia="Arial" w:hAnsi="Arial"/>
                <w:sz w:val="19"/>
                <w:szCs w:val="19"/>
                <w:color w:val="auto"/>
              </w:rPr>
              <w:t xml:space="preserve">Additions </w:t>
            </w:r>
            <w:r>
              <w:rPr>
                <w:rFonts w:ascii="Arial" w:cs="Arial" w:eastAsia="Arial" w:hAnsi="Arial"/>
                <w:sz w:val="25"/>
                <w:szCs w:val="25"/>
                <w:color w:val="auto"/>
                <w:vertAlign w:val="superscript"/>
              </w:rPr>
              <w:t>(1)</w:t>
            </w:r>
          </w:p>
        </w:tc>
        <w:tc>
          <w:tcPr>
            <w:tcW w:w="1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145</w:t>
            </w:r>
          </w:p>
        </w:tc>
        <w:tc>
          <w:tcPr>
            <w:tcW w:w="0" w:type="dxa"/>
            <w:vAlign w:val="bottom"/>
          </w:tcPr>
          <w:p>
            <w:pPr>
              <w:spacing w:after="0"/>
              <w:rPr>
                <w:sz w:val="1"/>
                <w:szCs w:val="1"/>
                <w:color w:val="auto"/>
              </w:rPr>
            </w:pPr>
          </w:p>
        </w:tc>
      </w:tr>
      <w:tr>
        <w:trPr>
          <w:trHeight w:val="257"/>
        </w:trPr>
        <w:tc>
          <w:tcPr>
            <w:tcW w:w="8220" w:type="dxa"/>
            <w:vAlign w:val="bottom"/>
            <w:gridSpan w:val="2"/>
          </w:tcPr>
          <w:p>
            <w:pPr>
              <w:ind w:left="220"/>
              <w:spacing w:after="0"/>
              <w:rPr>
                <w:sz w:val="20"/>
                <w:szCs w:val="20"/>
                <w:color w:val="auto"/>
              </w:rPr>
            </w:pPr>
            <w:r>
              <w:rPr>
                <w:rFonts w:ascii="Arial" w:cs="Arial" w:eastAsia="Arial" w:hAnsi="Arial"/>
                <w:sz w:val="19"/>
                <w:szCs w:val="19"/>
                <w:color w:val="auto"/>
              </w:rPr>
              <w:t>Other</w:t>
            </w: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w:t>
            </w:r>
          </w:p>
        </w:tc>
        <w:tc>
          <w:tcPr>
            <w:tcW w:w="0" w:type="dxa"/>
            <w:vAlign w:val="bottom"/>
          </w:tcPr>
          <w:p>
            <w:pPr>
              <w:spacing w:after="0"/>
              <w:rPr>
                <w:sz w:val="1"/>
                <w:szCs w:val="1"/>
                <w:color w:val="auto"/>
              </w:rPr>
            </w:pPr>
          </w:p>
        </w:tc>
      </w:tr>
      <w:tr>
        <w:trPr>
          <w:trHeight w:val="238"/>
        </w:trPr>
        <w:tc>
          <w:tcPr>
            <w:tcW w:w="8220" w:type="dxa"/>
            <w:vAlign w:val="bottom"/>
            <w:gridSpan w:val="2"/>
          </w:tcPr>
          <w:p>
            <w:pPr>
              <w:ind w:left="80"/>
              <w:spacing w:after="0"/>
              <w:rPr>
                <w:sz w:val="20"/>
                <w:szCs w:val="20"/>
                <w:color w:val="auto"/>
              </w:rPr>
            </w:pPr>
            <w:r>
              <w:rPr>
                <w:rFonts w:ascii="Arial" w:cs="Arial" w:eastAsia="Arial" w:hAnsi="Arial"/>
                <w:sz w:val="19"/>
                <w:szCs w:val="19"/>
                <w:color w:val="auto"/>
              </w:rPr>
              <w:t>Balance at December 31,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229</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ind w:left="220"/>
              <w:spacing w:after="0"/>
              <w:rPr>
                <w:sz w:val="20"/>
                <w:szCs w:val="20"/>
                <w:color w:val="auto"/>
              </w:rPr>
            </w:pPr>
            <w:r>
              <w:rPr>
                <w:rFonts w:ascii="Arial" w:cs="Arial" w:eastAsia="Arial" w:hAnsi="Arial"/>
                <w:sz w:val="19"/>
                <w:szCs w:val="19"/>
                <w:color w:val="auto"/>
              </w:rPr>
              <w:t>Amounts recognized as revenue</w:t>
            </w: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82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(42)</w:t>
            </w:r>
          </w:p>
        </w:tc>
        <w:tc>
          <w:tcPr>
            <w:tcW w:w="0" w:type="dxa"/>
            <w:vAlign w:val="bottom"/>
          </w:tcPr>
          <w:p>
            <w:pPr>
              <w:spacing w:after="0"/>
              <w:rPr>
                <w:sz w:val="1"/>
                <w:szCs w:val="1"/>
                <w:color w:val="auto"/>
              </w:rPr>
            </w:pPr>
          </w:p>
        </w:tc>
      </w:tr>
      <w:tr>
        <w:trPr>
          <w:trHeight w:val="259"/>
        </w:trPr>
        <w:tc>
          <w:tcPr>
            <w:tcW w:w="8220" w:type="dxa"/>
            <w:vAlign w:val="bottom"/>
            <w:gridSpan w:val="2"/>
          </w:tcPr>
          <w:p>
            <w:pPr>
              <w:ind w:left="220"/>
              <w:spacing w:after="0"/>
              <w:rPr>
                <w:sz w:val="20"/>
                <w:szCs w:val="20"/>
                <w:color w:val="auto"/>
              </w:rPr>
            </w:pPr>
            <w:r>
              <w:rPr>
                <w:rFonts w:ascii="Arial" w:cs="Arial" w:eastAsia="Arial" w:hAnsi="Arial"/>
                <w:sz w:val="19"/>
                <w:szCs w:val="19"/>
                <w:color w:val="auto"/>
              </w:rPr>
              <w:t>Additions</w:t>
            </w:r>
          </w:p>
        </w:tc>
        <w:tc>
          <w:tcPr>
            <w:tcW w:w="1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9"/>
                <w:szCs w:val="19"/>
                <w:color w:val="auto"/>
              </w:rPr>
              <w:t>38</w:t>
            </w:r>
          </w:p>
        </w:tc>
        <w:tc>
          <w:tcPr>
            <w:tcW w:w="0" w:type="dxa"/>
            <w:vAlign w:val="bottom"/>
          </w:tcPr>
          <w:p>
            <w:pPr>
              <w:spacing w:after="0"/>
              <w:rPr>
                <w:sz w:val="1"/>
                <w:szCs w:val="1"/>
                <w:color w:val="auto"/>
              </w:rPr>
            </w:pPr>
          </w:p>
        </w:tc>
      </w:tr>
      <w:tr>
        <w:trPr>
          <w:trHeight w:val="281"/>
        </w:trPr>
        <w:tc>
          <w:tcPr>
            <w:tcW w:w="8220" w:type="dxa"/>
            <w:vAlign w:val="bottom"/>
            <w:gridSpan w:val="2"/>
          </w:tcPr>
          <w:p>
            <w:pPr>
              <w:ind w:left="220"/>
              <w:spacing w:after="0"/>
              <w:rPr>
                <w:sz w:val="20"/>
                <w:szCs w:val="20"/>
                <w:color w:val="auto"/>
              </w:rPr>
            </w:pPr>
            <w:r>
              <w:rPr>
                <w:rFonts w:ascii="Arial" w:cs="Arial" w:eastAsia="Arial" w:hAnsi="Arial"/>
                <w:sz w:val="19"/>
                <w:szCs w:val="19"/>
                <w:color w:val="auto"/>
              </w:rPr>
              <w:t>Other</w:t>
            </w: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38"/>
        </w:trPr>
        <w:tc>
          <w:tcPr>
            <w:tcW w:w="8220" w:type="dxa"/>
            <w:vAlign w:val="bottom"/>
            <w:gridSpan w:val="2"/>
          </w:tcPr>
          <w:p>
            <w:pPr>
              <w:ind w:left="80"/>
              <w:spacing w:after="0"/>
              <w:rPr>
                <w:sz w:val="20"/>
                <w:szCs w:val="20"/>
                <w:color w:val="auto"/>
              </w:rPr>
            </w:pPr>
            <w:r>
              <w:rPr>
                <w:rFonts w:ascii="Arial" w:cs="Arial" w:eastAsia="Arial" w:hAnsi="Arial"/>
                <w:sz w:val="19"/>
                <w:szCs w:val="19"/>
                <w:color w:val="auto"/>
              </w:rPr>
              <w:t>Balance at December 31, 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440" w:type="dxa"/>
            <w:vAlign w:val="bottom"/>
            <w:tcBorders>
              <w:bottom w:val="single" w:sz="8" w:color="auto"/>
            </w:tcBorders>
          </w:tcPr>
          <w:p>
            <w:pPr>
              <w:spacing w:after="0"/>
              <w:rPr>
                <w:sz w:val="11"/>
                <w:szCs w:val="11"/>
                <w:color w:val="auto"/>
              </w:rPr>
            </w:pPr>
          </w:p>
        </w:tc>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-1724025</wp:posOffset>
            </wp:positionV>
            <wp:extent cx="6339205" cy="16351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5">
                      <a:extLst>
                        <a:ext uri="{28A0092B-C50C-407E-A947-70E740481C1C}"/>
                      </a:extLst>
                    </a:blip>
                    <a:srcRect/>
                    <a:stretch>
                      <a:fillRect/>
                    </a:stretch>
                  </pic:blipFill>
                  <pic:spPr bwMode="auto">
                    <a:xfrm>
                      <a:off x="0" y="0"/>
                      <a:ext cx="6339205" cy="1635125"/>
                    </a:xfrm>
                    <a:prstGeom prst="rect">
                      <a:avLst/>
                    </a:prstGeom>
                    <a:noFill/>
                  </pic:spPr>
                </pic:pic>
              </a:graphicData>
            </a:graphic>
          </wp:anchor>
        </w:drawing>
      </w:r>
    </w:p>
    <w:p>
      <w:pPr>
        <w:spacing w:after="0" w:line="65" w:lineRule="exact"/>
        <w:rPr>
          <w:sz w:val="20"/>
          <w:szCs w:val="20"/>
          <w:color w:val="auto"/>
        </w:rPr>
      </w:pPr>
    </w:p>
    <w:p>
      <w:pPr>
        <w:ind w:left="701" w:right="160" w:hanging="701"/>
        <w:spacing w:after="0" w:line="239" w:lineRule="auto"/>
        <w:tabs>
          <w:tab w:leader="none" w:pos="701" w:val="left"/>
        </w:tabs>
        <w:numPr>
          <w:ilvl w:val="0"/>
          <w:numId w:val="79"/>
        </w:numPr>
        <w:rPr>
          <w:rFonts w:ascii="Arial" w:cs="Arial" w:eastAsia="Arial" w:hAnsi="Arial"/>
          <w:sz w:val="25"/>
          <w:szCs w:val="25"/>
          <w:color w:val="auto"/>
          <w:vertAlign w:val="superscript"/>
        </w:rPr>
      </w:pPr>
      <w:r>
        <w:rPr>
          <w:rFonts w:ascii="Arial" w:cs="Arial" w:eastAsia="Arial" w:hAnsi="Arial"/>
          <w:sz w:val="19"/>
          <w:szCs w:val="19"/>
          <w:color w:val="auto"/>
        </w:rPr>
        <w:t>Includes approximately $122 million associated with a gas processing agreement that was entered into in conjunction with the purchase of an additional ownership interest in certain straddle plants. Such amount is expected to be recognized as revenue over a 50-year term. See Note 7 for additional information.</w:t>
      </w:r>
    </w:p>
    <w:p>
      <w:pPr>
        <w:spacing w:after="0" w:line="213" w:lineRule="exact"/>
        <w:rPr>
          <w:sz w:val="20"/>
          <w:szCs w:val="20"/>
          <w:color w:val="auto"/>
        </w:rPr>
      </w:pPr>
    </w:p>
    <w:p>
      <w:pPr>
        <w:ind w:left="1" w:right="80" w:firstLine="702"/>
        <w:spacing w:after="0" w:line="280" w:lineRule="auto"/>
        <w:rPr>
          <w:sz w:val="20"/>
          <w:szCs w:val="20"/>
          <w:color w:val="auto"/>
        </w:rPr>
      </w:pPr>
      <w:r>
        <w:rPr>
          <w:rFonts w:ascii="Arial" w:cs="Arial" w:eastAsia="Arial" w:hAnsi="Arial"/>
          <w:sz w:val="18"/>
          <w:szCs w:val="18"/>
          <w:b w:val="1"/>
          <w:bCs w:val="1"/>
          <w:i w:val="1"/>
          <w:iCs w:val="1"/>
          <w:color w:val="auto"/>
        </w:rPr>
        <w:t>Remaining Performance Obligations</w:t>
      </w:r>
      <w:r>
        <w:rPr>
          <w:rFonts w:ascii="Arial" w:cs="Arial" w:eastAsia="Arial" w:hAnsi="Arial"/>
          <w:sz w:val="18"/>
          <w:szCs w:val="18"/>
          <w:color w:val="auto"/>
        </w:rPr>
        <w:t>. The information below includes the amount of consideration allocated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partially and wholly unsatisfied 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December 31, 2023 (in millions):</w:t>
      </w:r>
    </w:p>
    <w:p>
      <w:pPr>
        <w:spacing w:after="0" w:line="250"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right"/>
              <w:ind w:right="227"/>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right"/>
              <w:ind w:right="227"/>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restart"/>
          </w:tcPr>
          <w:p>
            <w:pPr>
              <w:jc w:val="right"/>
              <w:ind w:right="227"/>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restart"/>
          </w:tcPr>
          <w:p>
            <w:pPr>
              <w:jc w:val="right"/>
              <w:ind w:right="227"/>
              <w:spacing w:after="0"/>
              <w:rPr>
                <w:sz w:val="20"/>
                <w:szCs w:val="20"/>
                <w:color w:val="auto"/>
              </w:rPr>
            </w:pPr>
            <w:r>
              <w:rPr>
                <w:rFonts w:ascii="Arial" w:cs="Arial" w:eastAsia="Arial" w:hAnsi="Arial"/>
                <w:sz w:val="16"/>
                <w:szCs w:val="16"/>
                <w:b w:val="1"/>
                <w:bCs w:val="1"/>
                <w:color w:val="auto"/>
              </w:rPr>
              <w:t>2027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restart"/>
          </w:tcPr>
          <w:p>
            <w:pPr>
              <w:jc w:val="right"/>
              <w:ind w:right="207"/>
              <w:spacing w:after="0"/>
              <w:rPr>
                <w:sz w:val="20"/>
                <w:szCs w:val="20"/>
                <w:color w:val="auto"/>
              </w:rPr>
            </w:pPr>
            <w:r>
              <w:rPr>
                <w:rFonts w:ascii="Arial" w:cs="Arial" w:eastAsia="Arial" w:hAnsi="Arial"/>
                <w:sz w:val="16"/>
                <w:szCs w:val="16"/>
                <w:b w:val="1"/>
                <w:bCs w:val="1"/>
                <w:color w:val="auto"/>
              </w:rPr>
              <w:t>2028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87"/>
              <w:spacing w:after="0"/>
              <w:rPr>
                <w:sz w:val="20"/>
                <w:szCs w:val="20"/>
                <w:color w:val="auto"/>
              </w:rPr>
            </w:pPr>
            <w:r>
              <w:rPr>
                <w:rFonts w:ascii="Arial" w:cs="Arial" w:eastAsia="Arial" w:hAnsi="Arial"/>
                <w:sz w:val="16"/>
                <w:szCs w:val="16"/>
                <w:b w:val="1"/>
                <w:bCs w:val="1"/>
                <w:color w:val="auto"/>
                <w:w w:val="87"/>
              </w:rPr>
              <w:t>2029 and</w:t>
            </w: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216"/>
        </w:trPr>
        <w:tc>
          <w:tcPr>
            <w:tcW w:w="3920" w:type="dxa"/>
            <w:vAlign w:val="bottom"/>
            <w:gridSpan w:val="2"/>
          </w:tcPr>
          <w:p>
            <w:pPr>
              <w:ind w:left="60"/>
              <w:spacing w:after="0" w:line="216" w:lineRule="exact"/>
              <w:rPr>
                <w:sz w:val="20"/>
                <w:szCs w:val="20"/>
                <w:color w:val="auto"/>
              </w:rPr>
            </w:pPr>
            <w:r>
              <w:rPr>
                <w:rFonts w:ascii="Arial" w:cs="Arial" w:eastAsia="Arial" w:hAnsi="Arial"/>
                <w:sz w:val="19"/>
                <w:szCs w:val="19"/>
                <w:color w:val="auto"/>
              </w:rPr>
              <w:t>Pipeline revenues supported by minimum</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920" w:type="dxa"/>
            <w:vAlign w:val="bottom"/>
            <w:gridSpan w:val="2"/>
          </w:tcPr>
          <w:p>
            <w:pPr>
              <w:ind w:left="240"/>
              <w:spacing w:after="0" w:line="195" w:lineRule="exact"/>
              <w:rPr>
                <w:sz w:val="20"/>
                <w:szCs w:val="20"/>
                <w:color w:val="auto"/>
              </w:rPr>
            </w:pPr>
            <w:r>
              <w:rPr>
                <w:rFonts w:ascii="Arial" w:cs="Arial" w:eastAsia="Arial" w:hAnsi="Arial"/>
                <w:sz w:val="19"/>
                <w:szCs w:val="19"/>
                <w:color w:val="auto"/>
              </w:rPr>
              <w:t>volume commitments and capacity</w:t>
            </w:r>
          </w:p>
        </w:tc>
        <w:tc>
          <w:tcPr>
            <w:tcW w:w="24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375</w:t>
            </w:r>
          </w:p>
        </w:tc>
        <w:tc>
          <w:tcPr>
            <w:tcW w:w="300" w:type="dxa"/>
            <w:vAlign w:val="bottom"/>
            <w:gridSpan w:val="2"/>
            <w:vMerge w:val="restart"/>
          </w:tcPr>
          <w:p>
            <w:pPr>
              <w:jc w:val="right"/>
              <w:spacing w:after="0"/>
              <w:rPr>
                <w:sz w:val="20"/>
                <w:szCs w:val="20"/>
                <w:color w:val="auto"/>
              </w:rPr>
            </w:pPr>
            <w:r>
              <w:rPr>
                <w:rFonts w:ascii="Arial" w:cs="Arial" w:eastAsia="Arial" w:hAnsi="Arial"/>
                <w:sz w:val="19"/>
                <w:szCs w:val="19"/>
                <w:color w:val="auto"/>
              </w:rPr>
              <w:t>$</w:t>
            </w: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329</w:t>
            </w:r>
          </w:p>
        </w:tc>
        <w:tc>
          <w:tcPr>
            <w:tcW w:w="300" w:type="dxa"/>
            <w:vAlign w:val="bottom"/>
            <w:gridSpan w:val="2"/>
            <w:vMerge w:val="restart"/>
          </w:tcPr>
          <w:p>
            <w:pPr>
              <w:jc w:val="right"/>
              <w:spacing w:after="0"/>
              <w:rPr>
                <w:sz w:val="20"/>
                <w:szCs w:val="20"/>
                <w:color w:val="auto"/>
              </w:rPr>
            </w:pPr>
            <w:r>
              <w:rPr>
                <w:rFonts w:ascii="Arial" w:cs="Arial" w:eastAsia="Arial" w:hAnsi="Arial"/>
                <w:sz w:val="19"/>
                <w:szCs w:val="19"/>
                <w:color w:val="auto"/>
              </w:rPr>
              <w:t>$</w:t>
            </w: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156</w:t>
            </w:r>
          </w:p>
        </w:tc>
        <w:tc>
          <w:tcPr>
            <w:tcW w:w="320" w:type="dxa"/>
            <w:vAlign w:val="bottom"/>
            <w:gridSpan w:val="2"/>
            <w:vMerge w:val="restart"/>
          </w:tcPr>
          <w:p>
            <w:pPr>
              <w:jc w:val="right"/>
              <w:ind w:right="3"/>
              <w:spacing w:after="0"/>
              <w:rPr>
                <w:sz w:val="20"/>
                <w:szCs w:val="20"/>
                <w:color w:val="auto"/>
              </w:rPr>
            </w:pPr>
            <w:r>
              <w:rPr>
                <w:rFonts w:ascii="Arial" w:cs="Arial" w:eastAsia="Arial" w:hAnsi="Arial"/>
                <w:sz w:val="19"/>
                <w:szCs w:val="19"/>
                <w:color w:val="auto"/>
              </w:rPr>
              <w:t>$</w:t>
            </w: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109</w:t>
            </w:r>
          </w:p>
        </w:tc>
        <w:tc>
          <w:tcPr>
            <w:tcW w:w="320" w:type="dxa"/>
            <w:vAlign w:val="bottom"/>
            <w:gridSpan w:val="2"/>
            <w:vMerge w:val="restart"/>
          </w:tcPr>
          <w:p>
            <w:pPr>
              <w:jc w:val="right"/>
              <w:ind w:right="3"/>
              <w:spacing w:after="0"/>
              <w:rPr>
                <w:sz w:val="20"/>
                <w:szCs w:val="20"/>
                <w:color w:val="auto"/>
              </w:rPr>
            </w:pPr>
            <w:r>
              <w:rPr>
                <w:rFonts w:ascii="Arial" w:cs="Arial" w:eastAsia="Arial" w:hAnsi="Arial"/>
                <w:sz w:val="19"/>
                <w:szCs w:val="19"/>
                <w:color w:val="auto"/>
              </w:rPr>
              <w:t>$</w:t>
            </w: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80</w:t>
            </w:r>
          </w:p>
        </w:tc>
        <w:tc>
          <w:tcPr>
            <w:tcW w:w="240" w:type="dxa"/>
            <w:vAlign w:val="bottom"/>
            <w:gridSpan w:val="2"/>
            <w:vMerge w:val="restart"/>
          </w:tcPr>
          <w:p>
            <w:pPr>
              <w:jc w:val="right"/>
              <w:spacing w:after="0"/>
              <w:rPr>
                <w:sz w:val="20"/>
                <w:szCs w:val="20"/>
                <w:color w:val="auto"/>
              </w:rPr>
            </w:pPr>
            <w:r>
              <w:rPr>
                <w:rFonts w:ascii="Arial" w:cs="Arial" w:eastAsia="Arial" w:hAnsi="Arial"/>
                <w:sz w:val="19"/>
                <w:szCs w:val="19"/>
                <w:color w:val="auto"/>
              </w:rPr>
              <w:t>$</w:t>
            </w:r>
          </w:p>
        </w:tc>
        <w:tc>
          <w:tcPr>
            <w:tcW w:w="800" w:type="dxa"/>
            <w:vAlign w:val="bottom"/>
            <w:vMerge w:val="restart"/>
          </w:tcPr>
          <w:p>
            <w:pPr>
              <w:jc w:val="right"/>
              <w:spacing w:after="0"/>
              <w:rPr>
                <w:sz w:val="20"/>
                <w:szCs w:val="20"/>
                <w:color w:val="auto"/>
              </w:rPr>
            </w:pPr>
            <w:r>
              <w:rPr>
                <w:rFonts w:ascii="Arial" w:cs="Arial" w:eastAsia="Arial" w:hAnsi="Arial"/>
                <w:sz w:val="19"/>
                <w:szCs w:val="19"/>
                <w:color w:val="auto"/>
              </w:rPr>
              <w:t>194</w:t>
            </w:r>
          </w:p>
        </w:tc>
        <w:tc>
          <w:tcPr>
            <w:tcW w:w="0" w:type="dxa"/>
            <w:vAlign w:val="bottom"/>
          </w:tcPr>
          <w:p>
            <w:pPr>
              <w:spacing w:after="0"/>
              <w:rPr>
                <w:sz w:val="1"/>
                <w:szCs w:val="1"/>
                <w:color w:val="auto"/>
              </w:rPr>
            </w:pPr>
          </w:p>
        </w:tc>
      </w:tr>
      <w:tr>
        <w:trPr>
          <w:trHeight w:val="287"/>
        </w:trPr>
        <w:tc>
          <w:tcPr>
            <w:tcW w:w="3920" w:type="dxa"/>
            <w:vAlign w:val="bottom"/>
            <w:gridSpan w:val="2"/>
          </w:tcPr>
          <w:p>
            <w:pPr>
              <w:ind w:left="240"/>
              <w:spacing w:after="0"/>
              <w:rPr>
                <w:sz w:val="20"/>
                <w:szCs w:val="20"/>
                <w:color w:val="auto"/>
              </w:rPr>
            </w:pPr>
            <w:r>
              <w:rPr>
                <w:rFonts w:ascii="Arial" w:cs="Arial" w:eastAsia="Arial" w:hAnsi="Arial"/>
                <w:sz w:val="19"/>
                <w:szCs w:val="19"/>
                <w:color w:val="auto"/>
              </w:rPr>
              <w:t xml:space="preserve">agreements </w:t>
            </w:r>
            <w:r>
              <w:rPr>
                <w:rFonts w:ascii="Arial" w:cs="Arial" w:eastAsia="Arial" w:hAnsi="Arial"/>
                <w:sz w:val="25"/>
                <w:szCs w:val="25"/>
                <w:color w:val="auto"/>
                <w:vertAlign w:val="superscript"/>
              </w:rPr>
              <w:t>(1)</w:t>
            </w:r>
          </w:p>
        </w:tc>
        <w:tc>
          <w:tcPr>
            <w:tcW w:w="240" w:type="dxa"/>
            <w:vAlign w:val="bottom"/>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920" w:type="dxa"/>
            <w:vAlign w:val="bottom"/>
            <w:gridSpan w:val="2"/>
          </w:tcPr>
          <w:p>
            <w:pPr>
              <w:ind w:left="60"/>
              <w:spacing w:after="0" w:line="195" w:lineRule="exact"/>
              <w:rPr>
                <w:sz w:val="20"/>
                <w:szCs w:val="20"/>
                <w:color w:val="auto"/>
              </w:rPr>
            </w:pPr>
            <w:r>
              <w:rPr>
                <w:rFonts w:ascii="Arial" w:cs="Arial" w:eastAsia="Arial" w:hAnsi="Arial"/>
                <w:sz w:val="19"/>
                <w:szCs w:val="19"/>
                <w:color w:val="auto"/>
              </w:rPr>
              <w:t>Terminalling, storage and other agreement</w:t>
            </w:r>
          </w:p>
        </w:tc>
        <w:tc>
          <w:tcPr>
            <w:tcW w:w="24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234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149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114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101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83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9"/>
                <w:szCs w:val="19"/>
                <w:color w:val="auto"/>
              </w:rPr>
              <w:t>688</w:t>
            </w:r>
          </w:p>
        </w:tc>
        <w:tc>
          <w:tcPr>
            <w:tcW w:w="0" w:type="dxa"/>
            <w:vAlign w:val="bottom"/>
          </w:tcPr>
          <w:p>
            <w:pPr>
              <w:spacing w:after="0"/>
              <w:rPr>
                <w:sz w:val="1"/>
                <w:szCs w:val="1"/>
                <w:color w:val="auto"/>
              </w:rPr>
            </w:pPr>
          </w:p>
        </w:tc>
      </w:tr>
      <w:tr>
        <w:trPr>
          <w:trHeight w:val="256"/>
        </w:trPr>
        <w:tc>
          <w:tcPr>
            <w:tcW w:w="3920" w:type="dxa"/>
            <w:vAlign w:val="bottom"/>
            <w:gridSpan w:val="2"/>
          </w:tcPr>
          <w:p>
            <w:pPr>
              <w:ind w:left="240"/>
              <w:spacing w:after="0"/>
              <w:rPr>
                <w:sz w:val="20"/>
                <w:szCs w:val="20"/>
                <w:color w:val="auto"/>
              </w:rPr>
            </w:pPr>
            <w:r>
              <w:rPr>
                <w:rFonts w:ascii="Arial" w:cs="Arial" w:eastAsia="Arial" w:hAnsi="Arial"/>
                <w:sz w:val="19"/>
                <w:szCs w:val="19"/>
                <w:color w:val="auto"/>
              </w:rPr>
              <w:t>revenues</w:t>
            </w: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920" w:type="dxa"/>
            <w:vAlign w:val="bottom"/>
            <w:gridSpan w:val="2"/>
          </w:tcPr>
          <w:p>
            <w:pPr>
              <w:ind w:left="400"/>
              <w:spacing w:after="0" w:line="209" w:lineRule="exact"/>
              <w:rPr>
                <w:sz w:val="20"/>
                <w:szCs w:val="20"/>
                <w:color w:val="auto"/>
              </w:rPr>
            </w:pPr>
            <w:r>
              <w:rPr>
                <w:rFonts w:ascii="Arial" w:cs="Arial" w:eastAsia="Arial" w:hAnsi="Arial"/>
                <w:sz w:val="19"/>
                <w:szCs w:val="19"/>
                <w:color w:val="auto"/>
              </w:rPr>
              <w:t>Total</w:t>
            </w:r>
          </w:p>
        </w:tc>
        <w:tc>
          <w:tcPr>
            <w:tcW w:w="2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609</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478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270</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
              <w:spacing w:after="0" w:line="209" w:lineRule="exact"/>
              <w:rPr>
                <w:sz w:val="20"/>
                <w:szCs w:val="20"/>
                <w:color w:val="auto"/>
              </w:rPr>
            </w:pPr>
            <w:r>
              <w:rPr>
                <w:rFonts w:ascii="Arial" w:cs="Arial" w:eastAsia="Arial" w:hAnsi="Arial"/>
                <w:sz w:val="19"/>
                <w:szCs w:val="19"/>
                <w:color w:val="auto"/>
              </w:rPr>
              <w:t>$</w:t>
            </w:r>
          </w:p>
        </w:tc>
        <w:tc>
          <w:tcPr>
            <w:tcW w:w="7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210</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
              <w:spacing w:after="0" w:line="209" w:lineRule="exact"/>
              <w:rPr>
                <w:sz w:val="20"/>
                <w:szCs w:val="20"/>
                <w:color w:val="auto"/>
              </w:rPr>
            </w:pPr>
            <w:r>
              <w:rPr>
                <w:rFonts w:ascii="Arial" w:cs="Arial" w:eastAsia="Arial" w:hAnsi="Arial"/>
                <w:sz w:val="19"/>
                <w:szCs w:val="19"/>
                <w:color w:val="auto"/>
              </w:rPr>
              <w:t>$</w:t>
            </w:r>
          </w:p>
        </w:tc>
        <w:tc>
          <w:tcPr>
            <w:tcW w:w="7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163</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882</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4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-1027430</wp:posOffset>
            </wp:positionV>
            <wp:extent cx="6367145" cy="9385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6">
                      <a:extLst>
                        <a:ext uri="{28A0092B-C50C-407E-A947-70E740481C1C}"/>
                      </a:extLst>
                    </a:blip>
                    <a:srcRect/>
                    <a:stretch>
                      <a:fillRect/>
                    </a:stretch>
                  </pic:blipFill>
                  <pic:spPr bwMode="auto">
                    <a:xfrm>
                      <a:off x="0" y="0"/>
                      <a:ext cx="6367145" cy="938530"/>
                    </a:xfrm>
                    <a:prstGeom prst="rect">
                      <a:avLst/>
                    </a:prstGeom>
                    <a:noFill/>
                  </pic:spPr>
                </pic:pic>
              </a:graphicData>
            </a:graphic>
          </wp:anchor>
        </w:drawing>
      </w:r>
    </w:p>
    <w:p>
      <w:pPr>
        <w:spacing w:after="0" w:line="32" w:lineRule="exact"/>
        <w:rPr>
          <w:sz w:val="20"/>
          <w:szCs w:val="20"/>
          <w:color w:val="auto"/>
        </w:rPr>
      </w:pPr>
    </w:p>
    <w:p>
      <w:pPr>
        <w:ind w:left="701" w:hanging="701"/>
        <w:spacing w:after="0"/>
        <w:tabs>
          <w:tab w:leader="none" w:pos="701" w:val="left"/>
        </w:tabs>
        <w:numPr>
          <w:ilvl w:val="0"/>
          <w:numId w:val="80"/>
        </w:numPr>
        <w:rPr>
          <w:rFonts w:ascii="Arial" w:cs="Arial" w:eastAsia="Arial" w:hAnsi="Arial"/>
          <w:sz w:val="25"/>
          <w:szCs w:val="25"/>
          <w:color w:val="auto"/>
          <w:vertAlign w:val="superscript"/>
        </w:rPr>
      </w:pPr>
      <w:r>
        <w:rPr>
          <w:rFonts w:ascii="Arial" w:cs="Arial" w:eastAsia="Arial" w:hAnsi="Arial"/>
          <w:sz w:val="19"/>
          <w:szCs w:val="19"/>
          <w:color w:val="auto"/>
        </w:rPr>
        <w:t>Calculated as volumes committed under contracts multiplied by the current applicable tariff rate.</w:t>
      </w:r>
    </w:p>
    <w:p>
      <w:pPr>
        <w:spacing w:after="0" w:line="214" w:lineRule="exact"/>
        <w:rPr>
          <w:sz w:val="20"/>
          <w:szCs w:val="20"/>
          <w:color w:val="auto"/>
        </w:rPr>
      </w:pPr>
    </w:p>
    <w:p>
      <w:pPr>
        <w:ind w:left="1" w:right="100" w:firstLine="702"/>
        <w:spacing w:after="0" w:line="282" w:lineRule="auto"/>
        <w:rPr>
          <w:sz w:val="20"/>
          <w:szCs w:val="20"/>
          <w:color w:val="auto"/>
        </w:rPr>
      </w:pPr>
      <w:r>
        <w:rPr>
          <w:rFonts w:ascii="Arial" w:cs="Arial" w:eastAsia="Arial" w:hAnsi="Arial"/>
          <w:sz w:val="18"/>
          <w:szCs w:val="18"/>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ectPr>
          <w:pgSz w:w="11880" w:h="15480" w:orient="portrait"/>
          <w:cols w:equalWidth="0" w:num="1">
            <w:col w:w="10001"/>
          </w:cols>
          <w:pgMar w:left="939" w:top="43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ectPr>
          <w:pgSz w:w="11880" w:h="15480" w:orient="portrait"/>
          <w:cols w:equalWidth="0" w:num="1">
            <w:col w:w="10001"/>
          </w:cols>
          <w:pgMar w:left="939" w:top="431" w:right="940" w:bottom="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53" w:lineRule="exact"/>
        <w:rPr>
          <w:sz w:val="20"/>
          <w:szCs w:val="20"/>
          <w:color w:val="auto"/>
        </w:rPr>
      </w:pPr>
    </w:p>
    <w:p>
      <w:pPr>
        <w:ind w:left="880" w:hanging="179"/>
        <w:spacing w:after="0"/>
        <w:tabs>
          <w:tab w:leader="none" w:pos="880" w:val="left"/>
        </w:tabs>
        <w:numPr>
          <w:ilvl w:val="0"/>
          <w:numId w:val="81"/>
        </w:numPr>
        <w:rPr>
          <w:rFonts w:ascii="Arial" w:cs="Arial" w:eastAsia="Arial" w:hAnsi="Arial"/>
          <w:sz w:val="19"/>
          <w:szCs w:val="19"/>
          <w:color w:val="auto"/>
        </w:rPr>
      </w:pPr>
      <w:r>
        <w:rPr>
          <w:rFonts w:ascii="Arial" w:cs="Arial" w:eastAsia="Arial" w:hAnsi="Arial"/>
          <w:sz w:val="19"/>
          <w:szCs w:val="19"/>
          <w:color w:val="auto"/>
        </w:rPr>
        <w:t>Minimum volume commitments on certain of our joint venture pipeline systems;</w:t>
      </w:r>
    </w:p>
    <w:p>
      <w:pPr>
        <w:spacing w:after="0" w:line="132" w:lineRule="exact"/>
        <w:rPr>
          <w:rFonts w:ascii="Arial" w:cs="Arial" w:eastAsia="Arial" w:hAnsi="Arial"/>
          <w:sz w:val="19"/>
          <w:szCs w:val="19"/>
          <w:color w:val="auto"/>
        </w:rPr>
      </w:pPr>
    </w:p>
    <w:p>
      <w:pPr>
        <w:ind w:left="880" w:hanging="179"/>
        <w:spacing w:after="0"/>
        <w:tabs>
          <w:tab w:leader="none" w:pos="88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Acreage dedications;</w:t>
      </w:r>
    </w:p>
    <w:p>
      <w:pPr>
        <w:spacing w:after="0" w:line="132" w:lineRule="exact"/>
        <w:rPr>
          <w:rFonts w:ascii="Arial" w:cs="Arial" w:eastAsia="Arial" w:hAnsi="Arial"/>
          <w:sz w:val="19"/>
          <w:szCs w:val="19"/>
          <w:color w:val="auto"/>
        </w:rPr>
      </w:pPr>
    </w:p>
    <w:p>
      <w:pPr>
        <w:ind w:left="880" w:hanging="179"/>
        <w:spacing w:after="0"/>
        <w:tabs>
          <w:tab w:leader="none" w:pos="880" w:val="left"/>
        </w:tabs>
        <w:numPr>
          <w:ilvl w:val="0"/>
          <w:numId w:val="81"/>
        </w:numPr>
        <w:rPr>
          <w:rFonts w:ascii="Arial" w:cs="Arial" w:eastAsia="Arial" w:hAnsi="Arial"/>
          <w:sz w:val="19"/>
          <w:szCs w:val="19"/>
          <w:color w:val="auto"/>
        </w:rPr>
      </w:pPr>
      <w:r>
        <w:rPr>
          <w:rFonts w:ascii="Arial" w:cs="Arial" w:eastAsia="Arial" w:hAnsi="Arial"/>
          <w:sz w:val="19"/>
          <w:szCs w:val="19"/>
          <w:color w:val="auto"/>
        </w:rPr>
        <w:t>Buy/sell arrangements with future committed volumes;</w:t>
      </w:r>
    </w:p>
    <w:p>
      <w:pPr>
        <w:spacing w:after="0" w:line="132" w:lineRule="exact"/>
        <w:rPr>
          <w:rFonts w:ascii="Arial" w:cs="Arial" w:eastAsia="Arial" w:hAnsi="Arial"/>
          <w:sz w:val="19"/>
          <w:szCs w:val="19"/>
          <w:color w:val="auto"/>
        </w:rPr>
      </w:pPr>
    </w:p>
    <w:p>
      <w:pPr>
        <w:ind w:left="880" w:right="220" w:hanging="179"/>
        <w:spacing w:after="0" w:line="295" w:lineRule="auto"/>
        <w:tabs>
          <w:tab w:leader="none" w:pos="880" w:val="left"/>
        </w:tabs>
        <w:numPr>
          <w:ilvl w:val="0"/>
          <w:numId w:val="81"/>
        </w:numPr>
        <w:rPr>
          <w:rFonts w:ascii="Arial" w:cs="Arial" w:eastAsia="Arial" w:hAnsi="Arial"/>
          <w:sz w:val="19"/>
          <w:szCs w:val="19"/>
          <w:color w:val="auto"/>
        </w:rPr>
      </w:pPr>
      <w:r>
        <w:rPr>
          <w:rFonts w:ascii="Arial" w:cs="Arial" w:eastAsia="Arial" w:hAnsi="Arial"/>
          <w:sz w:val="19"/>
          <w:szCs w:val="19"/>
          <w:color w:val="auto"/>
        </w:rPr>
        <w:t>Short-term contracts and those with variable consideration due to the election of practical expedients, as discussed below;</w:t>
      </w:r>
    </w:p>
    <w:p>
      <w:pPr>
        <w:spacing w:after="0" w:line="46" w:lineRule="exact"/>
        <w:rPr>
          <w:rFonts w:ascii="Arial" w:cs="Arial" w:eastAsia="Arial" w:hAnsi="Arial"/>
          <w:sz w:val="19"/>
          <w:szCs w:val="19"/>
          <w:color w:val="auto"/>
        </w:rPr>
      </w:pPr>
    </w:p>
    <w:p>
      <w:pPr>
        <w:ind w:left="880" w:hanging="179"/>
        <w:spacing w:after="0"/>
        <w:tabs>
          <w:tab w:leader="none" w:pos="880"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Contracts within the scope of ASC Topic 842, </w:t>
      </w:r>
      <w:r>
        <w:rPr>
          <w:rFonts w:ascii="Arial" w:cs="Arial" w:eastAsia="Arial" w:hAnsi="Arial"/>
          <w:sz w:val="19"/>
          <w:szCs w:val="19"/>
          <w:b w:val="1"/>
          <w:bCs w:val="1"/>
          <w:i w:val="1"/>
          <w:iCs w:val="1"/>
          <w:color w:val="auto"/>
        </w:rPr>
        <w:t>Leases</w:t>
      </w:r>
      <w:r>
        <w:rPr>
          <w:rFonts w:ascii="Arial" w:cs="Arial" w:eastAsia="Arial" w:hAnsi="Arial"/>
          <w:sz w:val="19"/>
          <w:szCs w:val="19"/>
          <w:color w:val="auto"/>
        </w:rPr>
        <w:t>; and</w:t>
      </w:r>
    </w:p>
    <w:p>
      <w:pPr>
        <w:spacing w:after="0" w:line="132" w:lineRule="exact"/>
        <w:rPr>
          <w:rFonts w:ascii="Arial" w:cs="Arial" w:eastAsia="Arial" w:hAnsi="Arial"/>
          <w:sz w:val="19"/>
          <w:szCs w:val="19"/>
          <w:color w:val="auto"/>
        </w:rPr>
      </w:pPr>
    </w:p>
    <w:p>
      <w:pPr>
        <w:ind w:left="880" w:hanging="179"/>
        <w:spacing w:after="0"/>
        <w:tabs>
          <w:tab w:leader="none" w:pos="880"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Contracts within the scope of ASC Topic 815, </w:t>
      </w:r>
      <w:r>
        <w:rPr>
          <w:rFonts w:ascii="Arial" w:cs="Arial" w:eastAsia="Arial" w:hAnsi="Arial"/>
          <w:sz w:val="19"/>
          <w:szCs w:val="19"/>
          <w:b w:val="1"/>
          <w:bCs w:val="1"/>
          <w:i w:val="1"/>
          <w:iCs w:val="1"/>
          <w:color w:val="auto"/>
        </w:rPr>
        <w:t>Derivatives and Hedging</w:t>
      </w:r>
      <w:r>
        <w:rPr>
          <w:rFonts w:ascii="Arial" w:cs="Arial" w:eastAsia="Arial" w:hAnsi="Arial"/>
          <w:sz w:val="19"/>
          <w:szCs w:val="19"/>
          <w:color w:val="auto"/>
        </w:rPr>
        <w:t>.</w:t>
      </w:r>
    </w:p>
    <w:p>
      <w:pPr>
        <w:spacing w:after="0" w:line="251" w:lineRule="exact"/>
        <w:rPr>
          <w:sz w:val="20"/>
          <w:szCs w:val="20"/>
          <w:color w:val="auto"/>
        </w:rPr>
      </w:pPr>
    </w:p>
    <w:p>
      <w:pPr>
        <w:ind w:right="20" w:firstLine="702"/>
        <w:spacing w:after="0" w:line="263" w:lineRule="auto"/>
        <w:rPr>
          <w:sz w:val="20"/>
          <w:szCs w:val="20"/>
          <w:color w:val="auto"/>
        </w:rPr>
      </w:pPr>
      <w:r>
        <w:rPr>
          <w:rFonts w:ascii="Arial" w:cs="Arial" w:eastAsia="Arial" w:hAnsi="Arial"/>
          <w:sz w:val="19"/>
          <w:szCs w:val="19"/>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due to variability in amount of performance obligation remaining, variability in the timing of recognition or variability in consideration. Acreage dedications require us to perform future services but do not contain a minimum level of services and are therefore excluded from this presentation. Long-term merchant arrangements contain variable timing, volumes and/or consideration and are excluded from this presentation. The duration of these contracts varies across the periods presented above.</w:t>
      </w:r>
    </w:p>
    <w:p>
      <w:pPr>
        <w:spacing w:after="0" w:line="196" w:lineRule="exact"/>
        <w:rPr>
          <w:sz w:val="20"/>
          <w:szCs w:val="20"/>
          <w:color w:val="auto"/>
        </w:rPr>
      </w:pPr>
    </w:p>
    <w:p>
      <w:pPr>
        <w:jc w:val="both"/>
        <w:ind w:right="240" w:firstLine="702"/>
        <w:spacing w:after="0" w:line="269" w:lineRule="auto"/>
        <w:rPr>
          <w:sz w:val="20"/>
          <w:szCs w:val="20"/>
          <w:color w:val="auto"/>
        </w:rPr>
      </w:pPr>
      <w:r>
        <w:rPr>
          <w:rFonts w:ascii="Arial" w:cs="Arial" w:eastAsia="Arial" w:hAnsi="Arial"/>
          <w:sz w:val="19"/>
          <w:szCs w:val="19"/>
          <w:color w:val="auto"/>
        </w:rPr>
        <w:t>Additionally, we have elected practical expedients to exclude contracts with terms of one year or less, and therefore exclude the presentation of remaining performance obligations for short-term transportation, storage and processing services, merchant arrangements, including the non-cancelable period of evergreen arrangements, and any other types of arrangements with terms of one year or less.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Trade Accounts Receivable and Other Receivables, Net</w:t>
      </w:r>
    </w:p>
    <w:p>
      <w:pPr>
        <w:spacing w:after="0" w:line="257" w:lineRule="exact"/>
        <w:rPr>
          <w:sz w:val="20"/>
          <w:szCs w:val="20"/>
          <w:color w:val="auto"/>
        </w:rPr>
      </w:pPr>
    </w:p>
    <w:p>
      <w:pPr>
        <w:ind w:firstLine="702"/>
        <w:spacing w:after="0" w:line="289"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spacing w:after="0" w:line="173" w:lineRule="exact"/>
        <w:rPr>
          <w:sz w:val="20"/>
          <w:szCs w:val="20"/>
          <w:color w:val="auto"/>
        </w:rPr>
      </w:pPr>
    </w:p>
    <w:p>
      <w:pPr>
        <w:ind w:right="20" w:firstLine="702"/>
        <w:spacing w:after="0" w:line="262" w:lineRule="auto"/>
        <w:rPr>
          <w:sz w:val="20"/>
          <w:szCs w:val="20"/>
          <w:color w:val="auto"/>
        </w:rPr>
      </w:pPr>
      <w:r>
        <w:rPr>
          <w:rFonts w:ascii="Arial" w:cs="Arial" w:eastAsia="Arial" w:hAnsi="Arial"/>
          <w:sz w:val="19"/>
          <w:szCs w:val="19"/>
          <w:color w:val="auto"/>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98" w:lineRule="exact"/>
        <w:rPr>
          <w:sz w:val="20"/>
          <w:szCs w:val="20"/>
          <w:color w:val="auto"/>
        </w:rPr>
      </w:pPr>
    </w:p>
    <w:p>
      <w:pPr>
        <w:ind w:right="60" w:firstLine="702"/>
        <w:spacing w:after="0" w:line="297" w:lineRule="auto"/>
        <w:rPr>
          <w:sz w:val="20"/>
          <w:szCs w:val="20"/>
          <w:color w:val="auto"/>
        </w:rPr>
      </w:pPr>
      <w:r>
        <w:rPr>
          <w:rFonts w:ascii="Arial" w:cs="Arial" w:eastAsia="Arial" w:hAnsi="Arial"/>
          <w:sz w:val="17"/>
          <w:szCs w:val="17"/>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December 31, 2023 and 2022,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ectPr>
          <w:pgSz w:w="11880" w:h="15480" w:orient="portrait"/>
          <w:cols w:equalWidth="0" w:num="1">
            <w:col w:w="10000"/>
          </w:cols>
          <w:pgMar w:left="940" w:top="43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ectPr>
          <w:pgSz w:w="11880" w:h="15480" w:orient="portrait"/>
          <w:cols w:equalWidth="0" w:num="1">
            <w:col w:w="10000"/>
          </w:cols>
          <w:pgMar w:left="940" w:top="432" w:right="940" w:bottom="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left="701"/>
        <w:spacing w:after="0"/>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w:t>
      </w:r>
    </w:p>
    <w:p>
      <w:pPr>
        <w:spacing w:after="0" w:line="47" w:lineRule="exact"/>
        <w:rPr>
          <w:sz w:val="20"/>
          <w:szCs w:val="20"/>
          <w:color w:val="auto"/>
        </w:rPr>
      </w:pPr>
    </w:p>
    <w:p>
      <w:pPr>
        <w:ind w:left="1"/>
        <w:spacing w:after="0"/>
        <w:rPr>
          <w:sz w:val="20"/>
          <w:szCs w:val="20"/>
          <w:color w:val="auto"/>
        </w:rPr>
      </w:pPr>
      <w:r>
        <w:rPr>
          <w:rFonts w:ascii="Arial" w:cs="Arial" w:eastAsia="Arial" w:hAnsi="Arial"/>
          <w:sz w:val="19"/>
          <w:szCs w:val="19"/>
          <w:color w:val="auto"/>
        </w:rPr>
        <w:t>Trade accounts receivable and other receivables, net as presented on our Consolidated Balance Sheets (in millions):</w:t>
      </w:r>
    </w:p>
    <w:p>
      <w:pPr>
        <w:spacing w:after="0" w:line="317"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34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29"/>
        </w:trPr>
        <w:tc>
          <w:tcPr>
            <w:tcW w:w="34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66"/>
              <w:spacing w:after="0"/>
              <w:rPr>
                <w:sz w:val="20"/>
                <w:szCs w:val="20"/>
                <w:color w:val="auto"/>
              </w:rPr>
            </w:pPr>
            <w:r>
              <w:rPr>
                <w:rFonts w:ascii="Arial" w:cs="Arial" w:eastAsia="Arial" w:hAnsi="Arial"/>
                <w:sz w:val="16"/>
                <w:szCs w:val="16"/>
                <w:b w:val="1"/>
                <w:bCs w:val="1"/>
                <w:color w:val="auto"/>
              </w:rPr>
              <w:t>2022</w:t>
            </w:r>
          </w:p>
        </w:tc>
      </w:tr>
      <w:tr>
        <w:trPr>
          <w:trHeight w:val="269"/>
        </w:trPr>
        <w:tc>
          <w:tcPr>
            <w:tcW w:w="6580" w:type="dxa"/>
            <w:vAlign w:val="bottom"/>
            <w:gridSpan w:val="2"/>
          </w:tcPr>
          <w:p>
            <w:pPr>
              <w:ind w:left="80"/>
              <w:spacing w:after="0"/>
              <w:rPr>
                <w:sz w:val="20"/>
                <w:szCs w:val="20"/>
                <w:color w:val="auto"/>
              </w:rPr>
            </w:pPr>
            <w:r>
              <w:rPr>
                <w:rFonts w:ascii="Arial" w:cs="Arial" w:eastAsia="Arial" w:hAnsi="Arial"/>
                <w:sz w:val="19"/>
                <w:szCs w:val="19"/>
                <w:color w:val="auto"/>
                <w:w w:val="96"/>
              </w:rPr>
              <w:t>Trade accounts receivable arising from revenues from contracts with customers</w:t>
            </w:r>
          </w:p>
        </w:tc>
        <w:tc>
          <w:tcPr>
            <w:tcW w:w="1040" w:type="dxa"/>
            <w:vAlign w:val="bottom"/>
          </w:tcPr>
          <w:p>
            <w:pPr>
              <w:jc w:val="right"/>
              <w:ind w:right="789"/>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3,999</w:t>
            </w:r>
          </w:p>
        </w:tc>
        <w:tc>
          <w:tcPr>
            <w:tcW w:w="620" w:type="dxa"/>
            <w:vAlign w:val="bottom"/>
            <w:gridSpan w:val="2"/>
          </w:tcPr>
          <w:p>
            <w:pPr>
              <w:jc w:val="right"/>
              <w:ind w:right="40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4,141</w:t>
            </w:r>
          </w:p>
        </w:tc>
      </w:tr>
      <w:tr>
        <w:trPr>
          <w:trHeight w:val="331"/>
        </w:trPr>
        <w:tc>
          <w:tcPr>
            <w:tcW w:w="6580" w:type="dxa"/>
            <w:vAlign w:val="bottom"/>
            <w:gridSpan w:val="2"/>
          </w:tcPr>
          <w:p>
            <w:pPr>
              <w:ind w:left="80"/>
              <w:spacing w:after="0"/>
              <w:rPr>
                <w:sz w:val="20"/>
                <w:szCs w:val="20"/>
                <w:color w:val="auto"/>
              </w:rPr>
            </w:pPr>
            <w:r>
              <w:rPr>
                <w:rFonts w:ascii="Arial" w:cs="Arial" w:eastAsia="Arial" w:hAnsi="Arial"/>
                <w:sz w:val="19"/>
                <w:szCs w:val="19"/>
                <w:color w:val="auto"/>
              </w:rPr>
              <w:t xml:space="preserve">Other trade accounts receivables and other receivables </w:t>
            </w:r>
            <w:r>
              <w:rPr>
                <w:rFonts w:ascii="Arial" w:cs="Arial" w:eastAsia="Arial" w:hAnsi="Arial"/>
                <w:sz w:val="25"/>
                <w:szCs w:val="25"/>
                <w:color w:val="auto"/>
                <w:vertAlign w:val="superscript"/>
              </w:rPr>
              <w:t>(1)</w:t>
            </w:r>
          </w:p>
        </w:tc>
        <w:tc>
          <w:tcPr>
            <w:tcW w:w="10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7,535</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7,216</w:t>
            </w:r>
          </w:p>
        </w:tc>
      </w:tr>
      <w:tr>
        <w:trPr>
          <w:trHeight w:val="257"/>
        </w:trPr>
        <w:tc>
          <w:tcPr>
            <w:tcW w:w="6580" w:type="dxa"/>
            <w:vAlign w:val="bottom"/>
            <w:gridSpan w:val="2"/>
          </w:tcPr>
          <w:p>
            <w:pPr>
              <w:ind w:left="80"/>
              <w:spacing w:after="0"/>
              <w:rPr>
                <w:sz w:val="20"/>
                <w:szCs w:val="20"/>
                <w:color w:val="auto"/>
              </w:rPr>
            </w:pPr>
            <w:r>
              <w:rPr>
                <w:rFonts w:ascii="Arial" w:cs="Arial" w:eastAsia="Arial" w:hAnsi="Arial"/>
                <w:sz w:val="19"/>
                <w:szCs w:val="19"/>
                <w:color w:val="auto"/>
              </w:rPr>
              <w:t>Impact due to contractual rights of offset with counterparties</w:t>
            </w:r>
          </w:p>
        </w:tc>
        <w:tc>
          <w:tcPr>
            <w:tcW w:w="10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6"/>
              </w:rPr>
              <w:t>(7,774)</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(7,450)</w:t>
            </w:r>
          </w:p>
        </w:tc>
      </w:tr>
      <w:tr>
        <w:trPr>
          <w:trHeight w:val="253"/>
        </w:trPr>
        <w:tc>
          <w:tcPr>
            <w:tcW w:w="6580" w:type="dxa"/>
            <w:vAlign w:val="bottom"/>
            <w:gridSpan w:val="2"/>
          </w:tcPr>
          <w:p>
            <w:pPr>
              <w:ind w:left="220"/>
              <w:spacing w:after="0"/>
              <w:rPr>
                <w:sz w:val="20"/>
                <w:szCs w:val="20"/>
                <w:color w:val="auto"/>
              </w:rPr>
            </w:pPr>
            <w:r>
              <w:rPr>
                <w:rFonts w:ascii="Arial" w:cs="Arial" w:eastAsia="Arial" w:hAnsi="Arial"/>
                <w:sz w:val="19"/>
                <w:szCs w:val="19"/>
                <w:color w:val="auto"/>
              </w:rPr>
              <w:t>Trade accounts receivable and other receivables, net</w:t>
            </w:r>
          </w:p>
        </w:tc>
        <w:tc>
          <w:tcPr>
            <w:tcW w:w="1040" w:type="dxa"/>
            <w:vAlign w:val="bottom"/>
          </w:tcPr>
          <w:p>
            <w:pPr>
              <w:jc w:val="right"/>
              <w:ind w:right="789"/>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3,760</w:t>
            </w:r>
          </w:p>
        </w:tc>
        <w:tc>
          <w:tcPr>
            <w:tcW w:w="620" w:type="dxa"/>
            <w:vAlign w:val="bottom"/>
            <w:gridSpan w:val="2"/>
          </w:tcPr>
          <w:p>
            <w:pPr>
              <w:jc w:val="right"/>
              <w:ind w:right="40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3,907</w:t>
            </w:r>
          </w:p>
        </w:tc>
      </w:tr>
      <w:tr>
        <w:trPr>
          <w:trHeight w:val="20"/>
        </w:trPr>
        <w:tc>
          <w:tcPr>
            <w:tcW w:w="34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30"/>
        </w:trPr>
        <w:tc>
          <w:tcPr>
            <w:tcW w:w="3440" w:type="dxa"/>
            <w:vAlign w:val="bottom"/>
            <w:tcBorders>
              <w:bottom w:val="single" w:sz="8" w:color="auto"/>
            </w:tcBorders>
          </w:tcPr>
          <w:p>
            <w:pPr>
              <w:spacing w:after="0"/>
              <w:rPr>
                <w:sz w:val="11"/>
                <w:szCs w:val="11"/>
                <w:color w:val="auto"/>
              </w:rPr>
            </w:pPr>
          </w:p>
        </w:tc>
        <w:tc>
          <w:tcPr>
            <w:tcW w:w="3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-869315</wp:posOffset>
            </wp:positionV>
            <wp:extent cx="6330315" cy="780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7">
                      <a:extLst>
                        <a:ext uri="{28A0092B-C50C-407E-A947-70E740481C1C}"/>
                      </a:extLst>
                    </a:blip>
                    <a:srcRect/>
                    <a:stretch>
                      <a:fillRect/>
                    </a:stretch>
                  </pic:blipFill>
                  <pic:spPr bwMode="auto">
                    <a:xfrm>
                      <a:off x="0" y="0"/>
                      <a:ext cx="6330315" cy="780415"/>
                    </a:xfrm>
                    <a:prstGeom prst="rect">
                      <a:avLst/>
                    </a:prstGeom>
                    <a:noFill/>
                  </pic:spPr>
                </pic:pic>
              </a:graphicData>
            </a:graphic>
          </wp:anchor>
        </w:drawing>
      </w:r>
    </w:p>
    <w:p>
      <w:pPr>
        <w:spacing w:after="0" w:line="65" w:lineRule="exact"/>
        <w:rPr>
          <w:sz w:val="20"/>
          <w:szCs w:val="20"/>
          <w:color w:val="auto"/>
        </w:rPr>
      </w:pPr>
    </w:p>
    <w:p>
      <w:pPr>
        <w:ind w:left="701" w:right="280" w:hanging="701"/>
        <w:spacing w:after="0" w:line="231" w:lineRule="auto"/>
        <w:tabs>
          <w:tab w:leader="none" w:pos="701" w:val="left"/>
        </w:tabs>
        <w:numPr>
          <w:ilvl w:val="0"/>
          <w:numId w:val="82"/>
        </w:numPr>
        <w:rPr>
          <w:rFonts w:ascii="Arial" w:cs="Arial" w:eastAsia="Arial" w:hAnsi="Arial"/>
          <w:sz w:val="25"/>
          <w:szCs w:val="25"/>
          <w:color w:val="auto"/>
          <w:vertAlign w:val="superscript"/>
        </w:rPr>
      </w:pPr>
      <w:r>
        <w:rPr>
          <w:rFonts w:ascii="Arial" w:cs="Arial" w:eastAsia="Arial" w:hAnsi="Arial"/>
          <w:sz w:val="19"/>
          <w:szCs w:val="19"/>
          <w:color w:val="auto"/>
        </w:rPr>
        <w:t>The balance is comprised primarily of accounts receivable associated with buy/sell arrangements that are not within the scope of ASC 606.</w:t>
      </w:r>
    </w:p>
    <w:p>
      <w:pPr>
        <w:spacing w:after="0" w:line="266"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Note 4—Net Income Per Class A Share</w:t>
      </w:r>
    </w:p>
    <w:p>
      <w:pPr>
        <w:spacing w:after="0" w:line="257" w:lineRule="exact"/>
        <w:rPr>
          <w:sz w:val="20"/>
          <w:szCs w:val="20"/>
          <w:color w:val="auto"/>
        </w:rPr>
      </w:pPr>
    </w:p>
    <w:p>
      <w:pPr>
        <w:ind w:left="1" w:right="20" w:firstLine="702"/>
        <w:spacing w:after="0" w:line="323" w:lineRule="auto"/>
        <w:rPr>
          <w:sz w:val="20"/>
          <w:szCs w:val="20"/>
          <w:color w:val="auto"/>
        </w:rPr>
      </w:pPr>
      <w:r>
        <w:rPr>
          <w:rFonts w:ascii="Arial" w:cs="Arial" w:eastAsia="Arial" w:hAnsi="Arial"/>
          <w:sz w:val="17"/>
          <w:szCs w:val="17"/>
          <w:color w:val="auto"/>
        </w:rPr>
        <w:t>Basic net income per Class A share is determined by dividing net income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147" w:lineRule="exact"/>
        <w:rPr>
          <w:sz w:val="20"/>
          <w:szCs w:val="20"/>
          <w:color w:val="auto"/>
        </w:rPr>
      </w:pPr>
    </w:p>
    <w:p>
      <w:pPr>
        <w:ind w:left="1" w:right="40" w:firstLine="702"/>
        <w:spacing w:after="0" w:line="282" w:lineRule="auto"/>
        <w:rPr>
          <w:sz w:val="20"/>
          <w:szCs w:val="20"/>
          <w:color w:val="auto"/>
        </w:rPr>
      </w:pPr>
      <w:r>
        <w:rPr>
          <w:rFonts w:ascii="Arial" w:cs="Arial" w:eastAsia="Arial" w:hAnsi="Arial"/>
          <w:sz w:val="18"/>
          <w:szCs w:val="18"/>
          <w:color w:val="auto"/>
        </w:rPr>
        <w:t>Diluted net income per Class A share is determined by dividing net income attributable to PAGP by the diluted weighted average number of Class A shares outstanding during the period. For purposes of calculating diluted net income per Class A share, both the net income attributable to PAGP and the diluted weighted average number of Class A shares outstanding consider the impact of possible future exchanges of AAP units and the associated Class B shares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179" w:lineRule="exact"/>
        <w:rPr>
          <w:sz w:val="20"/>
          <w:szCs w:val="20"/>
          <w:color w:val="auto"/>
        </w:rPr>
      </w:pPr>
    </w:p>
    <w:p>
      <w:pPr>
        <w:ind w:left="1" w:firstLine="702"/>
        <w:spacing w:after="0" w:line="264" w:lineRule="auto"/>
        <w:rPr>
          <w:sz w:val="20"/>
          <w:szCs w:val="20"/>
          <w:color w:val="auto"/>
        </w:rPr>
      </w:pPr>
      <w:r>
        <w:rPr>
          <w:rFonts w:ascii="Arial" w:cs="Arial" w:eastAsia="Arial" w:hAnsi="Arial"/>
          <w:sz w:val="19"/>
          <w:szCs w:val="19"/>
          <w:color w:val="auto"/>
        </w:rPr>
        <w:t>Exchanges of potentially dilutive AAP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11 for information regarding exchanges of AAP units. PAGP LTIP awards that are deemed to be dilutive are reduced by a hypothetical share repurchase based on the remaining unamortized fair value, as prescribed by the treasury stock method in guidance issued by the FASB. See Note 17 for information regarding PAGP LTIP awards.</w:t>
      </w:r>
    </w:p>
    <w:p>
      <w:pPr>
        <w:spacing w:after="0" w:line="196" w:lineRule="exact"/>
        <w:rPr>
          <w:sz w:val="20"/>
          <w:szCs w:val="20"/>
          <w:color w:val="auto"/>
        </w:rPr>
      </w:pPr>
    </w:p>
    <w:p>
      <w:pPr>
        <w:ind w:left="1" w:right="280" w:firstLine="702"/>
        <w:spacing w:after="0" w:line="295" w:lineRule="auto"/>
        <w:rPr>
          <w:sz w:val="20"/>
          <w:szCs w:val="20"/>
          <w:color w:val="auto"/>
        </w:rPr>
      </w:pPr>
      <w:r>
        <w:rPr>
          <w:rFonts w:ascii="Arial" w:cs="Arial" w:eastAsia="Arial" w:hAnsi="Arial"/>
          <w:sz w:val="17"/>
          <w:szCs w:val="17"/>
          <w:color w:val="auto"/>
        </w:rPr>
        <w:t>On a weighted-average basis, for the years ended December 31, 2023, 2022 and 2021, the possible exchange of 44 million, 47 million and 50 million AAP units, respectively, would not have had a dilutive effect on basic net income per Class A share. For the years ended December 31, 2023, 2022 and 2021, our PAGP LTIP awards were dilutive; however, this</w:t>
      </w:r>
    </w:p>
    <w:p>
      <w:pPr>
        <w:spacing w:after="0" w:line="1" w:lineRule="exact"/>
        <w:rPr>
          <w:sz w:val="20"/>
          <w:szCs w:val="20"/>
          <w:color w:val="auto"/>
        </w:rPr>
      </w:pPr>
    </w:p>
    <w:p>
      <w:pPr>
        <w:ind w:left="1"/>
        <w:spacing w:after="0"/>
        <w:rPr>
          <w:sz w:val="20"/>
          <w:szCs w:val="20"/>
          <w:color w:val="auto"/>
        </w:rPr>
      </w:pPr>
      <w:r>
        <w:rPr>
          <w:rFonts w:ascii="Arial" w:cs="Arial" w:eastAsia="Arial" w:hAnsi="Arial"/>
          <w:sz w:val="17"/>
          <w:szCs w:val="17"/>
          <w:color w:val="auto"/>
        </w:rPr>
        <w:t>did not change the presentation of diluted weighted average Class A shares outstanding or diluted net income per Class A share.</w:t>
      </w:r>
    </w:p>
    <w:p>
      <w:pPr>
        <w:spacing w:after="0" w:line="253" w:lineRule="exact"/>
        <w:rPr>
          <w:sz w:val="20"/>
          <w:szCs w:val="20"/>
          <w:color w:val="auto"/>
        </w:rPr>
      </w:pPr>
    </w:p>
    <w:p>
      <w:pPr>
        <w:ind w:left="1" w:right="220" w:firstLine="702"/>
        <w:spacing w:after="0" w:line="295" w:lineRule="auto"/>
        <w:rPr>
          <w:sz w:val="20"/>
          <w:szCs w:val="20"/>
          <w:color w:val="auto"/>
        </w:rPr>
      </w:pPr>
      <w:r>
        <w:rPr>
          <w:rFonts w:ascii="Arial" w:cs="Arial" w:eastAsia="Arial" w:hAnsi="Arial"/>
          <w:sz w:val="19"/>
          <w:szCs w:val="19"/>
          <w:color w:val="auto"/>
        </w:rPr>
        <w:t>The following table sets forth the computation of basic and diluted net income per Class A share (in millions, except per share data):</w:t>
      </w:r>
    </w:p>
    <w:p>
      <w:pPr>
        <w:spacing w:after="0" w:line="252" w:lineRule="exact"/>
        <w:rPr>
          <w:sz w:val="20"/>
          <w:szCs w:val="20"/>
          <w:color w:val="auto"/>
        </w:rPr>
      </w:pPr>
    </w:p>
    <w:tbl>
      <w:tblPr>
        <w:tblLayout w:type="fixed"/>
        <w:tblInd w:w="61" w:type="dxa"/>
        <w:tblCellMar>
          <w:top w:w="0" w:type="dxa"/>
          <w:left w:w="0" w:type="dxa"/>
          <w:bottom w:w="0" w:type="dxa"/>
          <w:right w:w="0" w:type="dxa"/>
        </w:tblCellMar>
      </w:tblPr>
      <w:tr>
        <w:trPr>
          <w:trHeight w:val="212"/>
        </w:trPr>
        <w:tc>
          <w:tcPr>
            <w:tcW w:w="6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6"/>
                <w:szCs w:val="16"/>
                <w:b w:val="1"/>
                <w:bCs w:val="1"/>
                <w:color w:val="auto"/>
              </w:rPr>
              <w:t>Year Ended December 31,</w:t>
            </w:r>
          </w:p>
        </w:tc>
        <w:tc>
          <w:tcPr>
            <w:tcW w:w="700" w:type="dxa"/>
            <w:vAlign w:val="bottom"/>
            <w:tcBorders>
              <w:bottom w:val="single" w:sz="8" w:color="auto"/>
            </w:tcBorders>
          </w:tcPr>
          <w:p>
            <w:pPr>
              <w:spacing w:after="0"/>
              <w:rPr>
                <w:sz w:val="18"/>
                <w:szCs w:val="18"/>
                <w:color w:val="auto"/>
              </w:rPr>
            </w:pPr>
          </w:p>
        </w:tc>
      </w:tr>
      <w:tr>
        <w:trPr>
          <w:trHeight w:val="229"/>
        </w:trPr>
        <w:tc>
          <w:tcPr>
            <w:tcW w:w="6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67"/>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67"/>
              <w:spacing w:after="0"/>
              <w:rPr>
                <w:sz w:val="20"/>
                <w:szCs w:val="20"/>
                <w:color w:val="auto"/>
              </w:rPr>
            </w:pPr>
            <w:r>
              <w:rPr>
                <w:rFonts w:ascii="Arial" w:cs="Arial" w:eastAsia="Arial" w:hAnsi="Arial"/>
                <w:sz w:val="16"/>
                <w:szCs w:val="16"/>
                <w:b w:val="1"/>
                <w:bCs w:val="1"/>
                <w:color w:val="auto"/>
                <w:w w:val="89"/>
              </w:rPr>
              <w:t>2021</w:t>
            </w:r>
          </w:p>
        </w:tc>
      </w:tr>
      <w:tr>
        <w:trPr>
          <w:trHeight w:val="253"/>
        </w:trPr>
        <w:tc>
          <w:tcPr>
            <w:tcW w:w="6700" w:type="dxa"/>
            <w:vAlign w:val="bottom"/>
          </w:tcPr>
          <w:p>
            <w:pPr>
              <w:spacing w:after="0"/>
              <w:rPr>
                <w:sz w:val="20"/>
                <w:szCs w:val="20"/>
                <w:color w:val="auto"/>
              </w:rPr>
            </w:pPr>
            <w:r>
              <w:rPr>
                <w:rFonts w:ascii="Arial" w:cs="Arial" w:eastAsia="Arial" w:hAnsi="Arial"/>
                <w:sz w:val="19"/>
                <w:szCs w:val="19"/>
                <w:b w:val="1"/>
                <w:bCs w:val="1"/>
                <w:color w:val="auto"/>
              </w:rPr>
              <w:t>Basic and Diluted Net Income per Class A Share</w:t>
            </w: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94"/>
        </w:trPr>
        <w:tc>
          <w:tcPr>
            <w:tcW w:w="6700" w:type="dxa"/>
            <w:vAlign w:val="bottom"/>
          </w:tcPr>
          <w:p>
            <w:pPr>
              <w:ind w:left="140"/>
              <w:spacing w:after="0"/>
              <w:rPr>
                <w:sz w:val="20"/>
                <w:szCs w:val="20"/>
                <w:color w:val="auto"/>
              </w:rPr>
            </w:pPr>
            <w:r>
              <w:rPr>
                <w:rFonts w:ascii="Arial" w:cs="Arial" w:eastAsia="Arial" w:hAnsi="Arial"/>
                <w:sz w:val="19"/>
                <w:szCs w:val="19"/>
                <w:color w:val="auto"/>
              </w:rPr>
              <w:t>Net income attributable to PAGP</w:t>
            </w:r>
          </w:p>
        </w:tc>
        <w:tc>
          <w:tcPr>
            <w:tcW w:w="260" w:type="dxa"/>
            <w:vAlign w:val="bottom"/>
          </w:tcPr>
          <w:p>
            <w:pPr>
              <w:jc w:val="right"/>
              <w:ind w:right="23"/>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198</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168</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60</w:t>
            </w:r>
          </w:p>
        </w:tc>
      </w:tr>
      <w:tr>
        <w:trPr>
          <w:trHeight w:val="292"/>
        </w:trPr>
        <w:tc>
          <w:tcPr>
            <w:tcW w:w="6700" w:type="dxa"/>
            <w:vAlign w:val="bottom"/>
          </w:tcPr>
          <w:p>
            <w:pPr>
              <w:ind w:left="140"/>
              <w:spacing w:after="0"/>
              <w:rPr>
                <w:sz w:val="20"/>
                <w:szCs w:val="20"/>
                <w:color w:val="auto"/>
              </w:rPr>
            </w:pPr>
            <w:r>
              <w:rPr>
                <w:rFonts w:ascii="Arial" w:cs="Arial" w:eastAsia="Arial" w:hAnsi="Arial"/>
                <w:sz w:val="19"/>
                <w:szCs w:val="19"/>
                <w:color w:val="auto"/>
              </w:rPr>
              <w:t>Basic and diluted weighted average Class A shares outstanding</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195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194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194</w:t>
            </w:r>
          </w:p>
        </w:tc>
      </w:tr>
      <w:tr>
        <w:trPr>
          <w:trHeight w:val="510"/>
        </w:trPr>
        <w:tc>
          <w:tcPr>
            <w:tcW w:w="6700" w:type="dxa"/>
            <w:vAlign w:val="bottom"/>
          </w:tcPr>
          <w:p>
            <w:pPr>
              <w:ind w:left="140"/>
              <w:spacing w:after="0"/>
              <w:rPr>
                <w:sz w:val="20"/>
                <w:szCs w:val="20"/>
                <w:color w:val="auto"/>
              </w:rPr>
            </w:pPr>
            <w:r>
              <w:rPr>
                <w:rFonts w:ascii="Arial" w:cs="Arial" w:eastAsia="Arial" w:hAnsi="Arial"/>
                <w:sz w:val="19"/>
                <w:szCs w:val="19"/>
                <w:color w:val="auto"/>
              </w:rPr>
              <w:t>Basic and diluted net income per Class A share</w:t>
            </w:r>
          </w:p>
        </w:tc>
        <w:tc>
          <w:tcPr>
            <w:tcW w:w="260" w:type="dxa"/>
            <w:vAlign w:val="bottom"/>
          </w:tcPr>
          <w:p>
            <w:pPr>
              <w:jc w:val="right"/>
              <w:ind w:right="23"/>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1.01</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0.86</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0.31</w:t>
            </w:r>
          </w:p>
        </w:tc>
      </w:tr>
      <w:tr>
        <w:trPr>
          <w:trHeight w:val="20"/>
        </w:trPr>
        <w:tc>
          <w:tcPr>
            <w:tcW w:w="6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-913130</wp:posOffset>
            </wp:positionV>
            <wp:extent cx="6358255" cy="9201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8">
                      <a:extLst>
                        <a:ext uri="{28A0092B-C50C-407E-A947-70E740481C1C}"/>
                      </a:extLst>
                    </a:blip>
                    <a:srcRect/>
                    <a:stretch>
                      <a:fillRect/>
                    </a:stretch>
                  </pic:blipFill>
                  <pic:spPr bwMode="auto">
                    <a:xfrm>
                      <a:off x="0" y="0"/>
                      <a:ext cx="6358255" cy="920115"/>
                    </a:xfrm>
                    <a:prstGeom prst="rect">
                      <a:avLst/>
                    </a:prstGeom>
                    <a:noFill/>
                  </pic:spPr>
                </pic:pic>
              </a:graphicData>
            </a:graphic>
          </wp:anchor>
        </w:drawing>
      </w:r>
    </w:p>
    <w:p>
      <w:pPr>
        <w:sectPr>
          <w:pgSz w:w="11880" w:h="15480" w:orient="portrait"/>
          <w:cols w:equalWidth="0" w:num="1">
            <w:col w:w="10001"/>
          </w:cols>
          <w:pgMar w:left="939" w:top="43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ectPr>
          <w:pgSz w:w="11880" w:h="15480" w:orient="portrait"/>
          <w:cols w:equalWidth="0" w:num="1">
            <w:col w:w="10001"/>
          </w:cols>
          <w:pgMar w:left="939" w:top="432" w:right="940" w:bottom="0"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2"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Note 5—Inventory, Linefill and Long-term Inventory</w:t>
      </w:r>
    </w:p>
    <w:p>
      <w:pPr>
        <w:spacing w:after="0" w:line="257" w:lineRule="exact"/>
        <w:rPr>
          <w:sz w:val="20"/>
          <w:szCs w:val="20"/>
          <w:color w:val="auto"/>
        </w:rPr>
      </w:pPr>
    </w:p>
    <w:p>
      <w:pPr>
        <w:ind w:left="1" w:firstLine="702"/>
        <w:spacing w:after="0" w:line="264" w:lineRule="auto"/>
        <w:rPr>
          <w:sz w:val="20"/>
          <w:szCs w:val="20"/>
          <w:color w:val="auto"/>
        </w:rPr>
      </w:pPr>
      <w:r>
        <w:rPr>
          <w:rFonts w:ascii="Arial" w:cs="Arial" w:eastAsia="Arial" w:hAnsi="Arial"/>
          <w:sz w:val="19"/>
          <w:szCs w:val="19"/>
          <w:color w:val="auto"/>
        </w:rPr>
        <w:t>Inventory, including long-term inventory, primarily consists of crude oil and NGL in pipelines, storage facilities and railcars that are valued at the lower of cost or net realizable value,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No adjustments were recorded during the years ended December 31, 2023, 2022 or 2021.</w:t>
      </w:r>
    </w:p>
    <w:p>
      <w:pPr>
        <w:spacing w:after="0" w:line="196" w:lineRule="exact"/>
        <w:rPr>
          <w:sz w:val="20"/>
          <w:szCs w:val="20"/>
          <w:color w:val="auto"/>
        </w:rPr>
      </w:pPr>
    </w:p>
    <w:p>
      <w:pPr>
        <w:ind w:left="1" w:right="20" w:firstLine="702"/>
        <w:spacing w:after="0" w:line="280" w:lineRule="auto"/>
        <w:rPr>
          <w:sz w:val="20"/>
          <w:szCs w:val="20"/>
          <w:color w:val="auto"/>
        </w:rPr>
      </w:pPr>
      <w:r>
        <w:rPr>
          <w:rFonts w:ascii="Arial" w:cs="Arial" w:eastAsia="Arial" w:hAnsi="Arial"/>
          <w:sz w:val="18"/>
          <w:szCs w:val="18"/>
          <w:color w:val="auto"/>
        </w:rPr>
        <w:t>Linefill in assets we own is recorded at historical cost and consists of crude oil and NGL. We classify as linefill (i) our proportionate share of barrels used to fill a pipeline that we own such that when an incremental barrel is pumped into or enters a pipeline it forces product out at another location and (ii) barrels that represent the minimum working requirements in tanks and caverns that we own. Linefill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6 for further discussion regarding impairment of long-lived assets. During 2023, 2022 and 2021, we did not recognize any material impairments of linefill.</w:t>
      </w:r>
    </w:p>
    <w:p>
      <w:pPr>
        <w:spacing w:after="0" w:line="181" w:lineRule="exact"/>
        <w:rPr>
          <w:sz w:val="20"/>
          <w:szCs w:val="20"/>
          <w:color w:val="auto"/>
        </w:rPr>
      </w:pPr>
    </w:p>
    <w:p>
      <w:pPr>
        <w:ind w:left="1" w:right="80" w:firstLine="702"/>
        <w:spacing w:after="0" w:line="305" w:lineRule="auto"/>
        <w:rPr>
          <w:sz w:val="20"/>
          <w:szCs w:val="20"/>
          <w:color w:val="auto"/>
        </w:rPr>
      </w:pPr>
      <w:r>
        <w:rPr>
          <w:rFonts w:ascii="Arial" w:cs="Arial" w:eastAsia="Arial" w:hAnsi="Arial"/>
          <w:sz w:val="17"/>
          <w:szCs w:val="17"/>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under “Other assets” on our Consolidated Balance Sheets.</w:t>
      </w:r>
    </w:p>
    <w:p>
      <w:pPr>
        <w:spacing w:after="0" w:line="162" w:lineRule="exact"/>
        <w:rPr>
          <w:sz w:val="20"/>
          <w:szCs w:val="20"/>
          <w:color w:val="auto"/>
        </w:rPr>
      </w:pPr>
    </w:p>
    <w:p>
      <w:pPr>
        <w:ind w:left="1" w:right="540" w:firstLine="702"/>
        <w:spacing w:after="0" w:line="295" w:lineRule="auto"/>
        <w:rPr>
          <w:sz w:val="20"/>
          <w:szCs w:val="20"/>
          <w:color w:val="auto"/>
        </w:rPr>
      </w:pPr>
      <w:r>
        <w:rPr>
          <w:rFonts w:ascii="Arial" w:cs="Arial" w:eastAsia="Arial" w:hAnsi="Arial"/>
          <w:sz w:val="19"/>
          <w:szCs w:val="19"/>
          <w:color w:val="auto"/>
        </w:rPr>
        <w:t>Inventory, linefill and long-term inventory consisted of the following (barrels in thousands and carrying value in millions):</w:t>
      </w:r>
    </w:p>
    <w:p>
      <w:pPr>
        <w:spacing w:after="0" w:line="252"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27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144"/>
              <w:spacing w:after="0"/>
              <w:rPr>
                <w:sz w:val="20"/>
                <w:szCs w:val="20"/>
                <w:color w:val="auto"/>
              </w:rPr>
            </w:pPr>
            <w:r>
              <w:rPr>
                <w:rFonts w:ascii="Arial" w:cs="Arial" w:eastAsia="Arial" w:hAnsi="Arial"/>
                <w:sz w:val="16"/>
                <w:szCs w:val="16"/>
                <w:b w:val="1"/>
                <w:bCs w:val="1"/>
                <w:color w:val="auto"/>
              </w:rPr>
              <w:t>December 31, 2023</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144"/>
              <w:spacing w:after="0"/>
              <w:rPr>
                <w:sz w:val="20"/>
                <w:szCs w:val="20"/>
                <w:color w:val="auto"/>
              </w:rPr>
            </w:pPr>
            <w:r>
              <w:rPr>
                <w:rFonts w:ascii="Arial" w:cs="Arial" w:eastAsia="Arial" w:hAnsi="Arial"/>
                <w:sz w:val="16"/>
                <w:szCs w:val="16"/>
                <w:b w:val="1"/>
                <w:bCs w:val="1"/>
                <w:color w:val="auto"/>
              </w:rPr>
              <w:t>December 31, 2022</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700" w:type="dxa"/>
            <w:vAlign w:val="bottom"/>
          </w:tcPr>
          <w:p>
            <w:pPr>
              <w:spacing w:after="0"/>
              <w:rPr>
                <w:sz w:val="15"/>
                <w:szCs w:val="15"/>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Volumes</w:t>
            </w:r>
          </w:p>
        </w:tc>
        <w:tc>
          <w:tcPr>
            <w:tcW w:w="60" w:type="dxa"/>
            <w:vAlign w:val="bottom"/>
          </w:tcPr>
          <w:p>
            <w:pPr>
              <w:spacing w:after="0"/>
              <w:rPr>
                <w:sz w:val="15"/>
                <w:szCs w:val="15"/>
                <w:color w:val="auto"/>
              </w:rPr>
            </w:pPr>
          </w:p>
        </w:tc>
        <w:tc>
          <w:tcPr>
            <w:tcW w:w="840" w:type="dxa"/>
            <w:vAlign w:val="bottom"/>
          </w:tcPr>
          <w:p>
            <w:pPr>
              <w:ind w:left="180"/>
              <w:spacing w:after="0" w:line="181" w:lineRule="exact"/>
              <w:rPr>
                <w:sz w:val="20"/>
                <w:szCs w:val="20"/>
                <w:color w:val="auto"/>
              </w:rPr>
            </w:pPr>
            <w:r>
              <w:rPr>
                <w:rFonts w:ascii="Arial" w:cs="Arial" w:eastAsia="Arial" w:hAnsi="Arial"/>
                <w:sz w:val="16"/>
                <w:szCs w:val="16"/>
                <w:b w:val="1"/>
                <w:bCs w:val="1"/>
                <w:color w:val="auto"/>
              </w:rPr>
              <w:t>Unit of</w:t>
            </w:r>
          </w:p>
        </w:tc>
        <w:tc>
          <w:tcPr>
            <w:tcW w:w="80" w:type="dxa"/>
            <w:vAlign w:val="bottom"/>
          </w:tcPr>
          <w:p>
            <w:pPr>
              <w:spacing w:after="0"/>
              <w:rPr>
                <w:sz w:val="15"/>
                <w:szCs w:val="15"/>
                <w:color w:val="auto"/>
              </w:rPr>
            </w:pPr>
          </w:p>
        </w:tc>
        <w:tc>
          <w:tcPr>
            <w:tcW w:w="820" w:type="dxa"/>
            <w:vAlign w:val="bottom"/>
            <w:gridSpan w:val="2"/>
          </w:tcPr>
          <w:p>
            <w:pPr>
              <w:jc w:val="right"/>
              <w:ind w:right="4"/>
              <w:spacing w:after="0" w:line="181" w:lineRule="exact"/>
              <w:rPr>
                <w:sz w:val="20"/>
                <w:szCs w:val="20"/>
                <w:color w:val="auto"/>
              </w:rPr>
            </w:pPr>
            <w:r>
              <w:rPr>
                <w:rFonts w:ascii="Arial" w:cs="Arial" w:eastAsia="Arial" w:hAnsi="Arial"/>
                <w:sz w:val="16"/>
                <w:szCs w:val="16"/>
                <w:b w:val="1"/>
                <w:bCs w:val="1"/>
                <w:color w:val="auto"/>
              </w:rPr>
              <w:t>Carrying</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260"/>
              <w:spacing w:after="0" w:line="181" w:lineRule="exact"/>
              <w:rPr>
                <w:sz w:val="20"/>
                <w:szCs w:val="20"/>
                <w:color w:val="auto"/>
              </w:rPr>
            </w:pPr>
            <w:r>
              <w:rPr>
                <w:rFonts w:ascii="Arial" w:cs="Arial" w:eastAsia="Arial" w:hAnsi="Arial"/>
                <w:sz w:val="16"/>
                <w:szCs w:val="16"/>
                <w:b w:val="1"/>
                <w:bCs w:val="1"/>
                <w:color w:val="auto"/>
                <w:w w:val="87"/>
              </w:rPr>
              <w:t>Price/</w:t>
            </w:r>
          </w:p>
        </w:tc>
        <w:tc>
          <w:tcPr>
            <w:tcW w:w="60" w:type="dxa"/>
            <w:vAlign w:val="bottom"/>
          </w:tcPr>
          <w:p>
            <w:pPr>
              <w:spacing w:after="0"/>
              <w:rPr>
                <w:sz w:val="15"/>
                <w:szCs w:val="15"/>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6"/>
                <w:szCs w:val="16"/>
                <w:b w:val="1"/>
                <w:bCs w:val="1"/>
                <w:color w:val="auto"/>
              </w:rPr>
              <w:t>Volumes</w:t>
            </w:r>
          </w:p>
        </w:tc>
        <w:tc>
          <w:tcPr>
            <w:tcW w:w="80" w:type="dxa"/>
            <w:vAlign w:val="bottom"/>
          </w:tcPr>
          <w:p>
            <w:pPr>
              <w:spacing w:after="0"/>
              <w:rPr>
                <w:sz w:val="15"/>
                <w:szCs w:val="15"/>
                <w:color w:val="auto"/>
              </w:rPr>
            </w:pPr>
          </w:p>
        </w:tc>
        <w:tc>
          <w:tcPr>
            <w:tcW w:w="840" w:type="dxa"/>
            <w:vAlign w:val="bottom"/>
          </w:tcPr>
          <w:p>
            <w:pPr>
              <w:ind w:left="180"/>
              <w:spacing w:after="0" w:line="181" w:lineRule="exact"/>
              <w:rPr>
                <w:sz w:val="20"/>
                <w:szCs w:val="20"/>
                <w:color w:val="auto"/>
              </w:rPr>
            </w:pPr>
            <w:r>
              <w:rPr>
                <w:rFonts w:ascii="Arial" w:cs="Arial" w:eastAsia="Arial" w:hAnsi="Arial"/>
                <w:sz w:val="16"/>
                <w:szCs w:val="16"/>
                <w:b w:val="1"/>
                <w:bCs w:val="1"/>
                <w:color w:val="auto"/>
              </w:rPr>
              <w:t>Unit of</w:t>
            </w:r>
          </w:p>
        </w:tc>
        <w:tc>
          <w:tcPr>
            <w:tcW w:w="60" w:type="dxa"/>
            <w:vAlign w:val="bottom"/>
          </w:tcPr>
          <w:p>
            <w:pPr>
              <w:spacing w:after="0"/>
              <w:rPr>
                <w:sz w:val="15"/>
                <w:szCs w:val="15"/>
                <w:color w:val="auto"/>
              </w:rPr>
            </w:pPr>
          </w:p>
        </w:tc>
        <w:tc>
          <w:tcPr>
            <w:tcW w:w="840" w:type="dxa"/>
            <w:vAlign w:val="bottom"/>
            <w:gridSpan w:val="2"/>
          </w:tcPr>
          <w:p>
            <w:pPr>
              <w:jc w:val="right"/>
              <w:ind w:right="4"/>
              <w:spacing w:after="0" w:line="181" w:lineRule="exact"/>
              <w:rPr>
                <w:sz w:val="20"/>
                <w:szCs w:val="20"/>
                <w:color w:val="auto"/>
              </w:rPr>
            </w:pPr>
            <w:r>
              <w:rPr>
                <w:rFonts w:ascii="Arial" w:cs="Arial" w:eastAsia="Arial" w:hAnsi="Arial"/>
                <w:sz w:val="16"/>
                <w:szCs w:val="16"/>
                <w:b w:val="1"/>
                <w:bCs w:val="1"/>
                <w:color w:val="auto"/>
              </w:rPr>
              <w:t>Carrying</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27"/>
              <w:spacing w:after="0" w:line="181" w:lineRule="exact"/>
              <w:rPr>
                <w:sz w:val="20"/>
                <w:szCs w:val="20"/>
                <w:color w:val="auto"/>
              </w:rPr>
            </w:pPr>
            <w:r>
              <w:rPr>
                <w:rFonts w:ascii="Arial" w:cs="Arial" w:eastAsia="Arial" w:hAnsi="Arial"/>
                <w:sz w:val="16"/>
                <w:szCs w:val="16"/>
                <w:b w:val="1"/>
                <w:bCs w:val="1"/>
                <w:color w:val="auto"/>
                <w:w w:val="96"/>
              </w:rPr>
              <w:t>Price/</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Arial" w:cs="Arial" w:eastAsia="Arial" w:hAnsi="Arial"/>
                <w:sz w:val="16"/>
                <w:szCs w:val="16"/>
                <w:b w:val="1"/>
                <w:bCs w:val="1"/>
                <w:color w:val="auto"/>
              </w:rPr>
              <w:t>Measure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24"/>
              <w:spacing w:after="0"/>
              <w:rPr>
                <w:sz w:val="20"/>
                <w:szCs w:val="20"/>
                <w:color w:val="auto"/>
              </w:rPr>
            </w:pPr>
            <w:r>
              <w:rPr>
                <w:rFonts w:ascii="Arial" w:cs="Arial" w:eastAsia="Arial" w:hAnsi="Arial"/>
                <w:sz w:val="16"/>
                <w:szCs w:val="16"/>
                <w:b w:val="1"/>
                <w:bCs w:val="1"/>
                <w:color w:val="auto"/>
                <w:w w:val="93"/>
              </w:rPr>
              <w:t>Value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center"/>
              <w:ind w:right="260"/>
              <w:spacing w:after="0" w:line="208" w:lineRule="exact"/>
              <w:rPr>
                <w:sz w:val="20"/>
                <w:szCs w:val="20"/>
                <w:color w:val="auto"/>
              </w:rPr>
            </w:pPr>
            <w:r>
              <w:rPr>
                <w:rFonts w:ascii="Arial" w:cs="Arial" w:eastAsia="Arial" w:hAnsi="Arial"/>
                <w:sz w:val="16"/>
                <w:szCs w:val="16"/>
                <w:b w:val="1"/>
                <w:bCs w:val="1"/>
                <w:color w:val="auto"/>
                <w:w w:val="88"/>
              </w:rPr>
              <w:t xml:space="preserve">Unit </w:t>
            </w:r>
            <w:r>
              <w:rPr>
                <w:rFonts w:ascii="Arial" w:cs="Arial" w:eastAsia="Arial" w:hAnsi="Arial"/>
                <w:sz w:val="20"/>
                <w:szCs w:val="20"/>
                <w:b w:val="1"/>
                <w:bCs w:val="1"/>
                <w:color w:val="auto"/>
                <w:w w:val="88"/>
                <w:vertAlign w:val="superscript"/>
              </w:rPr>
              <w:t>(1)</w:t>
            </w:r>
          </w:p>
        </w:tc>
        <w:tc>
          <w:tcPr>
            <w:tcW w:w="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Arial" w:cs="Arial" w:eastAsia="Arial" w:hAnsi="Arial"/>
                <w:sz w:val="16"/>
                <w:szCs w:val="16"/>
                <w:b w:val="1"/>
                <w:bCs w:val="1"/>
                <w:color w:val="auto"/>
              </w:rPr>
              <w:t>Measure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24"/>
              <w:spacing w:after="0"/>
              <w:rPr>
                <w:sz w:val="20"/>
                <w:szCs w:val="20"/>
                <w:color w:val="auto"/>
              </w:rPr>
            </w:pPr>
            <w:r>
              <w:rPr>
                <w:rFonts w:ascii="Arial" w:cs="Arial" w:eastAsia="Arial" w:hAnsi="Arial"/>
                <w:sz w:val="16"/>
                <w:szCs w:val="16"/>
                <w:b w:val="1"/>
                <w:bCs w:val="1"/>
                <w:color w:val="auto"/>
                <w:w w:val="93"/>
              </w:rPr>
              <w:t>Value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87"/>
              <w:spacing w:after="0" w:line="208" w:lineRule="exact"/>
              <w:rPr>
                <w:sz w:val="20"/>
                <w:szCs w:val="20"/>
                <w:color w:val="auto"/>
              </w:rPr>
            </w:pPr>
            <w:r>
              <w:rPr>
                <w:rFonts w:ascii="Arial" w:cs="Arial" w:eastAsia="Arial" w:hAnsi="Arial"/>
                <w:sz w:val="16"/>
                <w:szCs w:val="16"/>
                <w:b w:val="1"/>
                <w:bCs w:val="1"/>
                <w:color w:val="auto"/>
                <w:w w:val="88"/>
              </w:rPr>
              <w:t xml:space="preserve">Unit </w:t>
            </w:r>
            <w:r>
              <w:rPr>
                <w:rFonts w:ascii="Arial" w:cs="Arial" w:eastAsia="Arial" w:hAnsi="Arial"/>
                <w:sz w:val="20"/>
                <w:szCs w:val="20"/>
                <w:b w:val="1"/>
                <w:bCs w:val="1"/>
                <w:color w:val="auto"/>
                <w:w w:val="88"/>
                <w:vertAlign w:val="superscript"/>
              </w:rPr>
              <w:t>(1)</w:t>
            </w:r>
          </w:p>
        </w:tc>
        <w:tc>
          <w:tcPr>
            <w:tcW w:w="0" w:type="dxa"/>
            <w:vAlign w:val="bottom"/>
          </w:tcPr>
          <w:p>
            <w:pPr>
              <w:spacing w:after="0"/>
              <w:rPr>
                <w:sz w:val="1"/>
                <w:szCs w:val="1"/>
                <w:color w:val="auto"/>
              </w:rPr>
            </w:pPr>
          </w:p>
        </w:tc>
      </w:tr>
      <w:tr>
        <w:trPr>
          <w:trHeight w:val="255"/>
        </w:trPr>
        <w:tc>
          <w:tcPr>
            <w:tcW w:w="2700" w:type="dxa"/>
            <w:vAlign w:val="bottom"/>
          </w:tcPr>
          <w:p>
            <w:pPr>
              <w:ind w:left="100"/>
              <w:spacing w:after="0"/>
              <w:rPr>
                <w:sz w:val="20"/>
                <w:szCs w:val="20"/>
                <w:color w:val="auto"/>
              </w:rPr>
            </w:pPr>
            <w:r>
              <w:rPr>
                <w:rFonts w:ascii="Arial" w:cs="Arial" w:eastAsia="Arial" w:hAnsi="Arial"/>
                <w:sz w:val="19"/>
                <w:szCs w:val="19"/>
                <w:b w:val="1"/>
                <w:bCs w:val="1"/>
                <w:color w:val="auto"/>
              </w:rPr>
              <w:t>Inventory</w:t>
            </w:r>
          </w:p>
        </w:tc>
        <w:tc>
          <w:tcPr>
            <w:tcW w:w="5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2700" w:type="dxa"/>
            <w:vAlign w:val="bottom"/>
          </w:tcPr>
          <w:p>
            <w:pPr>
              <w:ind w:left="100"/>
              <w:spacing w:after="0"/>
              <w:rPr>
                <w:sz w:val="20"/>
                <w:szCs w:val="20"/>
                <w:color w:val="auto"/>
              </w:rPr>
            </w:pPr>
            <w:r>
              <w:rPr>
                <w:rFonts w:ascii="Arial" w:cs="Arial" w:eastAsia="Arial" w:hAnsi="Arial"/>
                <w:sz w:val="19"/>
                <w:szCs w:val="19"/>
                <w:color w:val="auto"/>
              </w:rPr>
              <w:t>Crude oil</w:t>
            </w:r>
          </w:p>
        </w:tc>
        <w:tc>
          <w:tcPr>
            <w:tcW w:w="840" w:type="dxa"/>
            <w:vAlign w:val="bottom"/>
            <w:gridSpan w:val="2"/>
          </w:tcPr>
          <w:p>
            <w:pPr>
              <w:jc w:val="right"/>
              <w:ind w:right="80"/>
              <w:spacing w:after="0"/>
              <w:rPr>
                <w:sz w:val="20"/>
                <w:szCs w:val="20"/>
                <w:color w:val="auto"/>
              </w:rPr>
            </w:pPr>
            <w:r>
              <w:rPr>
                <w:rFonts w:ascii="Arial" w:cs="Arial" w:eastAsia="Arial" w:hAnsi="Arial"/>
                <w:sz w:val="19"/>
                <w:szCs w:val="19"/>
                <w:color w:val="auto"/>
              </w:rPr>
              <w:t>5,877</w:t>
            </w:r>
          </w:p>
        </w:tc>
        <w:tc>
          <w:tcPr>
            <w:tcW w:w="6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383</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65.17</w:t>
            </w:r>
          </w:p>
        </w:tc>
        <w:tc>
          <w:tcPr>
            <w:tcW w:w="80" w:type="dxa"/>
            <w:vAlign w:val="bottom"/>
            <w:tcBorders>
              <w:right w:val="single" w:sz="8" w:color="auto"/>
            </w:tcBorders>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6,713</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452</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67.33</w:t>
            </w:r>
          </w:p>
        </w:tc>
        <w:tc>
          <w:tcPr>
            <w:tcW w:w="0" w:type="dxa"/>
            <w:vAlign w:val="bottom"/>
          </w:tcPr>
          <w:p>
            <w:pPr>
              <w:spacing w:after="0"/>
              <w:rPr>
                <w:sz w:val="1"/>
                <w:szCs w:val="1"/>
                <w:color w:val="auto"/>
              </w:rPr>
            </w:pPr>
          </w:p>
        </w:tc>
      </w:tr>
      <w:tr>
        <w:trPr>
          <w:trHeight w:val="292"/>
        </w:trPr>
        <w:tc>
          <w:tcPr>
            <w:tcW w:w="2700" w:type="dxa"/>
            <w:vAlign w:val="bottom"/>
          </w:tcPr>
          <w:p>
            <w:pPr>
              <w:ind w:left="100"/>
              <w:spacing w:after="0"/>
              <w:rPr>
                <w:sz w:val="20"/>
                <w:szCs w:val="20"/>
                <w:color w:val="auto"/>
              </w:rPr>
            </w:pPr>
            <w:r>
              <w:rPr>
                <w:rFonts w:ascii="Arial" w:cs="Arial" w:eastAsia="Arial" w:hAnsi="Arial"/>
                <w:sz w:val="19"/>
                <w:szCs w:val="19"/>
                <w:color w:val="auto"/>
              </w:rPr>
              <w:t>NGL</w:t>
            </w:r>
          </w:p>
        </w:tc>
        <w:tc>
          <w:tcPr>
            <w:tcW w:w="840" w:type="dxa"/>
            <w:vAlign w:val="bottom"/>
            <w:gridSpan w:val="2"/>
          </w:tcPr>
          <w:p>
            <w:pPr>
              <w:jc w:val="right"/>
              <w:ind w:right="80"/>
              <w:spacing w:after="0"/>
              <w:rPr>
                <w:sz w:val="20"/>
                <w:szCs w:val="20"/>
                <w:color w:val="auto"/>
              </w:rPr>
            </w:pPr>
            <w:r>
              <w:rPr>
                <w:rFonts w:ascii="Arial" w:cs="Arial" w:eastAsia="Arial" w:hAnsi="Arial"/>
                <w:sz w:val="19"/>
                <w:szCs w:val="19"/>
                <w:color w:val="auto"/>
              </w:rPr>
              <w:t>5,957</w:t>
            </w:r>
          </w:p>
        </w:tc>
        <w:tc>
          <w:tcPr>
            <w:tcW w:w="6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154</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25.85</w:t>
            </w:r>
          </w:p>
        </w:tc>
        <w:tc>
          <w:tcPr>
            <w:tcW w:w="80" w:type="dxa"/>
            <w:vAlign w:val="bottom"/>
            <w:tcBorders>
              <w:right w:val="single" w:sz="8" w:color="auto"/>
            </w:tcBorders>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7,285</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270</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37.06</w:t>
            </w:r>
          </w:p>
        </w:tc>
        <w:tc>
          <w:tcPr>
            <w:tcW w:w="0" w:type="dxa"/>
            <w:vAlign w:val="bottom"/>
          </w:tcPr>
          <w:p>
            <w:pPr>
              <w:spacing w:after="0"/>
              <w:rPr>
                <w:sz w:val="1"/>
                <w:szCs w:val="1"/>
                <w:color w:val="auto"/>
              </w:rPr>
            </w:pPr>
          </w:p>
        </w:tc>
      </w:tr>
      <w:tr>
        <w:trPr>
          <w:trHeight w:val="296"/>
        </w:trPr>
        <w:tc>
          <w:tcPr>
            <w:tcW w:w="2700" w:type="dxa"/>
            <w:vAlign w:val="bottom"/>
          </w:tcPr>
          <w:p>
            <w:pPr>
              <w:ind w:left="100"/>
              <w:spacing w:after="0"/>
              <w:rPr>
                <w:sz w:val="20"/>
                <w:szCs w:val="20"/>
                <w:color w:val="auto"/>
              </w:rPr>
            </w:pPr>
            <w:r>
              <w:rPr>
                <w:rFonts w:ascii="Arial" w:cs="Arial" w:eastAsia="Arial" w:hAnsi="Arial"/>
                <w:sz w:val="19"/>
                <w:szCs w:val="19"/>
                <w:color w:val="auto"/>
              </w:rPr>
              <w:t>Other</w:t>
            </w:r>
          </w:p>
        </w:tc>
        <w:tc>
          <w:tcPr>
            <w:tcW w:w="840" w:type="dxa"/>
            <w:vAlign w:val="bottom"/>
            <w:gridSpan w:val="2"/>
          </w:tcPr>
          <w:p>
            <w:pPr>
              <w:jc w:val="right"/>
              <w:ind w:right="20"/>
              <w:spacing w:after="0"/>
              <w:rPr>
                <w:sz w:val="20"/>
                <w:szCs w:val="20"/>
                <w:color w:val="auto"/>
              </w:rPr>
            </w:pPr>
            <w:r>
              <w:rPr>
                <w:rFonts w:ascii="Arial" w:cs="Arial" w:eastAsia="Arial" w:hAnsi="Arial"/>
                <w:sz w:val="19"/>
                <w:szCs w:val="19"/>
                <w:color w:val="auto"/>
              </w:rPr>
              <w:t>N/A</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right w:val="single" w:sz="8" w:color="auto"/>
            </w:tcBorders>
            <w:gridSpan w:val="2"/>
          </w:tcPr>
          <w:p>
            <w:pPr>
              <w:ind w:left="320"/>
              <w:spacing w:after="0"/>
              <w:rPr>
                <w:sz w:val="20"/>
                <w:szCs w:val="20"/>
                <w:color w:val="auto"/>
              </w:rPr>
            </w:pPr>
            <w:r>
              <w:rPr>
                <w:rFonts w:ascii="Arial" w:cs="Arial" w:eastAsia="Arial" w:hAnsi="Arial"/>
                <w:sz w:val="19"/>
                <w:szCs w:val="19"/>
                <w:color w:val="auto"/>
              </w:rPr>
              <w:t>N/A</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N/A</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N/A</w:t>
            </w:r>
          </w:p>
        </w:tc>
        <w:tc>
          <w:tcPr>
            <w:tcW w:w="0" w:type="dxa"/>
            <w:vAlign w:val="bottom"/>
          </w:tcPr>
          <w:p>
            <w:pPr>
              <w:spacing w:after="0"/>
              <w:rPr>
                <w:sz w:val="1"/>
                <w:szCs w:val="1"/>
                <w:color w:val="auto"/>
              </w:rPr>
            </w:pPr>
          </w:p>
        </w:tc>
      </w:tr>
      <w:tr>
        <w:trPr>
          <w:trHeight w:val="272"/>
        </w:trPr>
        <w:tc>
          <w:tcPr>
            <w:tcW w:w="2700" w:type="dxa"/>
            <w:vAlign w:val="bottom"/>
          </w:tcPr>
          <w:p>
            <w:pPr>
              <w:ind w:left="240"/>
              <w:spacing w:after="0"/>
              <w:rPr>
                <w:sz w:val="20"/>
                <w:szCs w:val="20"/>
                <w:color w:val="auto"/>
              </w:rPr>
            </w:pPr>
            <w:r>
              <w:rPr>
                <w:rFonts w:ascii="Arial" w:cs="Arial" w:eastAsia="Arial" w:hAnsi="Arial"/>
                <w:sz w:val="19"/>
                <w:szCs w:val="19"/>
                <w:color w:val="auto"/>
              </w:rPr>
              <w:t>Inventory subtotal</w:t>
            </w: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3"/>
        </w:trPr>
        <w:tc>
          <w:tcPr>
            <w:tcW w:w="2700" w:type="dxa"/>
            <w:vAlign w:val="bottom"/>
          </w:tcPr>
          <w:p>
            <w:pPr>
              <w:ind w:left="100"/>
              <w:spacing w:after="0"/>
              <w:rPr>
                <w:sz w:val="20"/>
                <w:szCs w:val="20"/>
                <w:color w:val="auto"/>
              </w:rPr>
            </w:pPr>
            <w:r>
              <w:rPr>
                <w:rFonts w:ascii="Arial" w:cs="Arial" w:eastAsia="Arial" w:hAnsi="Arial"/>
                <w:sz w:val="19"/>
                <w:szCs w:val="19"/>
                <w:b w:val="1"/>
                <w:bCs w:val="1"/>
                <w:color w:val="auto"/>
              </w:rPr>
              <w:t>Linefill</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700" w:type="dxa"/>
            <w:vAlign w:val="bottom"/>
          </w:tcPr>
          <w:p>
            <w:pPr>
              <w:ind w:left="100"/>
              <w:spacing w:after="0"/>
              <w:rPr>
                <w:sz w:val="20"/>
                <w:szCs w:val="20"/>
                <w:color w:val="auto"/>
              </w:rPr>
            </w:pPr>
            <w:r>
              <w:rPr>
                <w:rFonts w:ascii="Arial" w:cs="Arial" w:eastAsia="Arial" w:hAnsi="Arial"/>
                <w:sz w:val="19"/>
                <w:szCs w:val="19"/>
                <w:color w:val="auto"/>
              </w:rPr>
              <w:t>Crude oil</w:t>
            </w:r>
          </w:p>
        </w:tc>
        <w:tc>
          <w:tcPr>
            <w:tcW w:w="840" w:type="dxa"/>
            <w:vAlign w:val="bottom"/>
            <w:gridSpan w:val="2"/>
          </w:tcPr>
          <w:p>
            <w:pPr>
              <w:jc w:val="right"/>
              <w:ind w:right="80"/>
              <w:spacing w:after="0"/>
              <w:rPr>
                <w:sz w:val="20"/>
                <w:szCs w:val="20"/>
                <w:color w:val="auto"/>
              </w:rPr>
            </w:pPr>
            <w:r>
              <w:rPr>
                <w:rFonts w:ascii="Arial" w:cs="Arial" w:eastAsia="Arial" w:hAnsi="Arial"/>
                <w:sz w:val="19"/>
                <w:szCs w:val="19"/>
                <w:color w:val="auto"/>
              </w:rPr>
              <w:t>15,409</w:t>
            </w:r>
          </w:p>
        </w:tc>
        <w:tc>
          <w:tcPr>
            <w:tcW w:w="6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909</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58.99</w:t>
            </w:r>
          </w:p>
        </w:tc>
        <w:tc>
          <w:tcPr>
            <w:tcW w:w="80" w:type="dxa"/>
            <w:vAlign w:val="bottom"/>
            <w:tcBorders>
              <w:right w:val="single" w:sz="8" w:color="auto"/>
            </w:tcBorders>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15,480</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906</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58.53</w:t>
            </w:r>
          </w:p>
        </w:tc>
        <w:tc>
          <w:tcPr>
            <w:tcW w:w="0" w:type="dxa"/>
            <w:vAlign w:val="bottom"/>
          </w:tcPr>
          <w:p>
            <w:pPr>
              <w:spacing w:after="0"/>
              <w:rPr>
                <w:sz w:val="1"/>
                <w:szCs w:val="1"/>
                <w:color w:val="auto"/>
              </w:rPr>
            </w:pPr>
          </w:p>
        </w:tc>
      </w:tr>
      <w:tr>
        <w:trPr>
          <w:trHeight w:val="295"/>
        </w:trPr>
        <w:tc>
          <w:tcPr>
            <w:tcW w:w="2700" w:type="dxa"/>
            <w:vAlign w:val="bottom"/>
          </w:tcPr>
          <w:p>
            <w:pPr>
              <w:ind w:left="100"/>
              <w:spacing w:after="0"/>
              <w:rPr>
                <w:sz w:val="20"/>
                <w:szCs w:val="20"/>
                <w:color w:val="auto"/>
              </w:rPr>
            </w:pPr>
            <w:r>
              <w:rPr>
                <w:rFonts w:ascii="Arial" w:cs="Arial" w:eastAsia="Arial" w:hAnsi="Arial"/>
                <w:sz w:val="19"/>
                <w:szCs w:val="19"/>
                <w:color w:val="auto"/>
              </w:rPr>
              <w:t>NGL</w:t>
            </w:r>
          </w:p>
        </w:tc>
        <w:tc>
          <w:tcPr>
            <w:tcW w:w="840" w:type="dxa"/>
            <w:vAlign w:val="bottom"/>
            <w:gridSpan w:val="2"/>
          </w:tcPr>
          <w:p>
            <w:pPr>
              <w:jc w:val="right"/>
              <w:ind w:right="80"/>
              <w:spacing w:after="0"/>
              <w:rPr>
                <w:sz w:val="20"/>
                <w:szCs w:val="20"/>
                <w:color w:val="auto"/>
              </w:rPr>
            </w:pPr>
            <w:r>
              <w:rPr>
                <w:rFonts w:ascii="Arial" w:cs="Arial" w:eastAsia="Arial" w:hAnsi="Arial"/>
                <w:sz w:val="19"/>
                <w:szCs w:val="19"/>
                <w:color w:val="auto"/>
              </w:rPr>
              <w:t>2,168</w:t>
            </w:r>
          </w:p>
        </w:tc>
        <w:tc>
          <w:tcPr>
            <w:tcW w:w="6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67</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30.90</w:t>
            </w:r>
          </w:p>
        </w:tc>
        <w:tc>
          <w:tcPr>
            <w:tcW w:w="80" w:type="dxa"/>
            <w:vAlign w:val="bottom"/>
            <w:tcBorders>
              <w:right w:val="single" w:sz="8" w:color="auto"/>
            </w:tcBorders>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1,876</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29.32</w:t>
            </w:r>
          </w:p>
        </w:tc>
        <w:tc>
          <w:tcPr>
            <w:tcW w:w="0" w:type="dxa"/>
            <w:vAlign w:val="bottom"/>
          </w:tcPr>
          <w:p>
            <w:pPr>
              <w:spacing w:after="0"/>
              <w:rPr>
                <w:sz w:val="1"/>
                <w:szCs w:val="1"/>
                <w:color w:val="auto"/>
              </w:rPr>
            </w:pPr>
          </w:p>
        </w:tc>
      </w:tr>
      <w:tr>
        <w:trPr>
          <w:trHeight w:val="272"/>
        </w:trPr>
        <w:tc>
          <w:tcPr>
            <w:tcW w:w="2700" w:type="dxa"/>
            <w:vAlign w:val="bottom"/>
          </w:tcPr>
          <w:p>
            <w:pPr>
              <w:ind w:left="240"/>
              <w:spacing w:after="0"/>
              <w:rPr>
                <w:sz w:val="20"/>
                <w:szCs w:val="20"/>
                <w:color w:val="auto"/>
              </w:rPr>
            </w:pPr>
            <w:r>
              <w:rPr>
                <w:rFonts w:ascii="Arial" w:cs="Arial" w:eastAsia="Arial" w:hAnsi="Arial"/>
                <w:sz w:val="19"/>
                <w:szCs w:val="19"/>
                <w:color w:val="auto"/>
              </w:rPr>
              <w:t>Linefill subtotal</w:t>
            </w: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976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961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3"/>
        </w:trPr>
        <w:tc>
          <w:tcPr>
            <w:tcW w:w="2700" w:type="dxa"/>
            <w:vAlign w:val="bottom"/>
          </w:tcPr>
          <w:p>
            <w:pPr>
              <w:ind w:left="100"/>
              <w:spacing w:after="0"/>
              <w:rPr>
                <w:sz w:val="20"/>
                <w:szCs w:val="20"/>
                <w:color w:val="auto"/>
              </w:rPr>
            </w:pPr>
            <w:r>
              <w:rPr>
                <w:rFonts w:ascii="Arial" w:cs="Arial" w:eastAsia="Arial" w:hAnsi="Arial"/>
                <w:sz w:val="19"/>
                <w:szCs w:val="19"/>
                <w:b w:val="1"/>
                <w:bCs w:val="1"/>
                <w:color w:val="auto"/>
              </w:rPr>
              <w:t>Long-term inventory</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700" w:type="dxa"/>
            <w:vAlign w:val="bottom"/>
          </w:tcPr>
          <w:p>
            <w:pPr>
              <w:ind w:left="100"/>
              <w:spacing w:after="0"/>
              <w:rPr>
                <w:sz w:val="20"/>
                <w:szCs w:val="20"/>
                <w:color w:val="auto"/>
              </w:rPr>
            </w:pPr>
            <w:r>
              <w:rPr>
                <w:rFonts w:ascii="Arial" w:cs="Arial" w:eastAsia="Arial" w:hAnsi="Arial"/>
                <w:sz w:val="19"/>
                <w:szCs w:val="19"/>
                <w:color w:val="auto"/>
              </w:rPr>
              <w:t>Crude oil</w:t>
            </w:r>
          </w:p>
        </w:tc>
        <w:tc>
          <w:tcPr>
            <w:tcW w:w="840" w:type="dxa"/>
            <w:vAlign w:val="bottom"/>
            <w:gridSpan w:val="2"/>
          </w:tcPr>
          <w:p>
            <w:pPr>
              <w:jc w:val="right"/>
              <w:ind w:right="80"/>
              <w:spacing w:after="0"/>
              <w:rPr>
                <w:sz w:val="20"/>
                <w:szCs w:val="20"/>
                <w:color w:val="auto"/>
              </w:rPr>
            </w:pPr>
            <w:r>
              <w:rPr>
                <w:rFonts w:ascii="Arial" w:cs="Arial" w:eastAsia="Arial" w:hAnsi="Arial"/>
                <w:sz w:val="19"/>
                <w:szCs w:val="19"/>
                <w:color w:val="auto"/>
              </w:rPr>
              <w:t>3,256</w:t>
            </w:r>
          </w:p>
        </w:tc>
        <w:tc>
          <w:tcPr>
            <w:tcW w:w="6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232</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71.25</w:t>
            </w:r>
          </w:p>
        </w:tc>
        <w:tc>
          <w:tcPr>
            <w:tcW w:w="80" w:type="dxa"/>
            <w:vAlign w:val="bottom"/>
            <w:tcBorders>
              <w:right w:val="single" w:sz="8" w:color="auto"/>
            </w:tcBorders>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3,102</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246</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79.30</w:t>
            </w:r>
          </w:p>
        </w:tc>
        <w:tc>
          <w:tcPr>
            <w:tcW w:w="0" w:type="dxa"/>
            <w:vAlign w:val="bottom"/>
          </w:tcPr>
          <w:p>
            <w:pPr>
              <w:spacing w:after="0"/>
              <w:rPr>
                <w:sz w:val="1"/>
                <w:szCs w:val="1"/>
                <w:color w:val="auto"/>
              </w:rPr>
            </w:pPr>
          </w:p>
        </w:tc>
      </w:tr>
      <w:tr>
        <w:trPr>
          <w:trHeight w:val="295"/>
        </w:trPr>
        <w:tc>
          <w:tcPr>
            <w:tcW w:w="2700" w:type="dxa"/>
            <w:vAlign w:val="bottom"/>
          </w:tcPr>
          <w:p>
            <w:pPr>
              <w:ind w:left="100"/>
              <w:spacing w:after="0"/>
              <w:rPr>
                <w:sz w:val="20"/>
                <w:szCs w:val="20"/>
                <w:color w:val="auto"/>
              </w:rPr>
            </w:pPr>
            <w:r>
              <w:rPr>
                <w:rFonts w:ascii="Arial" w:cs="Arial" w:eastAsia="Arial" w:hAnsi="Arial"/>
                <w:sz w:val="19"/>
                <w:szCs w:val="19"/>
                <w:color w:val="auto"/>
              </w:rPr>
              <w:t>NGL</w:t>
            </w:r>
          </w:p>
        </w:tc>
        <w:tc>
          <w:tcPr>
            <w:tcW w:w="840" w:type="dxa"/>
            <w:vAlign w:val="bottom"/>
            <w:gridSpan w:val="2"/>
          </w:tcPr>
          <w:p>
            <w:pPr>
              <w:jc w:val="right"/>
              <w:ind w:right="80"/>
              <w:spacing w:after="0"/>
              <w:rPr>
                <w:sz w:val="20"/>
                <w:szCs w:val="20"/>
                <w:color w:val="auto"/>
              </w:rPr>
            </w:pPr>
            <w:r>
              <w:rPr>
                <w:rFonts w:ascii="Arial" w:cs="Arial" w:eastAsia="Arial" w:hAnsi="Arial"/>
                <w:sz w:val="19"/>
                <w:szCs w:val="19"/>
                <w:color w:val="auto"/>
              </w:rPr>
              <w:t>1,326</w:t>
            </w:r>
          </w:p>
        </w:tc>
        <w:tc>
          <w:tcPr>
            <w:tcW w:w="6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24.89</w:t>
            </w:r>
          </w:p>
        </w:tc>
        <w:tc>
          <w:tcPr>
            <w:tcW w:w="80" w:type="dxa"/>
            <w:vAlign w:val="bottom"/>
            <w:tcBorders>
              <w:right w:val="single" w:sz="8" w:color="auto"/>
            </w:tcBorders>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1,066</w:t>
            </w:r>
          </w:p>
        </w:tc>
        <w:tc>
          <w:tcPr>
            <w:tcW w:w="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9"/>
                <w:szCs w:val="19"/>
                <w:color w:val="auto"/>
              </w:rPr>
              <w:t>barrels</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35.65</w:t>
            </w:r>
          </w:p>
        </w:tc>
        <w:tc>
          <w:tcPr>
            <w:tcW w:w="0" w:type="dxa"/>
            <w:vAlign w:val="bottom"/>
          </w:tcPr>
          <w:p>
            <w:pPr>
              <w:spacing w:after="0"/>
              <w:rPr>
                <w:sz w:val="1"/>
                <w:szCs w:val="1"/>
                <w:color w:val="auto"/>
              </w:rPr>
            </w:pPr>
          </w:p>
        </w:tc>
      </w:tr>
      <w:tr>
        <w:trPr>
          <w:trHeight w:val="272"/>
        </w:trPr>
        <w:tc>
          <w:tcPr>
            <w:tcW w:w="2700" w:type="dxa"/>
            <w:vAlign w:val="bottom"/>
          </w:tcPr>
          <w:p>
            <w:pPr>
              <w:ind w:left="240"/>
              <w:spacing w:after="0"/>
              <w:rPr>
                <w:sz w:val="20"/>
                <w:szCs w:val="20"/>
                <w:color w:val="auto"/>
              </w:rPr>
            </w:pPr>
            <w:r>
              <w:rPr>
                <w:rFonts w:ascii="Arial" w:cs="Arial" w:eastAsia="Arial" w:hAnsi="Arial"/>
                <w:sz w:val="19"/>
                <w:szCs w:val="19"/>
                <w:color w:val="auto"/>
              </w:rPr>
              <w:t>Long-term inventory subtotal</w:t>
            </w: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0"/>
        </w:trPr>
        <w:tc>
          <w:tcPr>
            <w:tcW w:w="2700" w:type="dxa"/>
            <w:vAlign w:val="bottom"/>
          </w:tcPr>
          <w:p>
            <w:pPr>
              <w:ind w:left="100"/>
              <w:spacing w:after="0"/>
              <w:rPr>
                <w:sz w:val="20"/>
                <w:szCs w:val="20"/>
                <w:color w:val="auto"/>
              </w:rPr>
            </w:pPr>
            <w:r>
              <w:rPr>
                <w:rFonts w:ascii="Arial" w:cs="Arial" w:eastAsia="Arial" w:hAnsi="Arial"/>
                <w:sz w:val="19"/>
                <w:szCs w:val="19"/>
                <w:b w:val="1"/>
                <w:bCs w:val="1"/>
                <w:color w:val="auto"/>
              </w:rPr>
              <w:t>Total</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1,789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1,974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7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4015740</wp:posOffset>
                </wp:positionH>
                <wp:positionV relativeFrom="paragraph">
                  <wp:posOffset>-3002280</wp:posOffset>
                </wp:positionV>
                <wp:extent cx="0" cy="288798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7980"/>
                        </a:xfrm>
                        <a:prstGeom prst="line">
                          <a:avLst/>
                        </a:prstGeom>
                        <a:solidFill>
                          <a:srgbClr val="FFFFFF"/>
                        </a:solidFill>
                        <a:ln w="0">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6.2pt,-236.3999pt" to="316.2pt,-9pt" o:allowincell="f" strokecolor="#000000" strokeweight="0pt"/>
            </w:pict>
          </mc:Fallback>
        </mc:AlternateContent>
        <w:drawing>
          <wp:anchor simplePos="0" relativeHeight="251657728" behindDoc="1" locked="0" layoutInCell="0" allowOverlap="1">
            <wp:simplePos x="0" y="0"/>
            <wp:positionH relativeFrom="column">
              <wp:posOffset>19685</wp:posOffset>
            </wp:positionH>
            <wp:positionV relativeFrom="paragraph">
              <wp:posOffset>-3190875</wp:posOffset>
            </wp:positionV>
            <wp:extent cx="6311900" cy="31019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9">
                      <a:extLst>
                        <a:ext uri="{28A0092B-C50C-407E-A947-70E740481C1C}"/>
                      </a:extLst>
                    </a:blip>
                    <a:srcRect/>
                    <a:stretch>
                      <a:fillRect/>
                    </a:stretch>
                  </pic:blipFill>
                  <pic:spPr bwMode="auto">
                    <a:xfrm>
                      <a:off x="0" y="0"/>
                      <a:ext cx="6311900" cy="3101975"/>
                    </a:xfrm>
                    <a:prstGeom prst="rect">
                      <a:avLst/>
                    </a:prstGeom>
                    <a:noFill/>
                  </pic:spPr>
                </pic:pic>
              </a:graphicData>
            </a:graphic>
          </wp:anchor>
        </w:drawing>
      </w:r>
    </w:p>
    <w:p>
      <w:pPr>
        <w:spacing w:after="0" w:line="124" w:lineRule="exact"/>
        <w:rPr>
          <w:sz w:val="20"/>
          <w:szCs w:val="20"/>
          <w:color w:val="auto"/>
        </w:rPr>
      </w:pPr>
    </w:p>
    <w:p>
      <w:pPr>
        <w:ind w:left="701" w:right="220" w:hanging="701"/>
        <w:spacing w:after="0" w:line="231" w:lineRule="auto"/>
        <w:tabs>
          <w:tab w:leader="none" w:pos="701" w:val="left"/>
        </w:tabs>
        <w:numPr>
          <w:ilvl w:val="0"/>
          <w:numId w:val="83"/>
        </w:numPr>
        <w:rPr>
          <w:rFonts w:ascii="Arial" w:cs="Arial" w:eastAsia="Arial" w:hAnsi="Arial"/>
          <w:sz w:val="25"/>
          <w:szCs w:val="25"/>
          <w:color w:val="auto"/>
          <w:vertAlign w:val="superscript"/>
        </w:rPr>
      </w:pPr>
      <w:r>
        <w:rPr>
          <w:rFonts w:ascii="Arial" w:cs="Arial" w:eastAsia="Arial" w:hAnsi="Arial"/>
          <w:sz w:val="19"/>
          <w:szCs w:val="19"/>
          <w:color w:val="auto"/>
        </w:rPr>
        <w:t>Price per unit of measure is comprised of a weighted average associated with various grades, qualities and locations. Accordingly, these prices may not coincide with any published benchmarks for such products.</w:t>
      </w:r>
    </w:p>
    <w:p>
      <w:pPr>
        <w:sectPr>
          <w:pgSz w:w="11880" w:h="15480" w:orient="portrait"/>
          <w:cols w:equalWidth="0" w:num="1">
            <w:col w:w="10001"/>
          </w:cols>
          <w:pgMar w:left="939" w:top="43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ectPr>
          <w:pgSz w:w="11880" w:h="15480" w:orient="portrait"/>
          <w:cols w:equalWidth="0" w:num="1">
            <w:col w:w="10001"/>
          </w:cols>
          <w:pgMar w:left="939" w:top="431" w:right="940" w:bottom="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2"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Note 6—Property and Equipment</w:t>
      </w:r>
    </w:p>
    <w:p>
      <w:pPr>
        <w:spacing w:after="0" w:line="257" w:lineRule="exact"/>
        <w:rPr>
          <w:sz w:val="20"/>
          <w:szCs w:val="20"/>
          <w:color w:val="auto"/>
        </w:rPr>
      </w:pPr>
    </w:p>
    <w:p>
      <w:pPr>
        <w:ind w:left="1" w:right="120" w:firstLine="702"/>
        <w:spacing w:after="0" w:line="264" w:lineRule="auto"/>
        <w:rPr>
          <w:sz w:val="20"/>
          <w:szCs w:val="20"/>
          <w:color w:val="auto"/>
        </w:rPr>
      </w:pPr>
      <w:r>
        <w:rPr>
          <w:rFonts w:ascii="Arial" w:cs="Arial" w:eastAsia="Arial" w:hAnsi="Arial"/>
          <w:sz w:val="19"/>
          <w:szCs w:val="19"/>
          <w:color w:val="auto"/>
        </w:rPr>
        <w:t>In accordance with our capitalization policy, expenditures made to expand the existing operating and/or earnings capacity of our assets are capitalized, as are certain costs directly related to the construction of such assets, including related internal labor costs, engineering costs and interest costs. We also capitalize expenditures for the replacement and/or refurbishment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196" w:lineRule="exact"/>
        <w:rPr>
          <w:sz w:val="20"/>
          <w:szCs w:val="20"/>
          <w:color w:val="auto"/>
        </w:rPr>
      </w:pPr>
    </w:p>
    <w:p>
      <w:pPr>
        <w:ind w:left="701"/>
        <w:spacing w:after="0"/>
        <w:rPr>
          <w:sz w:val="20"/>
          <w:szCs w:val="20"/>
          <w:color w:val="auto"/>
        </w:rPr>
      </w:pPr>
      <w:r>
        <w:rPr>
          <w:rFonts w:ascii="Arial" w:cs="Arial" w:eastAsia="Arial" w:hAnsi="Arial"/>
          <w:sz w:val="19"/>
          <w:szCs w:val="19"/>
          <w:color w:val="auto"/>
        </w:rPr>
        <w:t>Property and equipment, net is stated at cost and consisted of the following (in millions):</w:t>
      </w:r>
    </w:p>
    <w:p>
      <w:pPr>
        <w:spacing w:after="0" w:line="337"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3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Estimated Useful</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29"/>
        </w:trPr>
        <w:tc>
          <w:tcPr>
            <w:tcW w:w="34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Lives (Years)</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w w:val="89"/>
              </w:rPr>
              <w:t>2022</w:t>
            </w:r>
          </w:p>
        </w:tc>
      </w:tr>
      <w:tr>
        <w:trPr>
          <w:trHeight w:val="269"/>
        </w:trPr>
        <w:tc>
          <w:tcPr>
            <w:tcW w:w="5920" w:type="dxa"/>
            <w:vAlign w:val="bottom"/>
            <w:gridSpan w:val="2"/>
          </w:tcPr>
          <w:p>
            <w:pPr>
              <w:ind w:left="60"/>
              <w:spacing w:after="0"/>
              <w:rPr>
                <w:sz w:val="20"/>
                <w:szCs w:val="20"/>
                <w:color w:val="auto"/>
              </w:rPr>
            </w:pPr>
            <w:r>
              <w:rPr>
                <w:rFonts w:ascii="Arial" w:cs="Arial" w:eastAsia="Arial" w:hAnsi="Arial"/>
                <w:sz w:val="19"/>
                <w:szCs w:val="19"/>
                <w:color w:val="auto"/>
              </w:rPr>
              <w:t>Crude oil pipeline systems</w:t>
            </w:r>
          </w:p>
        </w:tc>
        <w:tc>
          <w:tcPr>
            <w:tcW w:w="1380" w:type="dxa"/>
            <w:vAlign w:val="bottom"/>
          </w:tcPr>
          <w:p>
            <w:pPr>
              <w:jc w:val="center"/>
              <w:spacing w:after="0"/>
              <w:rPr>
                <w:sz w:val="20"/>
                <w:szCs w:val="20"/>
                <w:color w:val="auto"/>
              </w:rPr>
            </w:pPr>
            <w:r>
              <w:rPr>
                <w:rFonts w:ascii="Arial" w:cs="Arial" w:eastAsia="Arial" w:hAnsi="Arial"/>
                <w:sz w:val="19"/>
                <w:szCs w:val="19"/>
                <w:color w:val="auto"/>
                <w:w w:val="91"/>
              </w:rPr>
              <w:t>10 - 50</w:t>
            </w:r>
          </w:p>
        </w:tc>
        <w:tc>
          <w:tcPr>
            <w:tcW w:w="80" w:type="dxa"/>
            <w:vAlign w:val="bottom"/>
          </w:tcPr>
          <w:p>
            <w:pPr>
              <w:spacing w:after="0"/>
              <w:rPr>
                <w:sz w:val="23"/>
                <w:szCs w:val="23"/>
                <w:color w:val="auto"/>
              </w:rPr>
            </w:pP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14,265</w:t>
            </w:r>
          </w:p>
        </w:tc>
        <w:tc>
          <w:tcPr>
            <w:tcW w:w="5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13,338</w:t>
            </w:r>
          </w:p>
        </w:tc>
      </w:tr>
      <w:tr>
        <w:trPr>
          <w:trHeight w:val="292"/>
        </w:trPr>
        <w:tc>
          <w:tcPr>
            <w:tcW w:w="5920" w:type="dxa"/>
            <w:vAlign w:val="bottom"/>
            <w:gridSpan w:val="2"/>
          </w:tcPr>
          <w:p>
            <w:pPr>
              <w:ind w:left="60"/>
              <w:spacing w:after="0"/>
              <w:rPr>
                <w:sz w:val="20"/>
                <w:szCs w:val="20"/>
                <w:color w:val="auto"/>
              </w:rPr>
            </w:pPr>
            <w:r>
              <w:rPr>
                <w:rFonts w:ascii="Arial" w:cs="Arial" w:eastAsia="Arial" w:hAnsi="Arial"/>
                <w:sz w:val="19"/>
                <w:szCs w:val="19"/>
                <w:color w:val="auto"/>
              </w:rPr>
              <w:t>Crude oil storage and terminal facilities</w:t>
            </w:r>
          </w:p>
        </w:tc>
        <w:tc>
          <w:tcPr>
            <w:tcW w:w="1380" w:type="dxa"/>
            <w:vAlign w:val="bottom"/>
          </w:tcPr>
          <w:p>
            <w:pPr>
              <w:jc w:val="center"/>
              <w:spacing w:after="0"/>
              <w:rPr>
                <w:sz w:val="20"/>
                <w:szCs w:val="20"/>
                <w:color w:val="auto"/>
              </w:rPr>
            </w:pPr>
            <w:r>
              <w:rPr>
                <w:rFonts w:ascii="Arial" w:cs="Arial" w:eastAsia="Arial" w:hAnsi="Arial"/>
                <w:sz w:val="19"/>
                <w:szCs w:val="19"/>
                <w:color w:val="auto"/>
                <w:w w:val="91"/>
              </w:rPr>
              <w:t>10 - 50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2,664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2,631</w:t>
            </w:r>
          </w:p>
        </w:tc>
      </w:tr>
      <w:tr>
        <w:trPr>
          <w:trHeight w:val="292"/>
        </w:trPr>
        <w:tc>
          <w:tcPr>
            <w:tcW w:w="5920" w:type="dxa"/>
            <w:vAlign w:val="bottom"/>
            <w:gridSpan w:val="2"/>
          </w:tcPr>
          <w:p>
            <w:pPr>
              <w:ind w:left="60"/>
              <w:spacing w:after="0"/>
              <w:rPr>
                <w:sz w:val="20"/>
                <w:szCs w:val="20"/>
                <w:color w:val="auto"/>
              </w:rPr>
            </w:pPr>
            <w:r>
              <w:rPr>
                <w:rFonts w:ascii="Arial" w:cs="Arial" w:eastAsia="Arial" w:hAnsi="Arial"/>
                <w:sz w:val="19"/>
                <w:szCs w:val="19"/>
                <w:color w:val="auto"/>
              </w:rPr>
              <w:t>NGL storage, terminal, fractionation and processing facilities</w:t>
            </w:r>
          </w:p>
        </w:tc>
        <w:tc>
          <w:tcPr>
            <w:tcW w:w="1380" w:type="dxa"/>
            <w:vAlign w:val="bottom"/>
          </w:tcPr>
          <w:p>
            <w:pPr>
              <w:jc w:val="center"/>
              <w:spacing w:after="0"/>
              <w:rPr>
                <w:sz w:val="20"/>
                <w:szCs w:val="20"/>
                <w:color w:val="auto"/>
              </w:rPr>
            </w:pPr>
            <w:r>
              <w:rPr>
                <w:rFonts w:ascii="Arial" w:cs="Arial" w:eastAsia="Arial" w:hAnsi="Arial"/>
                <w:sz w:val="19"/>
                <w:szCs w:val="19"/>
                <w:color w:val="auto"/>
                <w:w w:val="91"/>
              </w:rPr>
              <w:t>10 - 50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2,554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2,445</w:t>
            </w:r>
          </w:p>
        </w:tc>
      </w:tr>
      <w:tr>
        <w:trPr>
          <w:trHeight w:val="292"/>
        </w:trPr>
        <w:tc>
          <w:tcPr>
            <w:tcW w:w="5920" w:type="dxa"/>
            <w:vAlign w:val="bottom"/>
            <w:gridSpan w:val="2"/>
          </w:tcPr>
          <w:p>
            <w:pPr>
              <w:ind w:left="60"/>
              <w:spacing w:after="0"/>
              <w:rPr>
                <w:sz w:val="20"/>
                <w:szCs w:val="20"/>
                <w:color w:val="auto"/>
              </w:rPr>
            </w:pPr>
            <w:r>
              <w:rPr>
                <w:rFonts w:ascii="Arial" w:cs="Arial" w:eastAsia="Arial" w:hAnsi="Arial"/>
                <w:sz w:val="19"/>
                <w:szCs w:val="19"/>
                <w:color w:val="auto"/>
              </w:rPr>
              <w:t>NGL pipeline systems</w:t>
            </w:r>
          </w:p>
        </w:tc>
        <w:tc>
          <w:tcPr>
            <w:tcW w:w="1380" w:type="dxa"/>
            <w:vAlign w:val="bottom"/>
          </w:tcPr>
          <w:p>
            <w:pPr>
              <w:jc w:val="center"/>
              <w:spacing w:after="0"/>
              <w:rPr>
                <w:sz w:val="20"/>
                <w:szCs w:val="20"/>
                <w:color w:val="auto"/>
              </w:rPr>
            </w:pPr>
            <w:r>
              <w:rPr>
                <w:rFonts w:ascii="Arial" w:cs="Arial" w:eastAsia="Arial" w:hAnsi="Arial"/>
                <w:sz w:val="19"/>
                <w:szCs w:val="19"/>
                <w:color w:val="auto"/>
                <w:w w:val="91"/>
              </w:rPr>
              <w:t>10 - 50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506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458</w:t>
            </w:r>
          </w:p>
        </w:tc>
      </w:tr>
      <w:tr>
        <w:trPr>
          <w:trHeight w:val="292"/>
        </w:trPr>
        <w:tc>
          <w:tcPr>
            <w:tcW w:w="5920" w:type="dxa"/>
            <w:vAlign w:val="bottom"/>
            <w:gridSpan w:val="2"/>
          </w:tcPr>
          <w:p>
            <w:pPr>
              <w:ind w:left="60"/>
              <w:spacing w:after="0"/>
              <w:rPr>
                <w:sz w:val="20"/>
                <w:szCs w:val="20"/>
                <w:color w:val="auto"/>
              </w:rPr>
            </w:pPr>
            <w:r>
              <w:rPr>
                <w:rFonts w:ascii="Arial" w:cs="Arial" w:eastAsia="Arial" w:hAnsi="Arial"/>
                <w:sz w:val="19"/>
                <w:szCs w:val="19"/>
                <w:color w:val="auto"/>
              </w:rPr>
              <w:t>Office property and equipment and rolling stock</w:t>
            </w:r>
          </w:p>
        </w:tc>
        <w:tc>
          <w:tcPr>
            <w:tcW w:w="1380" w:type="dxa"/>
            <w:vAlign w:val="bottom"/>
          </w:tcPr>
          <w:p>
            <w:pPr>
              <w:jc w:val="center"/>
              <w:spacing w:after="0"/>
              <w:rPr>
                <w:sz w:val="20"/>
                <w:szCs w:val="20"/>
                <w:color w:val="auto"/>
              </w:rPr>
            </w:pPr>
            <w:r>
              <w:rPr>
                <w:rFonts w:ascii="Arial" w:cs="Arial" w:eastAsia="Arial" w:hAnsi="Arial"/>
                <w:sz w:val="19"/>
                <w:szCs w:val="19"/>
                <w:color w:val="auto"/>
                <w:w w:val="94"/>
              </w:rPr>
              <w:t>2 - 50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556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656</w:t>
            </w:r>
          </w:p>
        </w:tc>
      </w:tr>
      <w:tr>
        <w:trPr>
          <w:trHeight w:val="292"/>
        </w:trPr>
        <w:tc>
          <w:tcPr>
            <w:tcW w:w="5920" w:type="dxa"/>
            <w:vAlign w:val="bottom"/>
            <w:gridSpan w:val="2"/>
          </w:tcPr>
          <w:p>
            <w:pPr>
              <w:ind w:left="60"/>
              <w:spacing w:after="0"/>
              <w:rPr>
                <w:sz w:val="20"/>
                <w:szCs w:val="20"/>
                <w:color w:val="auto"/>
              </w:rPr>
            </w:pPr>
            <w:r>
              <w:rPr>
                <w:rFonts w:ascii="Arial" w:cs="Arial" w:eastAsia="Arial" w:hAnsi="Arial"/>
                <w:sz w:val="19"/>
                <w:szCs w:val="19"/>
                <w:color w:val="auto"/>
              </w:rPr>
              <w:t>Construction in progress</w:t>
            </w:r>
          </w:p>
        </w:tc>
        <w:tc>
          <w:tcPr>
            <w:tcW w:w="1460" w:type="dxa"/>
            <w:vAlign w:val="bottom"/>
            <w:gridSpan w:val="2"/>
          </w:tcPr>
          <w:p>
            <w:pPr>
              <w:jc w:val="center"/>
              <w:ind w:right="40"/>
              <w:spacing w:after="0"/>
              <w:rPr>
                <w:sz w:val="20"/>
                <w:szCs w:val="20"/>
                <w:color w:val="auto"/>
              </w:rPr>
            </w:pPr>
            <w:r>
              <w:rPr>
                <w:rFonts w:ascii="Arial" w:cs="Arial" w:eastAsia="Arial" w:hAnsi="Arial"/>
                <w:sz w:val="19"/>
                <w:szCs w:val="19"/>
                <w:color w:val="auto"/>
              </w:rPr>
              <w:t>N/A</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257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201</w:t>
            </w:r>
          </w:p>
        </w:tc>
      </w:tr>
      <w:tr>
        <w:trPr>
          <w:trHeight w:val="296"/>
        </w:trPr>
        <w:tc>
          <w:tcPr>
            <w:tcW w:w="5920" w:type="dxa"/>
            <w:vAlign w:val="bottom"/>
            <w:gridSpan w:val="2"/>
          </w:tcPr>
          <w:p>
            <w:pPr>
              <w:ind w:left="60"/>
              <w:spacing w:after="0"/>
              <w:rPr>
                <w:sz w:val="20"/>
                <w:szCs w:val="20"/>
                <w:color w:val="auto"/>
              </w:rPr>
            </w:pPr>
            <w:r>
              <w:rPr>
                <w:rFonts w:ascii="Arial" w:cs="Arial" w:eastAsia="Arial" w:hAnsi="Arial"/>
                <w:sz w:val="19"/>
                <w:szCs w:val="19"/>
                <w:color w:val="auto"/>
              </w:rPr>
              <w:t>Land and other</w:t>
            </w:r>
          </w:p>
        </w:tc>
        <w:tc>
          <w:tcPr>
            <w:tcW w:w="1460" w:type="dxa"/>
            <w:vAlign w:val="bottom"/>
            <w:gridSpan w:val="2"/>
          </w:tcPr>
          <w:p>
            <w:pPr>
              <w:jc w:val="center"/>
              <w:ind w:right="80"/>
              <w:spacing w:after="0"/>
              <w:rPr>
                <w:sz w:val="20"/>
                <w:szCs w:val="20"/>
                <w:color w:val="auto"/>
              </w:rPr>
            </w:pPr>
            <w:r>
              <w:rPr>
                <w:rFonts w:ascii="Arial" w:cs="Arial" w:eastAsia="Arial" w:hAnsi="Arial"/>
                <w:sz w:val="19"/>
                <w:szCs w:val="19"/>
                <w:color w:val="auto"/>
              </w:rPr>
              <w:t>N/A</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341</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326</w:t>
            </w:r>
          </w:p>
        </w:tc>
      </w:tr>
      <w:tr>
        <w:trPr>
          <w:trHeight w:val="308"/>
        </w:trPr>
        <w:tc>
          <w:tcPr>
            <w:tcW w:w="5920" w:type="dxa"/>
            <w:vAlign w:val="bottom"/>
            <w:gridSpan w:val="2"/>
          </w:tcPr>
          <w:p>
            <w:pPr>
              <w:ind w:left="180"/>
              <w:spacing w:after="0"/>
              <w:rPr>
                <w:sz w:val="20"/>
                <w:szCs w:val="20"/>
                <w:color w:val="auto"/>
              </w:rPr>
            </w:pPr>
            <w:r>
              <w:rPr>
                <w:rFonts w:ascii="Arial" w:cs="Arial" w:eastAsia="Arial" w:hAnsi="Arial"/>
                <w:sz w:val="19"/>
                <w:szCs w:val="19"/>
                <w:color w:val="auto"/>
              </w:rPr>
              <w:t xml:space="preserve">Property and equipment, gross </w:t>
            </w:r>
            <w:r>
              <w:rPr>
                <w:rFonts w:ascii="Arial" w:cs="Arial" w:eastAsia="Arial" w:hAnsi="Arial"/>
                <w:sz w:val="25"/>
                <w:szCs w:val="25"/>
                <w:color w:val="auto"/>
                <w:vertAlign w:val="superscript"/>
              </w:rPr>
              <w:t>(1)</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21,143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20,055</w:t>
            </w:r>
          </w:p>
        </w:tc>
      </w:tr>
      <w:tr>
        <w:trPr>
          <w:trHeight w:val="257"/>
        </w:trPr>
        <w:tc>
          <w:tcPr>
            <w:tcW w:w="5920" w:type="dxa"/>
            <w:vAlign w:val="bottom"/>
            <w:gridSpan w:val="2"/>
          </w:tcPr>
          <w:p>
            <w:pPr>
              <w:ind w:left="60"/>
              <w:spacing w:after="0"/>
              <w:rPr>
                <w:sz w:val="20"/>
                <w:szCs w:val="20"/>
                <w:color w:val="auto"/>
              </w:rPr>
            </w:pPr>
            <w:r>
              <w:rPr>
                <w:rFonts w:ascii="Arial" w:cs="Arial" w:eastAsia="Arial" w:hAnsi="Arial"/>
                <w:sz w:val="19"/>
                <w:szCs w:val="19"/>
                <w:color w:val="auto"/>
              </w:rPr>
              <w:t>Accumulated depreciation</w:t>
            </w: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(5,361)</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(4,802)</w:t>
            </w:r>
          </w:p>
        </w:tc>
      </w:tr>
      <w:tr>
        <w:trPr>
          <w:trHeight w:val="253"/>
        </w:trPr>
        <w:tc>
          <w:tcPr>
            <w:tcW w:w="5920" w:type="dxa"/>
            <w:vAlign w:val="bottom"/>
            <w:gridSpan w:val="2"/>
          </w:tcPr>
          <w:p>
            <w:pPr>
              <w:ind w:left="180"/>
              <w:spacing w:after="0"/>
              <w:rPr>
                <w:sz w:val="20"/>
                <w:szCs w:val="20"/>
                <w:color w:val="auto"/>
              </w:rPr>
            </w:pPr>
            <w:r>
              <w:rPr>
                <w:rFonts w:ascii="Arial" w:cs="Arial" w:eastAsia="Arial" w:hAnsi="Arial"/>
                <w:sz w:val="19"/>
                <w:szCs w:val="19"/>
                <w:color w:val="auto"/>
              </w:rPr>
              <w:t>Property and equipment, net</w:t>
            </w: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15,782</w:t>
            </w:r>
          </w:p>
        </w:tc>
        <w:tc>
          <w:tcPr>
            <w:tcW w:w="5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15,253</w:t>
            </w:r>
          </w:p>
        </w:tc>
      </w:tr>
      <w:tr>
        <w:trPr>
          <w:trHeight w:val="20"/>
        </w:trPr>
        <w:tc>
          <w:tcPr>
            <w:tcW w:w="3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30"/>
        </w:trPr>
        <w:tc>
          <w:tcPr>
            <w:tcW w:w="3440" w:type="dxa"/>
            <w:vAlign w:val="bottom"/>
            <w:tcBorders>
              <w:bottom w:val="single" w:sz="8" w:color="auto"/>
            </w:tcBorders>
          </w:tcPr>
          <w:p>
            <w:pPr>
              <w:spacing w:after="0"/>
              <w:rPr>
                <w:sz w:val="11"/>
                <w:szCs w:val="11"/>
                <w:color w:val="auto"/>
              </w:rPr>
            </w:pPr>
          </w:p>
        </w:tc>
        <w:tc>
          <w:tcPr>
            <w:tcW w:w="24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-1983740</wp:posOffset>
            </wp:positionV>
            <wp:extent cx="6367145" cy="18948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0">
                      <a:extLst>
                        <a:ext uri="{28A0092B-C50C-407E-A947-70E740481C1C}"/>
                      </a:extLst>
                    </a:blip>
                    <a:srcRect/>
                    <a:stretch>
                      <a:fillRect/>
                    </a:stretch>
                  </pic:blipFill>
                  <pic:spPr bwMode="auto">
                    <a:xfrm>
                      <a:off x="0" y="0"/>
                      <a:ext cx="6367145" cy="1894840"/>
                    </a:xfrm>
                    <a:prstGeom prst="rect">
                      <a:avLst/>
                    </a:prstGeom>
                    <a:noFill/>
                  </pic:spPr>
                </pic:pic>
              </a:graphicData>
            </a:graphic>
          </wp:anchor>
        </w:drawing>
      </w:r>
    </w:p>
    <w:p>
      <w:pPr>
        <w:spacing w:after="0" w:line="32" w:lineRule="exact"/>
        <w:rPr>
          <w:sz w:val="20"/>
          <w:szCs w:val="20"/>
          <w:color w:val="auto"/>
        </w:rPr>
      </w:pPr>
    </w:p>
    <w:p>
      <w:pPr>
        <w:ind w:left="701" w:hanging="701"/>
        <w:spacing w:after="0"/>
        <w:tabs>
          <w:tab w:leader="none" w:pos="701" w:val="left"/>
        </w:tabs>
        <w:numPr>
          <w:ilvl w:val="0"/>
          <w:numId w:val="84"/>
        </w:numPr>
        <w:rPr>
          <w:rFonts w:ascii="Arial" w:cs="Arial" w:eastAsia="Arial" w:hAnsi="Arial"/>
          <w:sz w:val="25"/>
          <w:szCs w:val="25"/>
          <w:color w:val="auto"/>
          <w:vertAlign w:val="superscript"/>
        </w:rPr>
      </w:pPr>
      <w:r>
        <w:rPr>
          <w:rFonts w:ascii="Arial" w:cs="Arial" w:eastAsia="Arial" w:hAnsi="Arial"/>
          <w:sz w:val="19"/>
          <w:szCs w:val="19"/>
          <w:color w:val="auto"/>
        </w:rPr>
        <w:t>We include rights-of-way, which are intangible assets, within property and equipment.</w:t>
      </w:r>
    </w:p>
    <w:p>
      <w:pPr>
        <w:spacing w:after="0" w:line="214" w:lineRule="exact"/>
        <w:rPr>
          <w:sz w:val="20"/>
          <w:szCs w:val="20"/>
          <w:color w:val="auto"/>
        </w:rPr>
      </w:pPr>
    </w:p>
    <w:p>
      <w:pPr>
        <w:jc w:val="both"/>
        <w:ind w:left="1" w:right="40" w:firstLine="702"/>
        <w:spacing w:after="0" w:line="259" w:lineRule="auto"/>
        <w:rPr>
          <w:sz w:val="20"/>
          <w:szCs w:val="20"/>
          <w:color w:val="auto"/>
        </w:rPr>
      </w:pPr>
      <w:r>
        <w:rPr>
          <w:rFonts w:ascii="Arial" w:cs="Arial" w:eastAsia="Arial" w:hAnsi="Arial"/>
          <w:sz w:val="19"/>
          <w:szCs w:val="19"/>
          <w:color w:val="auto"/>
        </w:rPr>
        <w:t>We calculate our depreciation using the straight-line method, based on estimated useful lives and salvage values of our assets. Depreciation expense for the years ended December 31, 2023, 2022 and 2021 was $736 million, $710 million and $655 million, respectively.</w:t>
      </w:r>
    </w:p>
    <w:p>
      <w:pPr>
        <w:spacing w:after="0" w:line="166" w:lineRule="exact"/>
        <w:rPr>
          <w:sz w:val="20"/>
          <w:szCs w:val="20"/>
          <w:color w:val="auto"/>
        </w:rPr>
      </w:pPr>
    </w:p>
    <w:p>
      <w:pPr>
        <w:ind w:left="1" w:right="740" w:firstLine="702"/>
        <w:spacing w:after="0" w:line="295" w:lineRule="auto"/>
        <w:rPr>
          <w:sz w:val="20"/>
          <w:szCs w:val="20"/>
          <w:color w:val="auto"/>
        </w:rPr>
      </w:pPr>
      <w:r>
        <w:rPr>
          <w:rFonts w:ascii="Arial" w:cs="Arial" w:eastAsia="Arial" w:hAnsi="Arial"/>
          <w:sz w:val="19"/>
          <w:szCs w:val="19"/>
          <w:color w:val="auto"/>
        </w:rPr>
        <w:t>As of December 31, 2023, 2022 and 2021, we incurred liabilities of $55 million, $46 million and $48 million, respectively, for construction in progress that had not been paid.</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Impairment of Long-Lived Assets (Held and Used)</w:t>
      </w:r>
    </w:p>
    <w:p>
      <w:pPr>
        <w:spacing w:after="0" w:line="257" w:lineRule="exact"/>
        <w:rPr>
          <w:sz w:val="20"/>
          <w:szCs w:val="20"/>
          <w:color w:val="auto"/>
        </w:rPr>
      </w:pPr>
    </w:p>
    <w:p>
      <w:pPr>
        <w:ind w:left="1" w:firstLine="702"/>
        <w:spacing w:after="0" w:line="263" w:lineRule="auto"/>
        <w:rPr>
          <w:sz w:val="20"/>
          <w:szCs w:val="20"/>
          <w:color w:val="auto"/>
        </w:rPr>
      </w:pPr>
      <w:r>
        <w:rPr>
          <w:rFonts w:ascii="Arial" w:cs="Arial" w:eastAsia="Arial" w:hAnsi="Arial"/>
          <w:sz w:val="19"/>
          <w:szCs w:val="19"/>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196" w:lineRule="exact"/>
        <w:rPr>
          <w:sz w:val="20"/>
          <w:szCs w:val="20"/>
          <w:color w:val="auto"/>
        </w:rPr>
      </w:pPr>
    </w:p>
    <w:p>
      <w:pPr>
        <w:ind w:left="1" w:right="40" w:firstLine="702"/>
        <w:spacing w:after="0" w:line="269" w:lineRule="auto"/>
        <w:rPr>
          <w:sz w:val="20"/>
          <w:szCs w:val="20"/>
          <w:color w:val="auto"/>
        </w:rPr>
      </w:pPr>
      <w:r>
        <w:rPr>
          <w:rFonts w:ascii="Arial" w:cs="Arial" w:eastAsia="Arial" w:hAnsi="Arial"/>
          <w:sz w:val="19"/>
          <w:szCs w:val="19"/>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73" w:lineRule="exact"/>
        <w:rPr>
          <w:sz w:val="20"/>
          <w:szCs w:val="20"/>
          <w:color w:val="auto"/>
        </w:rPr>
      </w:pPr>
    </w:p>
    <w:p>
      <w:pPr>
        <w:ind w:left="1061" w:hanging="359"/>
        <w:spacing w:after="0"/>
        <w:tabs>
          <w:tab w:leader="none" w:pos="1061" w:val="left"/>
        </w:tabs>
        <w:numPr>
          <w:ilvl w:val="0"/>
          <w:numId w:val="85"/>
        </w:numPr>
        <w:rPr>
          <w:rFonts w:ascii="Arial" w:cs="Arial" w:eastAsia="Arial" w:hAnsi="Arial"/>
          <w:sz w:val="19"/>
          <w:szCs w:val="19"/>
          <w:color w:val="auto"/>
        </w:rPr>
      </w:pPr>
      <w:r>
        <w:rPr>
          <w:rFonts w:ascii="Arial" w:cs="Arial" w:eastAsia="Arial" w:hAnsi="Arial"/>
          <w:sz w:val="19"/>
          <w:szCs w:val="19"/>
          <w:color w:val="auto"/>
        </w:rPr>
        <w:t>whether there is an indication of impairment;</w:t>
      </w:r>
    </w:p>
    <w:p>
      <w:pPr>
        <w:spacing w:after="0" w:line="132" w:lineRule="exact"/>
        <w:rPr>
          <w:rFonts w:ascii="Arial" w:cs="Arial" w:eastAsia="Arial" w:hAnsi="Arial"/>
          <w:sz w:val="19"/>
          <w:szCs w:val="19"/>
          <w:color w:val="auto"/>
        </w:rPr>
      </w:pPr>
    </w:p>
    <w:p>
      <w:pPr>
        <w:ind w:left="1061" w:hanging="359"/>
        <w:spacing w:after="0"/>
        <w:tabs>
          <w:tab w:leader="none" w:pos="1061"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grouping of assets;</w:t>
      </w:r>
    </w:p>
    <w:p>
      <w:pPr>
        <w:spacing w:after="0" w:line="132" w:lineRule="exact"/>
        <w:rPr>
          <w:rFonts w:ascii="Arial" w:cs="Arial" w:eastAsia="Arial" w:hAnsi="Arial"/>
          <w:sz w:val="19"/>
          <w:szCs w:val="19"/>
          <w:color w:val="auto"/>
        </w:rPr>
      </w:pPr>
    </w:p>
    <w:p>
      <w:pPr>
        <w:ind w:left="1061" w:hanging="359"/>
        <w:spacing w:after="0"/>
        <w:tabs>
          <w:tab w:leader="none" w:pos="1061"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intention of “holding,” “abandoning” or “selling” an asset;</w:t>
      </w:r>
    </w:p>
    <w:p>
      <w:pPr>
        <w:spacing w:after="0" w:line="132" w:lineRule="exact"/>
        <w:rPr>
          <w:rFonts w:ascii="Arial" w:cs="Arial" w:eastAsia="Arial" w:hAnsi="Arial"/>
          <w:sz w:val="19"/>
          <w:szCs w:val="19"/>
          <w:color w:val="auto"/>
        </w:rPr>
      </w:pPr>
    </w:p>
    <w:p>
      <w:pPr>
        <w:ind w:left="1061" w:hanging="359"/>
        <w:spacing w:after="0"/>
        <w:tabs>
          <w:tab w:leader="none" w:pos="1061"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forecast of undiscounted expected future cash flow over the asset’s estimated useful life; and</w:t>
      </w:r>
    </w:p>
    <w:p>
      <w:pPr>
        <w:spacing w:after="0" w:line="132" w:lineRule="exact"/>
        <w:rPr>
          <w:rFonts w:ascii="Arial" w:cs="Arial" w:eastAsia="Arial" w:hAnsi="Arial"/>
          <w:sz w:val="19"/>
          <w:szCs w:val="19"/>
          <w:color w:val="auto"/>
        </w:rPr>
      </w:pPr>
    </w:p>
    <w:p>
      <w:pPr>
        <w:ind w:left="1061" w:hanging="359"/>
        <w:spacing w:after="0"/>
        <w:tabs>
          <w:tab w:leader="none" w:pos="1061" w:val="left"/>
        </w:tabs>
        <w:numPr>
          <w:ilvl w:val="0"/>
          <w:numId w:val="85"/>
        </w:numPr>
        <w:rPr>
          <w:rFonts w:ascii="Arial" w:cs="Arial" w:eastAsia="Arial" w:hAnsi="Arial"/>
          <w:sz w:val="19"/>
          <w:szCs w:val="19"/>
          <w:color w:val="auto"/>
        </w:rPr>
      </w:pPr>
      <w:r>
        <w:rPr>
          <w:rFonts w:ascii="Arial" w:cs="Arial" w:eastAsia="Arial" w:hAnsi="Arial"/>
          <w:sz w:val="19"/>
          <w:szCs w:val="19"/>
          <w:color w:val="auto"/>
        </w:rPr>
        <w:t>if an impairment exists, the fair value of the asset or asset group.</w:t>
      </w:r>
    </w:p>
    <w:p>
      <w:pPr>
        <w:sectPr>
          <w:pgSz w:w="11880" w:h="15480" w:orient="portrait"/>
          <w:cols w:equalWidth="0" w:num="1">
            <w:col w:w="10001"/>
          </w:cols>
          <w:pgMar w:left="939" w:top="431" w:right="940"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ectPr>
          <w:pgSz w:w="11880" w:h="15480" w:orient="portrait"/>
          <w:cols w:equalWidth="0" w:num="1">
            <w:col w:w="10001"/>
          </w:cols>
          <w:pgMar w:left="939" w:top="431" w:right="940" w:bottom="0" w:gutter="0" w:footer="0" w:header="0"/>
          <w:type w:val="continuous"/>
        </w:sectPr>
      </w:pPr>
    </w:p>
    <w:bookmarkStart w:id="124" w:name="page125"/>
    <w:bookmarkEnd w:id="124"/>
    <w:p>
      <w:pPr>
        <w:jc w:val="center"/>
        <w:ind w:right="-19"/>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53" w:lineRule="exact"/>
        <w:rPr>
          <w:sz w:val="20"/>
          <w:szCs w:val="20"/>
          <w:color w:val="auto"/>
        </w:rPr>
      </w:pPr>
    </w:p>
    <w:p>
      <w:pPr>
        <w:ind w:right="300" w:firstLine="702"/>
        <w:spacing w:after="0" w:line="295" w:lineRule="auto"/>
        <w:rPr>
          <w:sz w:val="20"/>
          <w:szCs w:val="20"/>
          <w:color w:val="auto"/>
        </w:rPr>
      </w:pPr>
      <w:r>
        <w:rPr>
          <w:rFonts w:ascii="Arial" w:cs="Arial" w:eastAsia="Arial" w:hAnsi="Arial"/>
          <w:sz w:val="19"/>
          <w:szCs w:val="19"/>
          <w:color w:val="auto"/>
        </w:rPr>
        <w:t>In addition, when we evaluate property and equipment and other long-lived assets for recoverability, it may also be necessary to review related depreciation estimates and methods.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We did not recognize any material impairments during the year ended December 31, 2023.</w:t>
      </w:r>
    </w:p>
    <w:p>
      <w:pPr>
        <w:spacing w:after="0" w:line="249" w:lineRule="exact"/>
        <w:rPr>
          <w:sz w:val="20"/>
          <w:szCs w:val="20"/>
          <w:color w:val="auto"/>
        </w:rPr>
      </w:pPr>
    </w:p>
    <w:p>
      <w:pPr>
        <w:ind w:firstLine="702"/>
        <w:spacing w:after="0" w:line="275" w:lineRule="auto"/>
        <w:rPr>
          <w:sz w:val="20"/>
          <w:szCs w:val="20"/>
          <w:color w:val="auto"/>
        </w:rPr>
      </w:pPr>
      <w:r>
        <w:rPr>
          <w:rFonts w:ascii="Arial" w:cs="Arial" w:eastAsia="Arial" w:hAnsi="Arial"/>
          <w:sz w:val="18"/>
          <w:szCs w:val="18"/>
          <w:color w:val="auto"/>
        </w:rPr>
        <w:t>During the third quarter of 2022, we temporarily ceased service on a crude oil pipeline in California as a precautionary measure following a routine inspection and initiated a program of additional tests and inspections. After assessing the results of such tests and the changing operating conditions of our California assets, we determined that we had a triggering event due to the effect on future cash flows for certain of our assets that required us to assess the recoverability of our carrying value of our California crude oil assets (which includes the temporarily idled pipeline) reported in our Crude Oil segment. As a result of our impairment review, we wrote off the portion of the carrying amount of these long-lived assets that exceeded their fair value. We recognized a non-cash loss of approximately $330 million, which amount is reflected in “(Gains)/losses on asset sales and asset impairments, net” on our Consolidated Statement of Operations. Our estimated fair values (which we consider a Level 3 measurement in the fair value hierarchy) were based upon a discounted cash flow approach utilizing various assumptions and the application of a discount rate of approximately 15%, which represents our estimate of the cost of capital of a theoretical market participant for the asset group. Such assumptions included (but were not limited to) (i) future commodity volumes (consistent with historical information and estimates of future drilling and completion activity), (ii) tariff rates, (iii) estimated fixed and variable costs, (iv) the length of time the assets operate and (v) the amount for which assets in the asset group could be sold.</w:t>
      </w:r>
    </w:p>
    <w:p>
      <w:pPr>
        <w:spacing w:after="0" w:line="189" w:lineRule="exact"/>
        <w:rPr>
          <w:sz w:val="20"/>
          <w:szCs w:val="20"/>
          <w:color w:val="auto"/>
        </w:rPr>
      </w:pPr>
    </w:p>
    <w:p>
      <w:pPr>
        <w:ind w:right="80" w:firstLine="702"/>
        <w:spacing w:after="0" w:line="279" w:lineRule="auto"/>
        <w:rPr>
          <w:sz w:val="20"/>
          <w:szCs w:val="20"/>
          <w:color w:val="auto"/>
        </w:rPr>
      </w:pPr>
      <w:r>
        <w:rPr>
          <w:rFonts w:ascii="Arial" w:cs="Arial" w:eastAsia="Arial" w:hAnsi="Arial"/>
          <w:sz w:val="18"/>
          <w:szCs w:val="18"/>
          <w:color w:val="auto"/>
        </w:rPr>
        <w:t>During the year ended December 31, 2021, we recognized approximately $220 million of non-cash impairment losses related to certain crude oil storage terminal assets included in our Crude Oil segment. This amount is reflected in “(Gains)/ losses on asset sales and asset impairments, net” on our Consolidated Statements of Operations. Decreased demand for our services related to changing market conditions resulted in decreases in expected future cash flows for certain of our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 (which we consider a Level 3 measurement in the fair value hierarchy) was primarily based upon an assumption for the amount for which the relevant assets and land could be sold.</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7—Acquisitions, Divestitures and Other Transactions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Acquisitions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Rattler Permian Transaction</w:t>
      </w:r>
    </w:p>
    <w:p>
      <w:pPr>
        <w:spacing w:after="0" w:line="257" w:lineRule="exact"/>
        <w:rPr>
          <w:sz w:val="20"/>
          <w:szCs w:val="20"/>
          <w:color w:val="auto"/>
        </w:rPr>
      </w:pPr>
    </w:p>
    <w:p>
      <w:pPr>
        <w:ind w:right="20" w:firstLine="702"/>
        <w:spacing w:after="0" w:line="282" w:lineRule="auto"/>
        <w:rPr>
          <w:sz w:val="20"/>
          <w:szCs w:val="20"/>
          <w:color w:val="auto"/>
        </w:rPr>
      </w:pPr>
      <w:r>
        <w:rPr>
          <w:rFonts w:ascii="Arial" w:cs="Arial" w:eastAsia="Arial" w:hAnsi="Arial"/>
          <w:sz w:val="18"/>
          <w:szCs w:val="18"/>
          <w:color w:val="auto"/>
        </w:rPr>
        <w:t>In the third quarter of 2023, we completed a transaction with Rattler Midstream Operating LLC (“Rattler”) pursuant to which the Permian JV acquired the remaining 43% interest in OMOG JV Holdings LLC (“OMOG”) and certain gathering assets in the Southern Delaware basin. The transaction had an aggregate purchase price of $294 million ($191 million net to our 65% interest in the Permian JV). As a result of the transaction, the Permian JV now owns 100% of OMOG and its subsidiaries and such entities are reflected as consolidated subsidiaries in our Consolidated Financial Statements. Prior to this transaction, the Permian JV’s 57% interest in OMOG was accounted for as an equity method investment.</w:t>
      </w:r>
    </w:p>
    <w:p>
      <w:pPr>
        <w:spacing w:after="0" w:line="179" w:lineRule="exact"/>
        <w:rPr>
          <w:sz w:val="20"/>
          <w:szCs w:val="20"/>
          <w:color w:val="auto"/>
        </w:rPr>
      </w:pPr>
    </w:p>
    <w:p>
      <w:pPr>
        <w:ind w:right="440" w:firstLine="702"/>
        <w:spacing w:after="0" w:line="298" w:lineRule="auto"/>
        <w:rPr>
          <w:sz w:val="20"/>
          <w:szCs w:val="20"/>
          <w:color w:val="auto"/>
        </w:rPr>
      </w:pPr>
      <w:r>
        <w:rPr>
          <w:rFonts w:ascii="Arial" w:cs="Arial" w:eastAsia="Arial" w:hAnsi="Arial"/>
          <w:sz w:val="18"/>
          <w:szCs w:val="18"/>
          <w:color w:val="auto"/>
        </w:rPr>
        <w:t>The transaction was accounted for as a business combination using the acquisition method of accounting. In accordance with applicable accounting guidance, the fair value of the assets acquired and liabilities assumed following the transaction was utilized as the consideration transferred for the purchase price allocation.</w:t>
      </w:r>
    </w:p>
    <w:p>
      <w:pPr>
        <w:spacing w:after="0" w:line="165" w:lineRule="exact"/>
        <w:rPr>
          <w:sz w:val="20"/>
          <w:szCs w:val="20"/>
          <w:color w:val="auto"/>
        </w:rPr>
      </w:pPr>
    </w:p>
    <w:p>
      <w:pPr>
        <w:ind w:right="80" w:firstLine="702"/>
        <w:spacing w:after="0" w:line="262" w:lineRule="auto"/>
        <w:rPr>
          <w:sz w:val="20"/>
          <w:szCs w:val="20"/>
          <w:color w:val="auto"/>
        </w:rPr>
      </w:pPr>
      <w:r>
        <w:rPr>
          <w:rFonts w:ascii="Arial" w:cs="Arial" w:eastAsia="Arial" w:hAnsi="Arial"/>
          <w:sz w:val="19"/>
          <w:szCs w:val="19"/>
          <w:color w:val="auto"/>
        </w:rPr>
        <w:t>As a result of us obtaining control over OMOG, the Permian JV’s previously-held 57% interest in OMOG was remeasured to its fair value of $239 million based upon a valuation of the acquired business, as of the date of acquisition. We considered multiple factors in determining the fair value of the previously-held equity method investment, including, (i) the price negotiated with Rattler for its 43% interest in OMOG and (ii) a discounted cash flow approach. The discounted cash flow approach utilized a discount rate of approximately 11%, based on the estimate of the risk that a theoretical market participant would assign to the business. The remeasurement of the Permian JV’s investment in OMOG to fair value resulted in a gain of $29 million. This gain has been recognized in the line item “Gains/(losses) on investments in unconsolidated entities, net” on our Consolidated Statement of Operations.</w:t>
      </w:r>
    </w:p>
    <w:p>
      <w:pPr>
        <w:sectPr>
          <w:pgSz w:w="11880" w:h="15480" w:orient="portrait"/>
          <w:cols w:equalWidth="0" w:num="1">
            <w:col w:w="9980"/>
          </w:cols>
          <w:pgMar w:left="940" w:top="43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w:t>
      </w:r>
    </w:p>
    <w:p>
      <w:pPr>
        <w:sectPr>
          <w:pgSz w:w="11880" w:h="15480" w:orient="portrait"/>
          <w:cols w:equalWidth="0" w:num="1">
            <w:col w:w="9980"/>
          </w:cols>
          <w:pgMar w:left="940" w:top="432" w:right="960" w:bottom="0" w:gutter="0" w:footer="0" w:header="0"/>
          <w:type w:val="continuous"/>
        </w:sectPr>
      </w:pPr>
    </w:p>
    <w:bookmarkStart w:id="125" w:name="page126"/>
    <w:bookmarkEnd w:id="125"/>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right="120" w:firstLine="702"/>
        <w:spacing w:after="0" w:line="282" w:lineRule="auto"/>
        <w:rPr>
          <w:sz w:val="20"/>
          <w:szCs w:val="20"/>
          <w:color w:val="auto"/>
        </w:rPr>
      </w:pPr>
      <w:r>
        <w:rPr>
          <w:rFonts w:ascii="Arial" w:cs="Arial" w:eastAsia="Arial" w:hAnsi="Arial"/>
          <w:sz w:val="18"/>
          <w:szCs w:val="18"/>
          <w:color w:val="auto"/>
        </w:rPr>
        <w:t>The determination of the fair value of the assets and liabilities assumed was estimated in accordance with applicable accounting guidance. The analysis was performed based on estimates that are reflective of market participant assumptions. While the purchase price for the transaction was $294 million, all of the OMOG assets and liabilities were remeasured to fair value and therefore, the fair value of the assets and liabilities that are now consolidated on the balance sheet as a result of this transaction is $532 million. The following table reflects our determination of the fair value of the assets acquired and liabilities assumed in connection with the transaction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Identifiable Assets Acquired and Liabilities Assumed:</w:t>
            </w:r>
          </w:p>
        </w:tc>
        <w:tc>
          <w:tcPr>
            <w:tcW w:w="8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87"/>
              </w:rPr>
              <w:t>Estimated Useful Lives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vMerge w:val="restart"/>
          </w:tcPr>
          <w:p>
            <w:pPr>
              <w:jc w:val="right"/>
              <w:ind w:right="226"/>
              <w:spacing w:after="0"/>
              <w:rPr>
                <w:sz w:val="20"/>
                <w:szCs w:val="20"/>
                <w:color w:val="auto"/>
              </w:rPr>
            </w:pPr>
            <w:r>
              <w:rPr>
                <w:rFonts w:ascii="Arial" w:cs="Arial" w:eastAsia="Arial" w:hAnsi="Arial"/>
                <w:sz w:val="16"/>
                <w:szCs w:val="16"/>
                <w:b w:val="1"/>
                <w:bCs w:val="1"/>
                <w:color w:val="auto"/>
                <w:w w:val="91"/>
              </w:rPr>
              <w:t>Recognized Amount</w:t>
            </w:r>
          </w:p>
        </w:tc>
        <w:tc>
          <w:tcPr>
            <w:tcW w:w="0" w:type="dxa"/>
            <w:vAlign w:val="bottom"/>
          </w:tcPr>
          <w:p>
            <w:pPr>
              <w:spacing w:after="0"/>
              <w:rPr>
                <w:sz w:val="1"/>
                <w:szCs w:val="1"/>
                <w:color w:val="auto"/>
              </w:rPr>
            </w:pPr>
          </w:p>
        </w:tc>
      </w:tr>
      <w:tr>
        <w:trPr>
          <w:trHeight w:val="209"/>
        </w:trPr>
        <w:tc>
          <w:tcPr>
            <w:tcW w:w="5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840" w:type="dxa"/>
            <w:vAlign w:val="bottom"/>
          </w:tcPr>
          <w:p>
            <w:pPr>
              <w:ind w:left="60"/>
              <w:spacing w:after="0"/>
              <w:rPr>
                <w:sz w:val="20"/>
                <w:szCs w:val="20"/>
                <w:color w:val="auto"/>
              </w:rPr>
            </w:pPr>
            <w:r>
              <w:rPr>
                <w:rFonts w:ascii="Arial" w:cs="Arial" w:eastAsia="Arial" w:hAnsi="Arial"/>
                <w:sz w:val="19"/>
                <w:szCs w:val="19"/>
                <w:color w:val="auto"/>
              </w:rPr>
              <w:t>Property and equipment</w:t>
            </w:r>
          </w:p>
        </w:tc>
        <w:tc>
          <w:tcPr>
            <w:tcW w:w="2060" w:type="dxa"/>
            <w:vAlign w:val="bottom"/>
            <w:gridSpan w:val="2"/>
          </w:tcPr>
          <w:p>
            <w:pPr>
              <w:jc w:val="right"/>
              <w:ind w:right="716"/>
              <w:spacing w:after="0"/>
              <w:rPr>
                <w:sz w:val="20"/>
                <w:szCs w:val="20"/>
                <w:color w:val="auto"/>
              </w:rPr>
            </w:pPr>
            <w:r>
              <w:rPr>
                <w:rFonts w:ascii="Arial" w:cs="Arial" w:eastAsia="Arial" w:hAnsi="Arial"/>
                <w:sz w:val="19"/>
                <w:szCs w:val="19"/>
                <w:color w:val="auto"/>
              </w:rPr>
              <w:t>3-30</w:t>
            </w:r>
          </w:p>
        </w:tc>
        <w:tc>
          <w:tcPr>
            <w:tcW w:w="34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1760" w:type="dxa"/>
            <w:vAlign w:val="bottom"/>
          </w:tcPr>
          <w:p>
            <w:pPr>
              <w:jc w:val="right"/>
              <w:spacing w:after="0"/>
              <w:rPr>
                <w:sz w:val="20"/>
                <w:szCs w:val="20"/>
                <w:color w:val="auto"/>
              </w:rPr>
            </w:pPr>
            <w:r>
              <w:rPr>
                <w:rFonts w:ascii="Arial" w:cs="Arial" w:eastAsia="Arial" w:hAnsi="Arial"/>
                <w:sz w:val="19"/>
                <w:szCs w:val="19"/>
                <w:color w:val="auto"/>
              </w:rPr>
              <w:t>484</w:t>
            </w:r>
          </w:p>
        </w:tc>
        <w:tc>
          <w:tcPr>
            <w:tcW w:w="0" w:type="dxa"/>
            <w:vAlign w:val="bottom"/>
          </w:tcPr>
          <w:p>
            <w:pPr>
              <w:spacing w:after="0"/>
              <w:rPr>
                <w:sz w:val="1"/>
                <w:szCs w:val="1"/>
                <w:color w:val="auto"/>
              </w:rPr>
            </w:pPr>
          </w:p>
        </w:tc>
      </w:tr>
      <w:tr>
        <w:trPr>
          <w:trHeight w:val="307"/>
        </w:trPr>
        <w:tc>
          <w:tcPr>
            <w:tcW w:w="5840" w:type="dxa"/>
            <w:vAlign w:val="bottom"/>
          </w:tcPr>
          <w:p>
            <w:pPr>
              <w:ind w:left="60"/>
              <w:spacing w:after="0"/>
              <w:rPr>
                <w:sz w:val="20"/>
                <w:szCs w:val="20"/>
                <w:color w:val="auto"/>
              </w:rPr>
            </w:pPr>
            <w:r>
              <w:rPr>
                <w:rFonts w:ascii="Arial" w:cs="Arial" w:eastAsia="Arial" w:hAnsi="Arial"/>
                <w:sz w:val="19"/>
                <w:szCs w:val="19"/>
                <w:color w:val="auto"/>
              </w:rPr>
              <w:t>Intangible assets</w:t>
            </w:r>
          </w:p>
        </w:tc>
        <w:tc>
          <w:tcPr>
            <w:tcW w:w="2060" w:type="dxa"/>
            <w:vAlign w:val="bottom"/>
            <w:gridSpan w:val="2"/>
          </w:tcPr>
          <w:p>
            <w:pPr>
              <w:jc w:val="right"/>
              <w:ind w:right="796"/>
              <w:spacing w:after="0"/>
              <w:rPr>
                <w:sz w:val="20"/>
                <w:szCs w:val="20"/>
                <w:color w:val="auto"/>
              </w:rPr>
            </w:pPr>
            <w:r>
              <w:rPr>
                <w:rFonts w:ascii="Arial" w:cs="Arial" w:eastAsia="Arial" w:hAnsi="Arial"/>
                <w:sz w:val="19"/>
                <w:szCs w:val="19"/>
                <w:color w:val="auto"/>
              </w:rPr>
              <w:t>10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9"/>
                <w:szCs w:val="19"/>
                <w:color w:val="auto"/>
              </w:rPr>
              <w:t>34</w:t>
            </w:r>
          </w:p>
        </w:tc>
        <w:tc>
          <w:tcPr>
            <w:tcW w:w="0" w:type="dxa"/>
            <w:vAlign w:val="bottom"/>
          </w:tcPr>
          <w:p>
            <w:pPr>
              <w:spacing w:after="0"/>
              <w:rPr>
                <w:sz w:val="1"/>
                <w:szCs w:val="1"/>
                <w:color w:val="auto"/>
              </w:rPr>
            </w:pPr>
          </w:p>
        </w:tc>
      </w:tr>
      <w:tr>
        <w:trPr>
          <w:trHeight w:val="296"/>
        </w:trPr>
        <w:tc>
          <w:tcPr>
            <w:tcW w:w="5840" w:type="dxa"/>
            <w:vAlign w:val="bottom"/>
          </w:tcPr>
          <w:p>
            <w:pPr>
              <w:ind w:left="60"/>
              <w:spacing w:after="0"/>
              <w:rPr>
                <w:sz w:val="20"/>
                <w:szCs w:val="20"/>
                <w:color w:val="auto"/>
              </w:rPr>
            </w:pPr>
            <w:r>
              <w:rPr>
                <w:rFonts w:ascii="Arial" w:cs="Arial" w:eastAsia="Arial" w:hAnsi="Arial"/>
                <w:sz w:val="19"/>
                <w:szCs w:val="19"/>
                <w:color w:val="auto"/>
              </w:rPr>
              <w:t>Working capital and other assets and liabilities</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9"/>
                <w:szCs w:val="19"/>
                <w:color w:val="auto"/>
              </w:rPr>
              <w:t>N/A</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w:t>
            </w:r>
          </w:p>
        </w:tc>
        <w:tc>
          <w:tcPr>
            <w:tcW w:w="0" w:type="dxa"/>
            <w:vAlign w:val="bottom"/>
          </w:tcPr>
          <w:p>
            <w:pPr>
              <w:spacing w:after="0"/>
              <w:rPr>
                <w:sz w:val="1"/>
                <w:szCs w:val="1"/>
                <w:color w:val="auto"/>
              </w:rPr>
            </w:pPr>
          </w:p>
        </w:tc>
      </w:tr>
      <w:tr>
        <w:trPr>
          <w:trHeight w:val="268"/>
        </w:trPr>
        <w:tc>
          <w:tcPr>
            <w:tcW w:w="5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1760" w:type="dxa"/>
            <w:vAlign w:val="bottom"/>
          </w:tcPr>
          <w:p>
            <w:pPr>
              <w:jc w:val="right"/>
              <w:spacing w:after="0"/>
              <w:rPr>
                <w:sz w:val="20"/>
                <w:szCs w:val="20"/>
                <w:color w:val="auto"/>
              </w:rPr>
            </w:pPr>
            <w:r>
              <w:rPr>
                <w:rFonts w:ascii="Arial" w:cs="Arial" w:eastAsia="Arial" w:hAnsi="Arial"/>
                <w:sz w:val="19"/>
                <w:szCs w:val="19"/>
                <w:color w:val="auto"/>
              </w:rPr>
              <w:t>532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-801370</wp:posOffset>
            </wp:positionV>
            <wp:extent cx="6376670" cy="8083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1">
                      <a:extLst>
                        <a:ext uri="{28A0092B-C50C-407E-A947-70E740481C1C}"/>
                      </a:extLst>
                    </a:blip>
                    <a:srcRect/>
                    <a:stretch>
                      <a:fillRect/>
                    </a:stretch>
                  </pic:blipFill>
                  <pic:spPr bwMode="auto">
                    <a:xfrm>
                      <a:off x="0" y="0"/>
                      <a:ext cx="6376670" cy="808355"/>
                    </a:xfrm>
                    <a:prstGeom prst="rect">
                      <a:avLst/>
                    </a:prstGeom>
                    <a:noFill/>
                  </pic:spPr>
                </pic:pic>
              </a:graphicData>
            </a:graphic>
          </wp:anchor>
        </w:drawing>
      </w:r>
    </w:p>
    <w:p>
      <w:pPr>
        <w:spacing w:after="0" w:line="221" w:lineRule="exact"/>
        <w:rPr>
          <w:sz w:val="20"/>
          <w:szCs w:val="20"/>
          <w:color w:val="auto"/>
        </w:rPr>
      </w:pPr>
    </w:p>
    <w:p>
      <w:pPr>
        <w:ind w:right="60" w:firstLine="702"/>
        <w:spacing w:after="0" w:line="262" w:lineRule="auto"/>
        <w:rPr>
          <w:sz w:val="20"/>
          <w:szCs w:val="20"/>
          <w:color w:val="auto"/>
        </w:rPr>
      </w:pPr>
      <w:r>
        <w:rPr>
          <w:rFonts w:ascii="Arial" w:cs="Arial" w:eastAsia="Arial" w:hAnsi="Arial"/>
          <w:sz w:val="19"/>
          <w:szCs w:val="19"/>
          <w:color w:val="auto"/>
        </w:rPr>
        <w:t>The fair value of the tangible assets is a Level 3 measurement in the fair value hierarchy and was determined using the cost approach based on costs incurred on similar recent construction projects. The fair value of the intangible assets is also a Level 3 measurement in the fair value hierarchy and was determined by applying a discounted cash flow approach. Such approach utilized discount rates varying from approximately 21% to 23%, based on our estimate of the risk that a theoretical market participant would assign to the respective intangible assets.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spacing w:after="0" w:line="198" w:lineRule="exact"/>
        <w:rPr>
          <w:sz w:val="20"/>
          <w:szCs w:val="20"/>
          <w:color w:val="auto"/>
        </w:rPr>
      </w:pPr>
    </w:p>
    <w:p>
      <w:pPr>
        <w:ind w:right="40" w:firstLine="702"/>
        <w:spacing w:after="0" w:line="266" w:lineRule="auto"/>
        <w:rPr>
          <w:sz w:val="20"/>
          <w:szCs w:val="20"/>
          <w:color w:val="auto"/>
        </w:rPr>
      </w:pPr>
      <w:r>
        <w:rPr>
          <w:rFonts w:ascii="Arial" w:cs="Arial" w:eastAsia="Arial" w:hAnsi="Arial"/>
          <w:sz w:val="19"/>
          <w:szCs w:val="19"/>
          <w:color w:val="auto"/>
        </w:rPr>
        <w:t>The fair value of intangible assets is comprised of customer relationships that will be amortized over their useful lives, which have a remaining weighted average life of approximately 10 years. The value assigned to such intangible assets will be amortized to earnings under the declining balance method of amortization. Amortization expense was approximately $4 million during the year ended December 31, 2023, and the future amortization expense through 2028 is estimated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148590</wp:posOffset>
            </wp:positionV>
            <wp:extent cx="6339205" cy="10001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2">
                      <a:extLst>
                        <a:ext uri="{28A0092B-C50C-407E-A947-70E740481C1C}"/>
                      </a:extLst>
                    </a:blip>
                    <a:srcRect/>
                    <a:stretch>
                      <a:fillRect/>
                    </a:stretch>
                  </pic:blipFill>
                  <pic:spPr bwMode="auto">
                    <a:xfrm>
                      <a:off x="0" y="0"/>
                      <a:ext cx="6339205" cy="1000125"/>
                    </a:xfrm>
                    <a:prstGeom prst="rect">
                      <a:avLst/>
                    </a:prstGeom>
                    <a:noFill/>
                  </pic:spPr>
                </pic:pic>
              </a:graphicData>
            </a:graphic>
          </wp:anchor>
        </w:drawing>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54"/>
        </w:trPr>
        <w:tc>
          <w:tcPr>
            <w:tcW w:w="4160" w:type="dxa"/>
            <w:vAlign w:val="bottom"/>
          </w:tcPr>
          <w:p>
            <w:pPr>
              <w:jc w:val="right"/>
              <w:ind w:right="3683"/>
              <w:spacing w:after="0"/>
              <w:rPr>
                <w:sz w:val="20"/>
                <w:szCs w:val="20"/>
                <w:color w:val="auto"/>
              </w:rPr>
            </w:pPr>
            <w:r>
              <w:rPr>
                <w:rFonts w:ascii="Arial" w:cs="Arial" w:eastAsia="Arial" w:hAnsi="Arial"/>
                <w:sz w:val="19"/>
                <w:szCs w:val="19"/>
                <w:color w:val="auto"/>
                <w:w w:val="85"/>
              </w:rPr>
              <w:t>2024</w:t>
            </w:r>
          </w:p>
        </w:tc>
        <w:tc>
          <w:tcPr>
            <w:tcW w:w="4660" w:type="dxa"/>
            <w:vAlign w:val="bottom"/>
          </w:tcPr>
          <w:p>
            <w:pPr>
              <w:jc w:val="right"/>
              <w:ind w:right="683"/>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307"/>
        </w:trPr>
        <w:tc>
          <w:tcPr>
            <w:tcW w:w="4160" w:type="dxa"/>
            <w:vAlign w:val="bottom"/>
          </w:tcPr>
          <w:p>
            <w:pPr>
              <w:jc w:val="right"/>
              <w:ind w:right="3683"/>
              <w:spacing w:after="0"/>
              <w:rPr>
                <w:sz w:val="20"/>
                <w:szCs w:val="20"/>
                <w:color w:val="auto"/>
              </w:rPr>
            </w:pPr>
            <w:r>
              <w:rPr>
                <w:rFonts w:ascii="Arial" w:cs="Arial" w:eastAsia="Arial" w:hAnsi="Arial"/>
                <w:sz w:val="19"/>
                <w:szCs w:val="19"/>
                <w:color w:val="auto"/>
                <w:w w:val="85"/>
              </w:rPr>
              <w:t>2025</w:t>
            </w:r>
          </w:p>
        </w:tc>
        <w:tc>
          <w:tcPr>
            <w:tcW w:w="4660" w:type="dxa"/>
            <w:vAlign w:val="bottom"/>
          </w:tcPr>
          <w:p>
            <w:pPr>
              <w:jc w:val="right"/>
              <w:ind w:right="683"/>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307"/>
        </w:trPr>
        <w:tc>
          <w:tcPr>
            <w:tcW w:w="4160" w:type="dxa"/>
            <w:vAlign w:val="bottom"/>
          </w:tcPr>
          <w:p>
            <w:pPr>
              <w:jc w:val="right"/>
              <w:ind w:right="3683"/>
              <w:spacing w:after="0"/>
              <w:rPr>
                <w:sz w:val="20"/>
                <w:szCs w:val="20"/>
                <w:color w:val="auto"/>
              </w:rPr>
            </w:pPr>
            <w:r>
              <w:rPr>
                <w:rFonts w:ascii="Arial" w:cs="Arial" w:eastAsia="Arial" w:hAnsi="Arial"/>
                <w:sz w:val="19"/>
                <w:szCs w:val="19"/>
                <w:color w:val="auto"/>
                <w:w w:val="85"/>
              </w:rPr>
              <w:t>2026</w:t>
            </w:r>
          </w:p>
        </w:tc>
        <w:tc>
          <w:tcPr>
            <w:tcW w:w="4660" w:type="dxa"/>
            <w:vAlign w:val="bottom"/>
          </w:tcPr>
          <w:p>
            <w:pPr>
              <w:jc w:val="right"/>
              <w:ind w:right="683"/>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307"/>
        </w:trPr>
        <w:tc>
          <w:tcPr>
            <w:tcW w:w="4160" w:type="dxa"/>
            <w:vAlign w:val="bottom"/>
          </w:tcPr>
          <w:p>
            <w:pPr>
              <w:jc w:val="right"/>
              <w:ind w:right="3683"/>
              <w:spacing w:after="0"/>
              <w:rPr>
                <w:sz w:val="20"/>
                <w:szCs w:val="20"/>
                <w:color w:val="auto"/>
              </w:rPr>
            </w:pPr>
            <w:r>
              <w:rPr>
                <w:rFonts w:ascii="Arial" w:cs="Arial" w:eastAsia="Arial" w:hAnsi="Arial"/>
                <w:sz w:val="19"/>
                <w:szCs w:val="19"/>
                <w:color w:val="auto"/>
                <w:w w:val="85"/>
              </w:rPr>
              <w:t>2027</w:t>
            </w:r>
          </w:p>
        </w:tc>
        <w:tc>
          <w:tcPr>
            <w:tcW w:w="4660" w:type="dxa"/>
            <w:vAlign w:val="bottom"/>
          </w:tcPr>
          <w:p>
            <w:pPr>
              <w:jc w:val="right"/>
              <w:ind w:right="683"/>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307"/>
        </w:trPr>
        <w:tc>
          <w:tcPr>
            <w:tcW w:w="4160" w:type="dxa"/>
            <w:vAlign w:val="bottom"/>
          </w:tcPr>
          <w:p>
            <w:pPr>
              <w:jc w:val="right"/>
              <w:ind w:right="3683"/>
              <w:spacing w:after="0"/>
              <w:rPr>
                <w:sz w:val="20"/>
                <w:szCs w:val="20"/>
                <w:color w:val="auto"/>
              </w:rPr>
            </w:pPr>
            <w:r>
              <w:rPr>
                <w:rFonts w:ascii="Arial" w:cs="Arial" w:eastAsia="Arial" w:hAnsi="Arial"/>
                <w:sz w:val="19"/>
                <w:szCs w:val="19"/>
                <w:color w:val="auto"/>
                <w:w w:val="85"/>
              </w:rPr>
              <w:t>2028</w:t>
            </w:r>
          </w:p>
        </w:tc>
        <w:tc>
          <w:tcPr>
            <w:tcW w:w="4660" w:type="dxa"/>
            <w:vAlign w:val="bottom"/>
          </w:tcPr>
          <w:p>
            <w:pPr>
              <w:jc w:val="right"/>
              <w:ind w:right="683"/>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2</w:t>
            </w:r>
          </w:p>
        </w:tc>
      </w:tr>
    </w:tbl>
    <w:p>
      <w:pPr>
        <w:spacing w:after="0" w:line="284" w:lineRule="exact"/>
        <w:rPr>
          <w:sz w:val="20"/>
          <w:szCs w:val="20"/>
          <w:color w:val="auto"/>
        </w:rPr>
      </w:pPr>
    </w:p>
    <w:p>
      <w:pPr>
        <w:jc w:val="both"/>
        <w:ind w:right="20" w:firstLine="702"/>
        <w:spacing w:after="0" w:line="276" w:lineRule="auto"/>
        <w:rPr>
          <w:sz w:val="20"/>
          <w:szCs w:val="20"/>
          <w:color w:val="auto"/>
        </w:rPr>
      </w:pPr>
      <w:r>
        <w:rPr>
          <w:rFonts w:ascii="Arial" w:cs="Arial" w:eastAsia="Arial" w:hAnsi="Arial"/>
          <w:sz w:val="19"/>
          <w:szCs w:val="19"/>
          <w:color w:val="auto"/>
        </w:rPr>
        <w:t>Pro forma financial information assuming the acquisition had occurred as of the beginning of the calendar year prior to the year of the acquisition, as well as the revenues and earnings generated during the period since the acquisition date, were not material for disclosure purposes.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Cactus II</w:t>
      </w:r>
    </w:p>
    <w:p>
      <w:pPr>
        <w:spacing w:after="0" w:line="257" w:lineRule="exact"/>
        <w:rPr>
          <w:sz w:val="20"/>
          <w:szCs w:val="20"/>
          <w:color w:val="auto"/>
        </w:rPr>
      </w:pPr>
    </w:p>
    <w:p>
      <w:pPr>
        <w:ind w:right="120" w:firstLine="702"/>
        <w:spacing w:after="0" w:line="279" w:lineRule="auto"/>
        <w:rPr>
          <w:sz w:val="20"/>
          <w:szCs w:val="20"/>
          <w:color w:val="auto"/>
        </w:rPr>
      </w:pPr>
      <w:r>
        <w:rPr>
          <w:rFonts w:ascii="Arial" w:cs="Arial" w:eastAsia="Arial" w:hAnsi="Arial"/>
          <w:sz w:val="18"/>
          <w:szCs w:val="18"/>
          <w:color w:val="auto"/>
        </w:rPr>
        <w:t>In November 2022, we and Enbridge Inc. (“Enbridge”) purchased Western Midstream Partners, LP (“WES”)’s 15% interest in Cactus II Pipeline, LLC (“Cactus II”) for an aggregate amount of $265 million. Enbridge acquired 10% and we acquired 5% of Cactus II, with each paying a proportionate share ($177 million and $88 million, respectively) of the aggregate purchase price. We and Enbridge are now the sole owners of Cactus II, with 70% and 30% respective ownership interests. We will continue to serve as operator. We previously accounted for our 65% interest in Cactus II as an equity method investment. In addition to the change in ownership, there were changes in governance which led to a change in control. We now control Cactus II and reflect Cactus II as a consolidated subsidiary in our Consolidated Financial Statements, with Enbridge’s 30% interest reflected as a noncontrolling interest.</w:t>
      </w:r>
    </w:p>
    <w:p>
      <w:pPr>
        <w:spacing w:after="0" w:line="181" w:lineRule="exact"/>
        <w:rPr>
          <w:sz w:val="20"/>
          <w:szCs w:val="20"/>
          <w:color w:val="auto"/>
        </w:rPr>
      </w:pPr>
    </w:p>
    <w:p>
      <w:pPr>
        <w:ind w:right="440" w:firstLine="702"/>
        <w:spacing w:after="0" w:line="311" w:lineRule="auto"/>
        <w:rPr>
          <w:sz w:val="20"/>
          <w:szCs w:val="20"/>
          <w:color w:val="auto"/>
        </w:rPr>
      </w:pPr>
      <w:r>
        <w:rPr>
          <w:rFonts w:ascii="Arial" w:cs="Arial" w:eastAsia="Arial" w:hAnsi="Arial"/>
          <w:sz w:val="17"/>
          <w:szCs w:val="17"/>
          <w:color w:val="auto"/>
        </w:rPr>
        <w:t>The acquisition was accounted for as a business combination achieved in stages, or a “step acquisition”, using the acquisition method of accounting. As the majority owner and the controlling entity, we are considered the acquirer and the Cactus II predecessor business was recorded based on the fair value of the assets acquired and liabilities assumed, with Enbridge’s 30% interest in Cactus II of $526 million recognized as noncontrolling interest in partners’ capital.</w:t>
      </w:r>
    </w:p>
    <w:p>
      <w:pPr>
        <w:sectPr>
          <w:pgSz w:w="11880" w:h="15480" w:orient="portrait"/>
          <w:cols w:equalWidth="0" w:num="1">
            <w:col w:w="10000"/>
          </w:cols>
          <w:pgMar w:left="940" w:top="431" w:right="940" w:bottom="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880" w:h="15480" w:orient="portrait"/>
          <w:cols w:equalWidth="0" w:num="1">
            <w:col w:w="10000"/>
          </w:cols>
          <w:pgMar w:left="940" w:top="431" w:right="940" w:bottom="0" w:gutter="0" w:footer="0" w:header="0"/>
          <w:type w:val="continuous"/>
        </w:sectPr>
      </w:pPr>
    </w:p>
    <w:bookmarkStart w:id="126" w:name="page127"/>
    <w:bookmarkEnd w:id="126"/>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353" w:lineRule="exact"/>
        <w:rPr>
          <w:sz w:val="20"/>
          <w:szCs w:val="20"/>
          <w:color w:val="auto"/>
        </w:rPr>
      </w:pPr>
    </w:p>
    <w:p>
      <w:pPr>
        <w:ind w:right="80" w:firstLine="702"/>
        <w:spacing w:after="0" w:line="277" w:lineRule="auto"/>
        <w:rPr>
          <w:sz w:val="20"/>
          <w:szCs w:val="20"/>
          <w:color w:val="auto"/>
        </w:rPr>
      </w:pPr>
      <w:r>
        <w:rPr>
          <w:rFonts w:ascii="Arial" w:cs="Arial" w:eastAsia="Arial" w:hAnsi="Arial"/>
          <w:sz w:val="18"/>
          <w:szCs w:val="18"/>
          <w:color w:val="auto"/>
        </w:rPr>
        <w:t>As a result of us obtaining control over Cactus II, our previously held 65% interest in Cactus II was remeasured to its fair value of $1.140 billion based upon a valuation of the acquired business, as of the date of acquisition. We considered multiple factors in determining the fair value of the previously held equity method investment, including, (i) the price negotiated with WES for its 15% interest in Cactus II and (ii) a discounted cash flow approach. The discounted cash flow approach utilized a discount rate of approximately 14%, based on the estimate of the risk that a theoretical market participant would assign to the business. Prior to the acquisition, we had a preexisting relationship with Cactus II, through one of our consolidated joint ventures, for certain capacity lease agreements. The portion of the fair value of Cactus II associated with these agreements is eliminated in consolidation. Accounting for such impact, the remeasurement of our investment in Cactus II to fair value resulted in a gain of $370 million. This gain has been recognized in the line item “Gains/(losses) on investments in unconsolidated entities, net” on our Consolidated Statement of Operations</w:t>
      </w:r>
    </w:p>
    <w:p>
      <w:pPr>
        <w:spacing w:after="0" w:line="185" w:lineRule="exact"/>
        <w:rPr>
          <w:sz w:val="20"/>
          <w:szCs w:val="20"/>
          <w:color w:val="auto"/>
        </w:rPr>
      </w:pPr>
    </w:p>
    <w:p>
      <w:pPr>
        <w:ind w:right="100" w:firstLine="702"/>
        <w:spacing w:after="0" w:line="269" w:lineRule="auto"/>
        <w:rPr>
          <w:sz w:val="20"/>
          <w:szCs w:val="20"/>
          <w:color w:val="auto"/>
        </w:rPr>
      </w:pPr>
      <w:r>
        <w:rPr>
          <w:rFonts w:ascii="Arial" w:cs="Arial" w:eastAsia="Arial" w:hAnsi="Arial"/>
          <w:sz w:val="19"/>
          <w:szCs w:val="19"/>
          <w:color w:val="auto"/>
        </w:rPr>
        <w:t>In accordance with applicable accounting guidance, the fair value of Cactus II following the acquisition is utilized as the consideration transferred for the purchase price allocation. The consideration transferred of $1.556 billion excludes the value associated with the capacity lease agreements described above as such value is eliminated for our Consolidated Financial Statements.</w:t>
      </w:r>
    </w:p>
    <w:p>
      <w:pPr>
        <w:spacing w:after="0" w:line="190" w:lineRule="exact"/>
        <w:rPr>
          <w:sz w:val="20"/>
          <w:szCs w:val="20"/>
          <w:color w:val="auto"/>
        </w:rPr>
      </w:pPr>
    </w:p>
    <w:p>
      <w:pPr>
        <w:ind w:right="80" w:firstLine="702"/>
        <w:spacing w:after="0" w:line="298" w:lineRule="auto"/>
        <w:rPr>
          <w:sz w:val="20"/>
          <w:szCs w:val="20"/>
          <w:color w:val="auto"/>
        </w:rPr>
      </w:pPr>
      <w:r>
        <w:rPr>
          <w:rFonts w:ascii="Arial" w:cs="Arial" w:eastAsia="Arial" w:hAnsi="Arial"/>
          <w:sz w:val="18"/>
          <w:szCs w:val="18"/>
          <w:color w:val="auto"/>
        </w:rPr>
        <w:t>The determination of the fair value of the assets acquired and liabilities assumed was estimated in accordance with the applicable accounting guidance. The analysis was performed based on estimates that are reflective of market participant assumptions. The following table reflects our determination of the fair value of those assets and liabilities (in millions):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Identifiable Assets Acquired and Liabilities Assumed:</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86"/>
              </w:rPr>
              <w:t>Estimated Useful Lives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vMerge w:val="restart"/>
          </w:tcPr>
          <w:p>
            <w:pPr>
              <w:jc w:val="right"/>
              <w:ind w:right="166"/>
              <w:spacing w:after="0"/>
              <w:rPr>
                <w:sz w:val="20"/>
                <w:szCs w:val="20"/>
                <w:color w:val="auto"/>
              </w:rPr>
            </w:pPr>
            <w:r>
              <w:rPr>
                <w:rFonts w:ascii="Arial" w:cs="Arial" w:eastAsia="Arial" w:hAnsi="Arial"/>
                <w:sz w:val="16"/>
                <w:szCs w:val="16"/>
                <w:b w:val="1"/>
                <w:bCs w:val="1"/>
                <w:color w:val="auto"/>
                <w:w w:val="89"/>
              </w:rPr>
              <w:t>Recognized Amount</w:t>
            </w:r>
          </w:p>
        </w:tc>
        <w:tc>
          <w:tcPr>
            <w:tcW w:w="0" w:type="dxa"/>
            <w:vAlign w:val="bottom"/>
          </w:tcPr>
          <w:p>
            <w:pPr>
              <w:spacing w:after="0"/>
              <w:rPr>
                <w:sz w:val="1"/>
                <w:szCs w:val="1"/>
                <w:color w:val="auto"/>
              </w:rPr>
            </w:pPr>
          </w:p>
        </w:tc>
      </w:tr>
      <w:tr>
        <w:trPr>
          <w:trHeight w:val="209"/>
        </w:trPr>
        <w:tc>
          <w:tcPr>
            <w:tcW w:w="61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160" w:type="dxa"/>
            <w:vAlign w:val="bottom"/>
          </w:tcPr>
          <w:p>
            <w:pPr>
              <w:ind w:left="60"/>
              <w:spacing w:after="0"/>
              <w:rPr>
                <w:sz w:val="20"/>
                <w:szCs w:val="20"/>
                <w:color w:val="auto"/>
              </w:rPr>
            </w:pPr>
            <w:r>
              <w:rPr>
                <w:rFonts w:ascii="Arial" w:cs="Arial" w:eastAsia="Arial" w:hAnsi="Arial"/>
                <w:sz w:val="19"/>
                <w:szCs w:val="19"/>
                <w:color w:val="auto"/>
              </w:rPr>
              <w:t>Property and equipment</w:t>
            </w:r>
          </w:p>
        </w:tc>
        <w:tc>
          <w:tcPr>
            <w:tcW w:w="1920" w:type="dxa"/>
            <w:vAlign w:val="bottom"/>
            <w:gridSpan w:val="2"/>
          </w:tcPr>
          <w:p>
            <w:pPr>
              <w:jc w:val="right"/>
              <w:ind w:right="656"/>
              <w:spacing w:after="0"/>
              <w:rPr>
                <w:sz w:val="20"/>
                <w:szCs w:val="20"/>
                <w:color w:val="auto"/>
              </w:rPr>
            </w:pPr>
            <w:r>
              <w:rPr>
                <w:rFonts w:ascii="Arial" w:cs="Arial" w:eastAsia="Arial" w:hAnsi="Arial"/>
                <w:sz w:val="19"/>
                <w:szCs w:val="19"/>
                <w:color w:val="auto"/>
              </w:rPr>
              <w:t>3-50</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660" w:type="dxa"/>
            <w:vAlign w:val="bottom"/>
          </w:tcPr>
          <w:p>
            <w:pPr>
              <w:jc w:val="right"/>
              <w:spacing w:after="0"/>
              <w:rPr>
                <w:sz w:val="20"/>
                <w:szCs w:val="20"/>
                <w:color w:val="auto"/>
              </w:rPr>
            </w:pPr>
            <w:r>
              <w:rPr>
                <w:rFonts w:ascii="Arial" w:cs="Arial" w:eastAsia="Arial" w:hAnsi="Arial"/>
                <w:sz w:val="19"/>
                <w:szCs w:val="19"/>
                <w:color w:val="auto"/>
              </w:rPr>
              <w:t>1,174</w:t>
            </w:r>
          </w:p>
        </w:tc>
        <w:tc>
          <w:tcPr>
            <w:tcW w:w="0" w:type="dxa"/>
            <w:vAlign w:val="bottom"/>
          </w:tcPr>
          <w:p>
            <w:pPr>
              <w:spacing w:after="0"/>
              <w:rPr>
                <w:sz w:val="1"/>
                <w:szCs w:val="1"/>
                <w:color w:val="auto"/>
              </w:rPr>
            </w:pPr>
          </w:p>
        </w:tc>
      </w:tr>
      <w:tr>
        <w:trPr>
          <w:trHeight w:val="307"/>
        </w:trPr>
        <w:tc>
          <w:tcPr>
            <w:tcW w:w="6160" w:type="dxa"/>
            <w:vAlign w:val="bottom"/>
          </w:tcPr>
          <w:p>
            <w:pPr>
              <w:ind w:left="60"/>
              <w:spacing w:after="0"/>
              <w:rPr>
                <w:sz w:val="20"/>
                <w:szCs w:val="20"/>
                <w:color w:val="auto"/>
              </w:rPr>
            </w:pPr>
            <w:r>
              <w:rPr>
                <w:rFonts w:ascii="Arial" w:cs="Arial" w:eastAsia="Arial" w:hAnsi="Arial"/>
                <w:sz w:val="19"/>
                <w:szCs w:val="19"/>
                <w:color w:val="auto"/>
              </w:rPr>
              <w:t>Intangible assets</w:t>
            </w:r>
          </w:p>
        </w:tc>
        <w:tc>
          <w:tcPr>
            <w:tcW w:w="1920" w:type="dxa"/>
            <w:vAlign w:val="bottom"/>
            <w:gridSpan w:val="2"/>
          </w:tcPr>
          <w:p>
            <w:pPr>
              <w:jc w:val="right"/>
              <w:ind w:right="736"/>
              <w:spacing w:after="0"/>
              <w:rPr>
                <w:sz w:val="20"/>
                <w:szCs w:val="20"/>
                <w:color w:val="auto"/>
              </w:rPr>
            </w:pPr>
            <w:r>
              <w:rPr>
                <w:rFonts w:ascii="Arial" w:cs="Arial" w:eastAsia="Arial" w:hAnsi="Arial"/>
                <w:sz w:val="19"/>
                <w:szCs w:val="19"/>
                <w:color w:val="auto"/>
              </w:rPr>
              <w:t>20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9"/>
                <w:szCs w:val="19"/>
                <w:color w:val="auto"/>
              </w:rPr>
              <w:t>428</w:t>
            </w:r>
          </w:p>
        </w:tc>
        <w:tc>
          <w:tcPr>
            <w:tcW w:w="0" w:type="dxa"/>
            <w:vAlign w:val="bottom"/>
          </w:tcPr>
          <w:p>
            <w:pPr>
              <w:spacing w:after="0"/>
              <w:rPr>
                <w:sz w:val="1"/>
                <w:szCs w:val="1"/>
                <w:color w:val="auto"/>
              </w:rPr>
            </w:pPr>
          </w:p>
        </w:tc>
      </w:tr>
      <w:tr>
        <w:trPr>
          <w:trHeight w:val="310"/>
        </w:trPr>
        <w:tc>
          <w:tcPr>
            <w:tcW w:w="6160" w:type="dxa"/>
            <w:vAlign w:val="bottom"/>
          </w:tcPr>
          <w:p>
            <w:pPr>
              <w:ind w:left="60"/>
              <w:spacing w:after="0"/>
              <w:rPr>
                <w:sz w:val="20"/>
                <w:szCs w:val="20"/>
                <w:color w:val="auto"/>
              </w:rPr>
            </w:pPr>
            <w:r>
              <w:rPr>
                <w:rFonts w:ascii="Arial" w:cs="Arial" w:eastAsia="Arial" w:hAnsi="Arial"/>
                <w:sz w:val="19"/>
                <w:szCs w:val="19"/>
                <w:color w:val="auto"/>
              </w:rPr>
              <w:t>Working capital and other assets and liabilities</w:t>
            </w:r>
          </w:p>
        </w:tc>
        <w:tc>
          <w:tcPr>
            <w:tcW w:w="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9"/>
                <w:szCs w:val="19"/>
                <w:color w:val="auto"/>
              </w:rPr>
              <w:t>N/A</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w:t>
            </w:r>
          </w:p>
        </w:tc>
        <w:tc>
          <w:tcPr>
            <w:tcW w:w="0" w:type="dxa"/>
            <w:vAlign w:val="bottom"/>
          </w:tcPr>
          <w:p>
            <w:pPr>
              <w:spacing w:after="0"/>
              <w:rPr>
                <w:sz w:val="1"/>
                <w:szCs w:val="1"/>
                <w:color w:val="auto"/>
              </w:rPr>
            </w:pPr>
          </w:p>
        </w:tc>
      </w:tr>
      <w:tr>
        <w:trPr>
          <w:trHeight w:val="268"/>
        </w:trPr>
        <w:tc>
          <w:tcPr>
            <w:tcW w:w="6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660" w:type="dxa"/>
            <w:vAlign w:val="bottom"/>
          </w:tcPr>
          <w:p>
            <w:pPr>
              <w:jc w:val="right"/>
              <w:spacing w:after="0"/>
              <w:rPr>
                <w:sz w:val="20"/>
                <w:szCs w:val="20"/>
                <w:color w:val="auto"/>
              </w:rPr>
            </w:pPr>
            <w:r>
              <w:rPr>
                <w:rFonts w:ascii="Arial" w:cs="Arial" w:eastAsia="Arial" w:hAnsi="Arial"/>
                <w:sz w:val="19"/>
                <w:szCs w:val="19"/>
                <w:color w:val="auto"/>
              </w:rPr>
              <w:t>1,556</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-810895</wp:posOffset>
            </wp:positionV>
            <wp:extent cx="6376670" cy="817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3">
                      <a:extLst>
                        <a:ext uri="{28A0092B-C50C-407E-A947-70E740481C1C}"/>
                      </a:extLst>
                    </a:blip>
                    <a:srcRect/>
                    <a:stretch>
                      <a:fillRect/>
                    </a:stretch>
                  </pic:blipFill>
                  <pic:spPr bwMode="auto">
                    <a:xfrm>
                      <a:off x="0" y="0"/>
                      <a:ext cx="6376670" cy="817880"/>
                    </a:xfrm>
                    <a:prstGeom prst="rect">
                      <a:avLst/>
                    </a:prstGeom>
                    <a:noFill/>
                  </pic:spPr>
                </pic:pic>
              </a:graphicData>
            </a:graphic>
          </wp:anchor>
        </w:drawing>
      </w:r>
    </w:p>
    <w:p>
      <w:pPr>
        <w:spacing w:after="0" w:line="221" w:lineRule="exact"/>
        <w:rPr>
          <w:sz w:val="20"/>
          <w:szCs w:val="20"/>
          <w:color w:val="auto"/>
        </w:rPr>
      </w:pPr>
    </w:p>
    <w:p>
      <w:pPr>
        <w:ind w:right="40" w:firstLine="702"/>
        <w:spacing w:after="0" w:line="279" w:lineRule="auto"/>
        <w:rPr>
          <w:sz w:val="20"/>
          <w:szCs w:val="20"/>
          <w:color w:val="auto"/>
        </w:rPr>
      </w:pPr>
      <w:r>
        <w:rPr>
          <w:rFonts w:ascii="Arial" w:cs="Arial" w:eastAsia="Arial" w:hAnsi="Arial"/>
          <w:sz w:val="18"/>
          <w:szCs w:val="18"/>
          <w:color w:val="auto"/>
        </w:rPr>
        <w:t>The fair value of the tangible assets is a Level 3 measurement in the fair value hierarchy and was determined using a market approach for rights-of-way and a cost approach for other tangible assets, which were based on costs incurred on similar recent construction projects. The fair value of the intangible assets is also a Level 3 measurement in the fair value hierarchy and was determined by applying a discounted cash flow approach. Such approach utilized a discount rate of approximately 18%, based on our estimate of the risk that a theoretical market participant would assign to the respective intangible assets.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spacing w:after="0" w:line="181" w:lineRule="exact"/>
        <w:rPr>
          <w:sz w:val="20"/>
          <w:szCs w:val="20"/>
          <w:color w:val="auto"/>
        </w:rPr>
      </w:pPr>
    </w:p>
    <w:p>
      <w:pPr>
        <w:ind w:right="60" w:firstLine="702"/>
        <w:spacing w:after="0" w:line="278" w:lineRule="auto"/>
        <w:rPr>
          <w:sz w:val="20"/>
          <w:szCs w:val="20"/>
          <w:color w:val="auto"/>
        </w:rPr>
      </w:pPr>
      <w:r>
        <w:rPr>
          <w:rFonts w:ascii="Arial" w:cs="Arial" w:eastAsia="Arial" w:hAnsi="Arial"/>
          <w:sz w:val="18"/>
          <w:szCs w:val="18"/>
          <w:color w:val="auto"/>
        </w:rPr>
        <w:t>The fair value of intangible assets is comprised of customer relationships that will be amortized over their useful lives, which have a remaining weighted average life of approximately 20 years. The value assigned to such intangible assets will be amortized to earnings under the declining balance method of amortization. Amortization expense was approximately</w:t>
      </w:r>
    </w:p>
    <w:p>
      <w:pPr>
        <w:spacing w:after="0" w:line="2" w:lineRule="exact"/>
        <w:rPr>
          <w:sz w:val="20"/>
          <w:szCs w:val="20"/>
          <w:color w:val="auto"/>
        </w:rPr>
      </w:pPr>
    </w:p>
    <w:p>
      <w:pPr>
        <w:ind w:right="400"/>
        <w:spacing w:after="0" w:line="274" w:lineRule="auto"/>
        <w:rPr>
          <w:sz w:val="20"/>
          <w:szCs w:val="20"/>
          <w:color w:val="auto"/>
        </w:rPr>
      </w:pPr>
      <w:r>
        <w:rPr>
          <w:rFonts w:ascii="Arial" w:cs="Arial" w:eastAsia="Arial" w:hAnsi="Arial"/>
          <w:sz w:val="19"/>
          <w:szCs w:val="19"/>
          <w:color w:val="auto"/>
        </w:rPr>
        <w:t>$61 million and $13 million during the years ended December 31, 2023 and 2022, respectively, and the future amortization expense through 2027 is estimated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142240</wp:posOffset>
            </wp:positionV>
            <wp:extent cx="6376670" cy="805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4">
                      <a:extLst>
                        <a:ext uri="{28A0092B-C50C-407E-A947-70E740481C1C}"/>
                      </a:extLst>
                    </a:blip>
                    <a:srcRect/>
                    <a:stretch>
                      <a:fillRect/>
                    </a:stretch>
                  </pic:blipFill>
                  <pic:spPr bwMode="auto">
                    <a:xfrm>
                      <a:off x="0" y="0"/>
                      <a:ext cx="6376670" cy="805180"/>
                    </a:xfrm>
                    <a:prstGeom prst="rect">
                      <a:avLst/>
                    </a:prstGeom>
                    <a:noFill/>
                  </pic:spPr>
                </pic:pic>
              </a:graphicData>
            </a:graphic>
          </wp:anchor>
        </w:drawing>
      </w: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54"/>
        </w:trPr>
        <w:tc>
          <w:tcPr>
            <w:tcW w:w="4260" w:type="dxa"/>
            <w:vAlign w:val="bottom"/>
          </w:tcPr>
          <w:p>
            <w:pPr>
              <w:jc w:val="right"/>
              <w:ind w:right="3783"/>
              <w:spacing w:after="0"/>
              <w:rPr>
                <w:sz w:val="20"/>
                <w:szCs w:val="20"/>
                <w:color w:val="auto"/>
              </w:rPr>
            </w:pPr>
            <w:r>
              <w:rPr>
                <w:rFonts w:ascii="Arial" w:cs="Arial" w:eastAsia="Arial" w:hAnsi="Arial"/>
                <w:sz w:val="19"/>
                <w:szCs w:val="19"/>
                <w:color w:val="auto"/>
                <w:w w:val="85"/>
              </w:rPr>
              <w:t>2024</w:t>
            </w:r>
          </w:p>
        </w:tc>
        <w:tc>
          <w:tcPr>
            <w:tcW w:w="4700" w:type="dxa"/>
            <w:vAlign w:val="bottom"/>
          </w:tcPr>
          <w:p>
            <w:pPr>
              <w:jc w:val="right"/>
              <w:ind w:right="6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307"/>
        </w:trPr>
        <w:tc>
          <w:tcPr>
            <w:tcW w:w="4260" w:type="dxa"/>
            <w:vAlign w:val="bottom"/>
          </w:tcPr>
          <w:p>
            <w:pPr>
              <w:jc w:val="right"/>
              <w:ind w:right="3783"/>
              <w:spacing w:after="0"/>
              <w:rPr>
                <w:sz w:val="20"/>
                <w:szCs w:val="20"/>
                <w:color w:val="auto"/>
              </w:rPr>
            </w:pPr>
            <w:r>
              <w:rPr>
                <w:rFonts w:ascii="Arial" w:cs="Arial" w:eastAsia="Arial" w:hAnsi="Arial"/>
                <w:sz w:val="19"/>
                <w:szCs w:val="19"/>
                <w:color w:val="auto"/>
                <w:w w:val="85"/>
              </w:rPr>
              <w:t>2025</w:t>
            </w:r>
          </w:p>
        </w:tc>
        <w:tc>
          <w:tcPr>
            <w:tcW w:w="4700" w:type="dxa"/>
            <w:vAlign w:val="bottom"/>
          </w:tcPr>
          <w:p>
            <w:pPr>
              <w:jc w:val="right"/>
              <w:ind w:right="6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47</w:t>
            </w:r>
          </w:p>
        </w:tc>
      </w:tr>
      <w:tr>
        <w:trPr>
          <w:trHeight w:val="307"/>
        </w:trPr>
        <w:tc>
          <w:tcPr>
            <w:tcW w:w="4260" w:type="dxa"/>
            <w:vAlign w:val="bottom"/>
          </w:tcPr>
          <w:p>
            <w:pPr>
              <w:jc w:val="right"/>
              <w:ind w:right="3783"/>
              <w:spacing w:after="0"/>
              <w:rPr>
                <w:sz w:val="20"/>
                <w:szCs w:val="20"/>
                <w:color w:val="auto"/>
              </w:rPr>
            </w:pPr>
            <w:r>
              <w:rPr>
                <w:rFonts w:ascii="Arial" w:cs="Arial" w:eastAsia="Arial" w:hAnsi="Arial"/>
                <w:sz w:val="19"/>
                <w:szCs w:val="19"/>
                <w:color w:val="auto"/>
                <w:w w:val="85"/>
              </w:rPr>
              <w:t>2026</w:t>
            </w:r>
          </w:p>
        </w:tc>
        <w:tc>
          <w:tcPr>
            <w:tcW w:w="4700" w:type="dxa"/>
            <w:vAlign w:val="bottom"/>
          </w:tcPr>
          <w:p>
            <w:pPr>
              <w:jc w:val="right"/>
              <w:ind w:right="6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307"/>
        </w:trPr>
        <w:tc>
          <w:tcPr>
            <w:tcW w:w="4260" w:type="dxa"/>
            <w:vAlign w:val="bottom"/>
          </w:tcPr>
          <w:p>
            <w:pPr>
              <w:jc w:val="right"/>
              <w:ind w:right="3783"/>
              <w:spacing w:after="0"/>
              <w:rPr>
                <w:sz w:val="20"/>
                <w:szCs w:val="20"/>
                <w:color w:val="auto"/>
              </w:rPr>
            </w:pPr>
            <w:r>
              <w:rPr>
                <w:rFonts w:ascii="Arial" w:cs="Arial" w:eastAsia="Arial" w:hAnsi="Arial"/>
                <w:sz w:val="19"/>
                <w:szCs w:val="19"/>
                <w:color w:val="auto"/>
                <w:w w:val="85"/>
              </w:rPr>
              <w:t>2027</w:t>
            </w:r>
          </w:p>
        </w:tc>
        <w:tc>
          <w:tcPr>
            <w:tcW w:w="4700" w:type="dxa"/>
            <w:vAlign w:val="bottom"/>
          </w:tcPr>
          <w:p>
            <w:pPr>
              <w:jc w:val="right"/>
              <w:ind w:right="6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32</w:t>
            </w:r>
          </w:p>
        </w:tc>
      </w:tr>
    </w:tbl>
    <w:p>
      <w:pPr>
        <w:spacing w:after="0" w:line="284" w:lineRule="exact"/>
        <w:rPr>
          <w:sz w:val="20"/>
          <w:szCs w:val="20"/>
          <w:color w:val="auto"/>
        </w:rPr>
      </w:pPr>
    </w:p>
    <w:p>
      <w:pPr>
        <w:ind w:right="300" w:firstLine="702"/>
        <w:spacing w:after="0" w:line="276" w:lineRule="auto"/>
        <w:rPr>
          <w:sz w:val="20"/>
          <w:szCs w:val="20"/>
          <w:color w:val="auto"/>
        </w:rPr>
      </w:pPr>
      <w:r>
        <w:rPr>
          <w:rFonts w:ascii="Arial" w:cs="Arial" w:eastAsia="Arial" w:hAnsi="Arial"/>
          <w:sz w:val="19"/>
          <w:szCs w:val="19"/>
          <w:color w:val="auto"/>
        </w:rPr>
        <w:t>Pro forma financial information assuming the step acquisition had occurred as of the beginning of the calendar year prior to the year of the step acquisition, as well as the revenues and earnings generated during the period since the step acquisition date, were not material for disclosure purposes.</w:t>
      </w:r>
    </w:p>
    <w:p>
      <w:pPr>
        <w:sectPr>
          <w:pgSz w:w="11880" w:h="15480" w:orient="portrait"/>
          <w:cols w:equalWidth="0" w:num="1">
            <w:col w:w="10000"/>
          </w:cols>
          <w:pgMar w:left="940" w:top="43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ectPr>
          <w:pgSz w:w="11880" w:h="15480" w:orient="portrait"/>
          <w:cols w:equalWidth="0" w:num="1">
            <w:col w:w="10000"/>
          </w:cols>
          <w:pgMar w:left="940" w:top="431" w:right="940" w:bottom="0" w:gutter="0" w:footer="0" w:header="0"/>
          <w:type w:val="continuous"/>
        </w:sectPr>
      </w:pPr>
    </w:p>
    <w:bookmarkStart w:id="127" w:name="page128"/>
    <w:bookmarkEnd w:id="127"/>
    <w:p>
      <w:pPr>
        <w:jc w:val="center"/>
        <w:ind w:right="-39"/>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Acquisitions</w:t>
      </w:r>
    </w:p>
    <w:p>
      <w:pPr>
        <w:spacing w:after="0" w:line="257" w:lineRule="exact"/>
        <w:rPr>
          <w:sz w:val="20"/>
          <w:szCs w:val="20"/>
          <w:color w:val="auto"/>
        </w:rPr>
      </w:pPr>
    </w:p>
    <w:p>
      <w:pPr>
        <w:ind w:right="160" w:firstLine="702"/>
        <w:spacing w:after="0" w:line="269" w:lineRule="auto"/>
        <w:rPr>
          <w:sz w:val="20"/>
          <w:szCs w:val="20"/>
          <w:color w:val="auto"/>
        </w:rPr>
      </w:pPr>
      <w:r>
        <w:rPr>
          <w:rFonts w:ascii="Arial" w:cs="Arial" w:eastAsia="Arial" w:hAnsi="Arial"/>
          <w:sz w:val="19"/>
          <w:szCs w:val="19"/>
          <w:color w:val="auto"/>
        </w:rPr>
        <w:t>In November 2023, we acquired a crude oil gathering system in the Northern Delaware Basin from a subsidiary of LM Energy Partners for approximately $135 million (approximately $88 million net to our 65% interest in the Permian JV), subject to certain adjustments. This transaction was accounted for as an asset acquisition since substantially all of the value of the assets acquired was concentrated in a single asset.</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9"/>
          <w:szCs w:val="19"/>
          <w:color w:val="auto"/>
        </w:rPr>
        <w:t>During the year ended December 31, 2022, we also completed the following acquisitions:</w:t>
      </w:r>
    </w:p>
    <w:p>
      <w:pPr>
        <w:spacing w:after="0" w:line="249" w:lineRule="exact"/>
        <w:rPr>
          <w:sz w:val="20"/>
          <w:szCs w:val="20"/>
          <w:color w:val="auto"/>
        </w:rPr>
      </w:pPr>
    </w:p>
    <w:p>
      <w:pPr>
        <w:ind w:left="700" w:right="240" w:hanging="350"/>
        <w:spacing w:after="0" w:line="289" w:lineRule="auto"/>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acquisition in July 2022 of the remaining 50% interest in Advantage Pipeline Holdings LLC (“Advantage”) for $74 million (approximately $48 million net to our 65% interest in the Permian JV), including cash paid for working capital. As a result of this transaction, we now own 100% of Advantage and its subsidiaries and such entities are reflected as consolidated subsidiaries in our Consolidated Financial Statements.</w:t>
      </w:r>
    </w:p>
    <w:p>
      <w:pPr>
        <w:spacing w:after="0" w:line="172" w:lineRule="exact"/>
        <w:rPr>
          <w:rFonts w:ascii="Arial" w:cs="Arial" w:eastAsia="Arial" w:hAnsi="Arial"/>
          <w:sz w:val="18"/>
          <w:szCs w:val="18"/>
          <w:color w:val="auto"/>
        </w:rPr>
      </w:pPr>
    </w:p>
    <w:p>
      <w:pPr>
        <w:ind w:left="700" w:right="120" w:hanging="350"/>
        <w:spacing w:after="0" w:line="264" w:lineRule="auto"/>
        <w:tabs>
          <w:tab w:leader="none" w:pos="7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acquisition in October 2022 of an additional ownership interest in certain straddle plants included in our NGL segment in a non-cash transaction whereby we agreed to provide processing capacity over a 50-year term at specified terms and conditions. This transaction was accounted for as an asset acquisition. The fair value of the straddle plant assets acquired and liabilities assumed was approximately $122 million, and we recognized an equally offsetting contract liability that will be amortized on a straight-line basis into “Services revenue” over the 50-year term of the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Asset Exchange</w:t>
      </w:r>
    </w:p>
    <w:p>
      <w:pPr>
        <w:spacing w:after="0" w:line="257" w:lineRule="exact"/>
        <w:rPr>
          <w:sz w:val="20"/>
          <w:szCs w:val="20"/>
          <w:color w:val="auto"/>
        </w:rPr>
      </w:pPr>
    </w:p>
    <w:p>
      <w:pPr>
        <w:ind w:firstLine="702"/>
        <w:spacing w:after="0" w:line="263" w:lineRule="auto"/>
        <w:rPr>
          <w:sz w:val="20"/>
          <w:szCs w:val="20"/>
          <w:color w:val="auto"/>
        </w:rPr>
      </w:pPr>
      <w:r>
        <w:rPr>
          <w:rFonts w:ascii="Arial" w:cs="Arial" w:eastAsia="Arial" w:hAnsi="Arial"/>
          <w:sz w:val="19"/>
          <w:szCs w:val="19"/>
          <w:color w:val="auto"/>
        </w:rPr>
        <w:t>In June 2021, we closed on an asset exchange agreement (the “Asset Exchange”) with Inter Pipeline Ltd., through which we acquired additional interests in two straddle plants included in our NGL segment that we currently operate, in exchange for a pipeline and related storage and truck offload facilities previously included in our Crude Oil segment and cash consideration of $32 million, including working capital and other adjustments. We recognized a gain of $106 million on the divestiture of the pipeline and related storage and truck offload facilities, which is included in “(Gains)/losses on asset sales and asset impairments, net” on our Consolidated Statement of Operations, based on the difference between the fair value of the divested assets and their carrying value.</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Joint Venture Transaction</w:t>
      </w:r>
    </w:p>
    <w:p>
      <w:pPr>
        <w:spacing w:after="0" w:line="257" w:lineRule="exact"/>
        <w:rPr>
          <w:sz w:val="20"/>
          <w:szCs w:val="20"/>
          <w:color w:val="auto"/>
        </w:rPr>
      </w:pPr>
    </w:p>
    <w:p>
      <w:pPr>
        <w:ind w:right="40" w:firstLine="702"/>
        <w:spacing w:after="0" w:line="264" w:lineRule="auto"/>
        <w:rPr>
          <w:sz w:val="20"/>
          <w:szCs w:val="20"/>
          <w:color w:val="auto"/>
        </w:rPr>
      </w:pPr>
      <w:r>
        <w:rPr>
          <w:rFonts w:ascii="Arial" w:cs="Arial" w:eastAsia="Arial" w:hAnsi="Arial"/>
          <w:sz w:val="19"/>
          <w:szCs w:val="19"/>
          <w:color w:val="auto"/>
        </w:rPr>
        <w:t>In October 2021, we and Oryx Midstream completed the merger, in a cashless, debt-free transaction, of our respective Permian Basin assets, operations and commercial activities into a newly formed joint venture, the Permian JV. The Permian JV includes all of Oryx Midstream’s Permian Basin assets and, with the exception of our long-haul pipeline systems and certain of our intra-basin terminal assets, the vast majority of our assets located within the Permian Basin. We own 65% of the Permian JV, operate the combined assets and reflect the Permian JV as a consolidated subsidiary in our consolidated financial statements.</w:t>
      </w:r>
    </w:p>
    <w:p>
      <w:pPr>
        <w:spacing w:after="0" w:line="196" w:lineRule="exact"/>
        <w:rPr>
          <w:sz w:val="20"/>
          <w:szCs w:val="20"/>
          <w:color w:val="auto"/>
        </w:rPr>
      </w:pPr>
    </w:p>
    <w:p>
      <w:pPr>
        <w:ind w:right="20" w:firstLine="702"/>
        <w:spacing w:after="0" w:line="264" w:lineRule="auto"/>
        <w:rPr>
          <w:sz w:val="20"/>
          <w:szCs w:val="20"/>
          <w:color w:val="auto"/>
        </w:rPr>
      </w:pPr>
      <w:r>
        <w:rPr>
          <w:rFonts w:ascii="Arial" w:cs="Arial" w:eastAsia="Arial" w:hAnsi="Arial"/>
          <w:sz w:val="19"/>
          <w:szCs w:val="19"/>
          <w:color w:val="auto"/>
        </w:rPr>
        <w:t>The formation of the joint venture was accounted for as a business combination using the acquisition method of accounting. As the majority owner and the controlling entity, we are considered the acquirer and the transfer of our predecessor business to the joint venture was accounted for at historical cost, while the Oryx Midstream predecessor business was recorded based on the fair value of the assets acquired and liabilities assumed. In accordance with applicable accounting guidance, the fair value of Oryx Midstream’s ownership interest in the joint venture following the formation of $3.230 billion is utilized as the consideration transferred for the purchase price allocation.</w:t>
      </w:r>
    </w:p>
    <w:p>
      <w:pPr>
        <w:spacing w:after="0" w:line="196" w:lineRule="exact"/>
        <w:rPr>
          <w:sz w:val="20"/>
          <w:szCs w:val="20"/>
          <w:color w:val="auto"/>
        </w:rPr>
      </w:pPr>
    </w:p>
    <w:p>
      <w:pPr>
        <w:ind w:right="100" w:firstLine="702"/>
        <w:spacing w:after="0" w:line="284" w:lineRule="auto"/>
        <w:rPr>
          <w:sz w:val="20"/>
          <w:szCs w:val="20"/>
          <w:color w:val="auto"/>
        </w:rPr>
      </w:pPr>
      <w:r>
        <w:rPr>
          <w:rFonts w:ascii="Arial" w:cs="Arial" w:eastAsia="Arial" w:hAnsi="Arial"/>
          <w:sz w:val="18"/>
          <w:szCs w:val="18"/>
          <w:color w:val="auto"/>
        </w:rPr>
        <w:t>The combination of the historical cost and fair value, discussed above, resulted in net assets of the joint venture of approximately $7.529 billion upon formation. Oryx Midstream’s 35% interest in the net assets of the Permian JV was recognized as noncontrolling interest in partners’ capital. The difference between such amount and the fair value of Oryx Midstream’s assets acquired and liabilities assumed was recorded as an increase to partners’ capital attributable to our Class A shareholders and noncontrolling interests in PAA and AAP in proportion to their respective ownership interests.</w:t>
      </w:r>
    </w:p>
    <w:p>
      <w:pPr>
        <w:sectPr>
          <w:pgSz w:w="11880" w:h="15480" w:orient="portrait"/>
          <w:cols w:equalWidth="0" w:num="1">
            <w:col w:w="9960"/>
          </w:cols>
          <w:pgMar w:left="940" w:top="4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F-25</w:t>
      </w:r>
    </w:p>
    <w:p>
      <w:pPr>
        <w:sectPr>
          <w:pgSz w:w="11880" w:h="15480" w:orient="portrait"/>
          <w:cols w:equalWidth="0" w:num="1">
            <w:col w:w="9960"/>
          </w:cols>
          <w:pgMar w:left="940" w:top="432" w:right="980" w:bottom="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amounts recognized in partners’ capital associated with this transaction (in millions):</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26"/>
              <w:spacing w:after="0"/>
              <w:rPr>
                <w:sz w:val="20"/>
                <w:szCs w:val="20"/>
                <w:color w:val="auto"/>
              </w:rPr>
            </w:pPr>
            <w:r>
              <w:rPr>
                <w:rFonts w:ascii="Arial" w:cs="Arial" w:eastAsia="Arial" w:hAnsi="Arial"/>
                <w:sz w:val="16"/>
                <w:szCs w:val="16"/>
                <w:b w:val="1"/>
                <w:bCs w:val="1"/>
                <w:color w:val="auto"/>
                <w:w w:val="91"/>
              </w:rPr>
              <w:t>Recognized Amount</w:t>
            </w:r>
          </w:p>
        </w:tc>
        <w:tc>
          <w:tcPr>
            <w:tcW w:w="0" w:type="dxa"/>
            <w:vAlign w:val="bottom"/>
          </w:tcPr>
          <w:p>
            <w:pPr>
              <w:spacing w:after="0"/>
              <w:rPr>
                <w:sz w:val="1"/>
                <w:szCs w:val="1"/>
                <w:color w:val="auto"/>
              </w:rPr>
            </w:pPr>
          </w:p>
        </w:tc>
      </w:tr>
      <w:tr>
        <w:trPr>
          <w:trHeight w:val="284"/>
        </w:trPr>
        <w:tc>
          <w:tcPr>
            <w:tcW w:w="7980" w:type="dxa"/>
            <w:vAlign w:val="bottom"/>
          </w:tcPr>
          <w:p>
            <w:pPr>
              <w:spacing w:after="0"/>
              <w:rPr>
                <w:sz w:val="20"/>
                <w:szCs w:val="20"/>
                <w:color w:val="auto"/>
              </w:rPr>
            </w:pPr>
            <w:r>
              <w:rPr>
                <w:rFonts w:ascii="Arial" w:cs="Arial" w:eastAsia="Arial" w:hAnsi="Arial"/>
                <w:sz w:val="19"/>
                <w:szCs w:val="19"/>
                <w:color w:val="auto"/>
              </w:rPr>
              <w:t>Oryx Midstream’s 35% interest in the Permian JV</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760" w:type="dxa"/>
            <w:vAlign w:val="bottom"/>
          </w:tcPr>
          <w:p>
            <w:pPr>
              <w:jc w:val="right"/>
              <w:spacing w:after="0"/>
              <w:rPr>
                <w:sz w:val="20"/>
                <w:szCs w:val="20"/>
                <w:color w:val="auto"/>
              </w:rPr>
            </w:pPr>
            <w:r>
              <w:rPr>
                <w:rFonts w:ascii="Arial" w:cs="Arial" w:eastAsia="Arial" w:hAnsi="Arial"/>
                <w:sz w:val="19"/>
                <w:szCs w:val="19"/>
                <w:color w:val="auto"/>
              </w:rPr>
              <w:t>2,635</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9"/>
                <w:szCs w:val="19"/>
                <w:color w:val="auto"/>
              </w:rPr>
              <w:t>Increase to partners’ capital attributable to noncontrolling interests in</w:t>
            </w:r>
          </w:p>
        </w:tc>
        <w:tc>
          <w:tcPr>
            <w:tcW w:w="220" w:type="dxa"/>
            <w:vAlign w:val="bottom"/>
          </w:tcPr>
          <w:p>
            <w:pPr>
              <w:spacing w:after="0"/>
              <w:rPr>
                <w:sz w:val="19"/>
                <w:szCs w:val="19"/>
                <w:color w:val="auto"/>
              </w:rPr>
            </w:pPr>
          </w:p>
        </w:tc>
        <w:tc>
          <w:tcPr>
            <w:tcW w:w="1760" w:type="dxa"/>
            <w:vAlign w:val="bottom"/>
            <w:vMerge w:val="restart"/>
          </w:tcPr>
          <w:p>
            <w:pPr>
              <w:jc w:val="right"/>
              <w:spacing w:after="0"/>
              <w:rPr>
                <w:sz w:val="20"/>
                <w:szCs w:val="20"/>
                <w:color w:val="auto"/>
              </w:rPr>
            </w:pPr>
            <w:r>
              <w:rPr>
                <w:rFonts w:ascii="Arial" w:cs="Arial" w:eastAsia="Arial" w:hAnsi="Arial"/>
                <w:sz w:val="19"/>
                <w:szCs w:val="19"/>
                <w:color w:val="auto"/>
              </w:rPr>
              <w:t>432</w:t>
            </w:r>
          </w:p>
        </w:tc>
        <w:tc>
          <w:tcPr>
            <w:tcW w:w="0" w:type="dxa"/>
            <w:vAlign w:val="bottom"/>
          </w:tcPr>
          <w:p>
            <w:pPr>
              <w:spacing w:after="0"/>
              <w:rPr>
                <w:sz w:val="1"/>
                <w:szCs w:val="1"/>
                <w:color w:val="auto"/>
              </w:rPr>
            </w:pPr>
          </w:p>
        </w:tc>
      </w:tr>
      <w:tr>
        <w:trPr>
          <w:trHeight w:val="256"/>
        </w:trPr>
        <w:tc>
          <w:tcPr>
            <w:tcW w:w="7980" w:type="dxa"/>
            <w:vAlign w:val="bottom"/>
          </w:tcPr>
          <w:p>
            <w:pPr>
              <w:ind w:left="180"/>
              <w:spacing w:after="0"/>
              <w:rPr>
                <w:sz w:val="20"/>
                <w:szCs w:val="20"/>
                <w:color w:val="auto"/>
              </w:rPr>
            </w:pPr>
            <w:r>
              <w:rPr>
                <w:rFonts w:ascii="Arial" w:cs="Arial" w:eastAsia="Arial" w:hAnsi="Arial"/>
                <w:sz w:val="19"/>
                <w:szCs w:val="19"/>
                <w:color w:val="auto"/>
              </w:rPr>
              <w:t>PAA and AAP</w:t>
            </w:r>
          </w:p>
        </w:tc>
        <w:tc>
          <w:tcPr>
            <w:tcW w:w="2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7980" w:type="dxa"/>
            <w:vAlign w:val="bottom"/>
          </w:tcPr>
          <w:p>
            <w:pPr>
              <w:ind w:left="120"/>
              <w:spacing w:after="0"/>
              <w:rPr>
                <w:sz w:val="20"/>
                <w:szCs w:val="20"/>
                <w:color w:val="auto"/>
              </w:rPr>
            </w:pPr>
            <w:r>
              <w:rPr>
                <w:rFonts w:ascii="Arial" w:cs="Arial" w:eastAsia="Arial" w:hAnsi="Arial"/>
                <w:sz w:val="19"/>
                <w:szCs w:val="19"/>
                <w:color w:val="auto"/>
              </w:rPr>
              <w:t>Noncontrolling interests</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760" w:type="dxa"/>
            <w:vAlign w:val="bottom"/>
          </w:tcPr>
          <w:p>
            <w:pPr>
              <w:jc w:val="right"/>
              <w:spacing w:after="0"/>
              <w:rPr>
                <w:sz w:val="20"/>
                <w:szCs w:val="20"/>
                <w:color w:val="auto"/>
              </w:rPr>
            </w:pPr>
            <w:r>
              <w:rPr>
                <w:rFonts w:ascii="Arial" w:cs="Arial" w:eastAsia="Arial" w:hAnsi="Arial"/>
                <w:sz w:val="19"/>
                <w:szCs w:val="19"/>
                <w:color w:val="auto"/>
              </w:rPr>
              <w:t>3,067</w:t>
            </w:r>
          </w:p>
        </w:tc>
        <w:tc>
          <w:tcPr>
            <w:tcW w:w="0" w:type="dxa"/>
            <w:vAlign w:val="bottom"/>
          </w:tcPr>
          <w:p>
            <w:pPr>
              <w:spacing w:after="0"/>
              <w:rPr>
                <w:sz w:val="1"/>
                <w:szCs w:val="1"/>
                <w:color w:val="auto"/>
              </w:rPr>
            </w:pPr>
          </w:p>
        </w:tc>
      </w:tr>
      <w:tr>
        <w:trPr>
          <w:trHeight w:val="603"/>
        </w:trPr>
        <w:tc>
          <w:tcPr>
            <w:tcW w:w="7980" w:type="dxa"/>
            <w:vAlign w:val="bottom"/>
          </w:tcPr>
          <w:p>
            <w:pPr>
              <w:ind w:left="120"/>
              <w:spacing w:after="0"/>
              <w:rPr>
                <w:sz w:val="20"/>
                <w:szCs w:val="20"/>
                <w:color w:val="auto"/>
              </w:rPr>
            </w:pPr>
            <w:r>
              <w:rPr>
                <w:rFonts w:ascii="Arial" w:cs="Arial" w:eastAsia="Arial" w:hAnsi="Arial"/>
                <w:sz w:val="19"/>
                <w:szCs w:val="19"/>
                <w:color w:val="auto"/>
              </w:rPr>
              <w:t>Class A shareholders</w:t>
            </w: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163</w:t>
            </w:r>
          </w:p>
        </w:tc>
        <w:tc>
          <w:tcPr>
            <w:tcW w:w="0" w:type="dxa"/>
            <w:vAlign w:val="bottom"/>
          </w:tcPr>
          <w:p>
            <w:pPr>
              <w:spacing w:after="0"/>
              <w:rPr>
                <w:sz w:val="1"/>
                <w:szCs w:val="1"/>
                <w:color w:val="auto"/>
              </w:rPr>
            </w:pPr>
          </w:p>
        </w:tc>
      </w:tr>
      <w:tr>
        <w:trPr>
          <w:trHeight w:val="268"/>
        </w:trPr>
        <w:tc>
          <w:tcPr>
            <w:tcW w:w="7980" w:type="dxa"/>
            <w:vAlign w:val="bottom"/>
          </w:tcPr>
          <w:p>
            <w:pPr>
              <w:ind w:left="240"/>
              <w:spacing w:after="0"/>
              <w:rPr>
                <w:sz w:val="20"/>
                <w:szCs w:val="20"/>
                <w:color w:val="auto"/>
              </w:rPr>
            </w:pPr>
            <w:r>
              <w:rPr>
                <w:rFonts w:ascii="Arial" w:cs="Arial" w:eastAsia="Arial" w:hAnsi="Arial"/>
                <w:sz w:val="19"/>
                <w:szCs w:val="19"/>
                <w:color w:val="auto"/>
              </w:rPr>
              <w:t>Total partners’ capital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3,230</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-1303020</wp:posOffset>
            </wp:positionV>
            <wp:extent cx="6376670" cy="131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5">
                      <a:extLst>
                        <a:ext uri="{28A0092B-C50C-407E-A947-70E740481C1C}"/>
                      </a:extLst>
                    </a:blip>
                    <a:srcRect/>
                    <a:stretch>
                      <a:fillRect/>
                    </a:stretch>
                  </pic:blipFill>
                  <pic:spPr bwMode="auto">
                    <a:xfrm>
                      <a:off x="0" y="0"/>
                      <a:ext cx="6376670" cy="1310005"/>
                    </a:xfrm>
                    <a:prstGeom prst="rect">
                      <a:avLst/>
                    </a:prstGeom>
                    <a:noFill/>
                  </pic:spPr>
                </pic:pic>
              </a:graphicData>
            </a:graphic>
          </wp:anchor>
        </w:drawing>
      </w:r>
    </w:p>
    <w:p>
      <w:pPr>
        <w:spacing w:after="0" w:line="221" w:lineRule="exact"/>
        <w:rPr>
          <w:sz w:val="20"/>
          <w:szCs w:val="20"/>
          <w:color w:val="auto"/>
        </w:rPr>
      </w:pPr>
    </w:p>
    <w:p>
      <w:pPr>
        <w:ind w:right="60" w:firstLine="702"/>
        <w:spacing w:after="0" w:line="276" w:lineRule="auto"/>
        <w:rPr>
          <w:sz w:val="20"/>
          <w:szCs w:val="20"/>
          <w:color w:val="auto"/>
        </w:rPr>
      </w:pPr>
      <w:r>
        <w:rPr>
          <w:rFonts w:ascii="Arial" w:cs="Arial" w:eastAsia="Arial" w:hAnsi="Arial"/>
          <w:sz w:val="18"/>
          <w:szCs w:val="18"/>
          <w:color w:val="auto"/>
        </w:rPr>
        <w:t>The fair value of the $3.230 billion consideration is a Level 3 measurement in the fair value hierarchy and was determined by valuing both the enterprise value of Oryx Midstream’s Permian Basin business and the enterprise value of our Permian Basin assets that were contributed to the joint venture. The enterprise value of Oryx Midstream’s Permian Basin business was calculated by weighting the results of (i) a discounted cash flow approach and (ii) a guideline public company method (“GPCM”). The value of our Permian Basin assets that were contributed to the joint venture was based on a GPCM. The discounted cash flow approach utilized a discount rate of 12%, based on our estimate of the risk that a theoretical market participant would assign to the business. The projection of future crude volumes gathered and transported was also a key assumption in the discounted cash flow approach and was based on projected rig activity on the associated acreage. The GPCM applies market multiples to estimated earnings to derive the fair value. The GPCM values for Oryx Midstream’s Permian Basin business and for our Permian Basin assets that were contributed to the joint venture assumed market multiples ranging from 9.5 to 11.0, which were derived from assumptions of market multiples for similar businesses.</w:t>
      </w:r>
    </w:p>
    <w:p>
      <w:pPr>
        <w:spacing w:after="0" w:line="189" w:lineRule="exact"/>
        <w:rPr>
          <w:sz w:val="20"/>
          <w:szCs w:val="20"/>
          <w:color w:val="auto"/>
        </w:rPr>
      </w:pPr>
    </w:p>
    <w:p>
      <w:pPr>
        <w:ind w:right="80" w:firstLine="702"/>
        <w:spacing w:after="0" w:line="298" w:lineRule="auto"/>
        <w:rPr>
          <w:sz w:val="20"/>
          <w:szCs w:val="20"/>
          <w:color w:val="auto"/>
        </w:rPr>
      </w:pPr>
      <w:r>
        <w:rPr>
          <w:rFonts w:ascii="Arial" w:cs="Arial" w:eastAsia="Arial" w:hAnsi="Arial"/>
          <w:sz w:val="18"/>
          <w:szCs w:val="18"/>
          <w:color w:val="auto"/>
        </w:rPr>
        <w:t>The determination of the fair value of the assets acquired and liabilities assumed was estimated in accordance with the applicable accounting guidance. The analysis was performed based on estimates that are reflective of market participant assumptions. The following table reflects our determination of the fair value of those assets and liabilities (in millions):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Identifiable Assets Acquired and Liabilities Assumed</w:t>
            </w:r>
          </w:p>
        </w:tc>
        <w:tc>
          <w:tcPr>
            <w:tcW w:w="1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87"/>
              </w:rPr>
              <w:t>Estimated Useful Lives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vMerge w:val="restart"/>
          </w:tcPr>
          <w:p>
            <w:pPr>
              <w:jc w:val="right"/>
              <w:ind w:right="226"/>
              <w:spacing w:after="0"/>
              <w:rPr>
                <w:sz w:val="20"/>
                <w:szCs w:val="20"/>
                <w:color w:val="auto"/>
              </w:rPr>
            </w:pPr>
            <w:r>
              <w:rPr>
                <w:rFonts w:ascii="Arial" w:cs="Arial" w:eastAsia="Arial" w:hAnsi="Arial"/>
                <w:sz w:val="16"/>
                <w:szCs w:val="16"/>
                <w:b w:val="1"/>
                <w:bCs w:val="1"/>
                <w:color w:val="auto"/>
                <w:w w:val="91"/>
              </w:rPr>
              <w:t>Recognized Amount</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820" w:type="dxa"/>
            <w:vAlign w:val="bottom"/>
          </w:tcPr>
          <w:p>
            <w:pPr>
              <w:ind w:left="60"/>
              <w:spacing w:after="0"/>
              <w:rPr>
                <w:sz w:val="20"/>
                <w:szCs w:val="20"/>
                <w:color w:val="auto"/>
              </w:rPr>
            </w:pPr>
            <w:r>
              <w:rPr>
                <w:rFonts w:ascii="Arial" w:cs="Arial" w:eastAsia="Arial" w:hAnsi="Arial"/>
                <w:sz w:val="19"/>
                <w:szCs w:val="19"/>
                <w:color w:val="auto"/>
              </w:rPr>
              <w:t>Property and equipment</w:t>
            </w:r>
          </w:p>
        </w:tc>
        <w:tc>
          <w:tcPr>
            <w:tcW w:w="2080" w:type="dxa"/>
            <w:vAlign w:val="bottom"/>
            <w:gridSpan w:val="2"/>
          </w:tcPr>
          <w:p>
            <w:pPr>
              <w:jc w:val="right"/>
              <w:ind w:right="712"/>
              <w:spacing w:after="0"/>
              <w:rPr>
                <w:sz w:val="20"/>
                <w:szCs w:val="20"/>
                <w:color w:val="auto"/>
              </w:rPr>
            </w:pPr>
            <w:r>
              <w:rPr>
                <w:rFonts w:ascii="Arial" w:cs="Arial" w:eastAsia="Arial" w:hAnsi="Arial"/>
                <w:sz w:val="19"/>
                <w:szCs w:val="19"/>
                <w:color w:val="auto"/>
              </w:rPr>
              <w:t>3-30</w:t>
            </w:r>
          </w:p>
        </w:tc>
        <w:tc>
          <w:tcPr>
            <w:tcW w:w="34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1760" w:type="dxa"/>
            <w:vAlign w:val="bottom"/>
          </w:tcPr>
          <w:p>
            <w:pPr>
              <w:jc w:val="right"/>
              <w:spacing w:after="0"/>
              <w:rPr>
                <w:sz w:val="20"/>
                <w:szCs w:val="20"/>
                <w:color w:val="auto"/>
              </w:rPr>
            </w:pPr>
            <w:r>
              <w:rPr>
                <w:rFonts w:ascii="Arial" w:cs="Arial" w:eastAsia="Arial" w:hAnsi="Arial"/>
                <w:sz w:val="19"/>
                <w:szCs w:val="19"/>
                <w:color w:val="auto"/>
              </w:rPr>
              <w:t>1,886</w:t>
            </w:r>
          </w:p>
        </w:tc>
        <w:tc>
          <w:tcPr>
            <w:tcW w:w="0" w:type="dxa"/>
            <w:vAlign w:val="bottom"/>
          </w:tcPr>
          <w:p>
            <w:pPr>
              <w:spacing w:after="0"/>
              <w:rPr>
                <w:sz w:val="1"/>
                <w:szCs w:val="1"/>
                <w:color w:val="auto"/>
              </w:rPr>
            </w:pPr>
          </w:p>
        </w:tc>
      </w:tr>
      <w:tr>
        <w:trPr>
          <w:trHeight w:val="292"/>
        </w:trPr>
        <w:tc>
          <w:tcPr>
            <w:tcW w:w="5820" w:type="dxa"/>
            <w:vAlign w:val="bottom"/>
          </w:tcPr>
          <w:p>
            <w:pPr>
              <w:ind w:left="60"/>
              <w:spacing w:after="0"/>
              <w:rPr>
                <w:sz w:val="20"/>
                <w:szCs w:val="20"/>
                <w:color w:val="auto"/>
              </w:rPr>
            </w:pPr>
            <w:r>
              <w:rPr>
                <w:rFonts w:ascii="Arial" w:cs="Arial" w:eastAsia="Arial" w:hAnsi="Arial"/>
                <w:sz w:val="19"/>
                <w:szCs w:val="19"/>
                <w:color w:val="auto"/>
              </w:rPr>
              <w:t>Intangible assets</w:t>
            </w:r>
          </w:p>
        </w:tc>
        <w:tc>
          <w:tcPr>
            <w:tcW w:w="2080" w:type="dxa"/>
            <w:vAlign w:val="bottom"/>
            <w:gridSpan w:val="2"/>
          </w:tcPr>
          <w:p>
            <w:pPr>
              <w:jc w:val="right"/>
              <w:ind w:right="792"/>
              <w:spacing w:after="0"/>
              <w:rPr>
                <w:sz w:val="20"/>
                <w:szCs w:val="20"/>
                <w:color w:val="auto"/>
              </w:rPr>
            </w:pPr>
            <w:r>
              <w:rPr>
                <w:rFonts w:ascii="Arial" w:cs="Arial" w:eastAsia="Arial" w:hAnsi="Arial"/>
                <w:sz w:val="19"/>
                <w:szCs w:val="19"/>
                <w:color w:val="auto"/>
              </w:rPr>
              <w:t>20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9"/>
                <w:szCs w:val="19"/>
                <w:color w:val="auto"/>
              </w:rPr>
              <w:t>1,247</w:t>
            </w:r>
          </w:p>
        </w:tc>
        <w:tc>
          <w:tcPr>
            <w:tcW w:w="0" w:type="dxa"/>
            <w:vAlign w:val="bottom"/>
          </w:tcPr>
          <w:p>
            <w:pPr>
              <w:spacing w:after="0"/>
              <w:rPr>
                <w:sz w:val="1"/>
                <w:szCs w:val="1"/>
                <w:color w:val="auto"/>
              </w:rPr>
            </w:pPr>
          </w:p>
        </w:tc>
      </w:tr>
      <w:tr>
        <w:trPr>
          <w:trHeight w:val="292"/>
        </w:trPr>
        <w:tc>
          <w:tcPr>
            <w:tcW w:w="5820" w:type="dxa"/>
            <w:vAlign w:val="bottom"/>
          </w:tcPr>
          <w:p>
            <w:pPr>
              <w:ind w:left="60"/>
              <w:spacing w:after="0"/>
              <w:rPr>
                <w:sz w:val="20"/>
                <w:szCs w:val="20"/>
                <w:color w:val="auto"/>
              </w:rPr>
            </w:pPr>
            <w:r>
              <w:rPr>
                <w:rFonts w:ascii="Arial" w:cs="Arial" w:eastAsia="Arial" w:hAnsi="Arial"/>
                <w:sz w:val="19"/>
                <w:szCs w:val="19"/>
                <w:color w:val="auto"/>
              </w:rPr>
              <w:t>Investment in unconsolidated entities</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9"/>
                <w:szCs w:val="19"/>
                <w:color w:val="auto"/>
              </w:rPr>
              <w:t>N/A</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9"/>
                <w:szCs w:val="19"/>
                <w:color w:val="auto"/>
              </w:rPr>
              <w:t>103</w:t>
            </w:r>
          </w:p>
        </w:tc>
        <w:tc>
          <w:tcPr>
            <w:tcW w:w="0" w:type="dxa"/>
            <w:vAlign w:val="bottom"/>
          </w:tcPr>
          <w:p>
            <w:pPr>
              <w:spacing w:after="0"/>
              <w:rPr>
                <w:sz w:val="1"/>
                <w:szCs w:val="1"/>
                <w:color w:val="auto"/>
              </w:rPr>
            </w:pPr>
          </w:p>
        </w:tc>
      </w:tr>
      <w:tr>
        <w:trPr>
          <w:trHeight w:val="296"/>
        </w:trPr>
        <w:tc>
          <w:tcPr>
            <w:tcW w:w="5820" w:type="dxa"/>
            <w:vAlign w:val="bottom"/>
          </w:tcPr>
          <w:p>
            <w:pPr>
              <w:ind w:left="60"/>
              <w:spacing w:after="0"/>
              <w:rPr>
                <w:sz w:val="20"/>
                <w:szCs w:val="20"/>
                <w:color w:val="auto"/>
              </w:rPr>
            </w:pPr>
            <w:r>
              <w:rPr>
                <w:rFonts w:ascii="Arial" w:cs="Arial" w:eastAsia="Arial" w:hAnsi="Arial"/>
                <w:sz w:val="19"/>
                <w:szCs w:val="19"/>
                <w:color w:val="auto"/>
              </w:rPr>
              <w:t>Working capital and other assets and liabilities</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9"/>
                <w:szCs w:val="19"/>
                <w:color w:val="auto"/>
              </w:rPr>
              <w:t>N/A</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53"/>
        </w:trPr>
        <w:tc>
          <w:tcPr>
            <w:tcW w:w="5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1760" w:type="dxa"/>
            <w:vAlign w:val="bottom"/>
          </w:tcPr>
          <w:p>
            <w:pPr>
              <w:jc w:val="right"/>
              <w:spacing w:after="0"/>
              <w:rPr>
                <w:sz w:val="20"/>
                <w:szCs w:val="20"/>
                <w:color w:val="auto"/>
              </w:rPr>
            </w:pPr>
            <w:r>
              <w:rPr>
                <w:rFonts w:ascii="Arial" w:cs="Arial" w:eastAsia="Arial" w:hAnsi="Arial"/>
                <w:sz w:val="19"/>
                <w:szCs w:val="19"/>
                <w:color w:val="auto"/>
              </w:rPr>
              <w:t>3,230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-959485</wp:posOffset>
            </wp:positionV>
            <wp:extent cx="6376670" cy="9664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6">
                      <a:extLst>
                        <a:ext uri="{28A0092B-C50C-407E-A947-70E740481C1C}"/>
                      </a:extLst>
                    </a:blip>
                    <a:srcRect/>
                    <a:stretch>
                      <a:fillRect/>
                    </a:stretch>
                  </pic:blipFill>
                  <pic:spPr bwMode="auto">
                    <a:xfrm>
                      <a:off x="0" y="0"/>
                      <a:ext cx="6376670" cy="966470"/>
                    </a:xfrm>
                    <a:prstGeom prst="rect">
                      <a:avLst/>
                    </a:prstGeom>
                    <a:noFill/>
                  </pic:spPr>
                </pic:pic>
              </a:graphicData>
            </a:graphic>
          </wp:anchor>
        </w:drawing>
      </w:r>
    </w:p>
    <w:p>
      <w:pPr>
        <w:spacing w:after="0" w:line="221" w:lineRule="exact"/>
        <w:rPr>
          <w:sz w:val="20"/>
          <w:szCs w:val="20"/>
          <w:color w:val="auto"/>
        </w:rPr>
      </w:pPr>
    </w:p>
    <w:p>
      <w:pPr>
        <w:ind w:right="100" w:firstLine="702"/>
        <w:spacing w:after="0" w:line="282" w:lineRule="auto"/>
        <w:rPr>
          <w:sz w:val="20"/>
          <w:szCs w:val="20"/>
          <w:color w:val="auto"/>
        </w:rPr>
      </w:pPr>
      <w:r>
        <w:rPr>
          <w:rFonts w:ascii="Arial" w:cs="Arial" w:eastAsia="Arial" w:hAnsi="Arial"/>
          <w:sz w:val="18"/>
          <w:szCs w:val="18"/>
          <w:color w:val="auto"/>
        </w:rPr>
        <w:t>The fair value of the tangible assets is a Level 3 measurement in the fair value hierarchy and was determined using a cost approach based on costs incurred on similar recent construction projects. The fair value of the intangible assets is also a Level 3 measurement in the fair value hierarchy and was determined by applying a discounted cash flow approach. Such approach utilized a discount rate of 16%, based on our estimate of the risk that a theoretical market participant would assign to the respective intangible assets. The projection of future crude oil volumes gathered and transported was also a key assumption in the valuation of the intangible assets and was based on projected rig activity on the associated acreage.</w:t>
      </w:r>
    </w:p>
    <w:p>
      <w:pPr>
        <w:spacing w:after="0" w:line="179" w:lineRule="exact"/>
        <w:rPr>
          <w:sz w:val="20"/>
          <w:szCs w:val="20"/>
          <w:color w:val="auto"/>
        </w:rPr>
      </w:pPr>
    </w:p>
    <w:p>
      <w:pPr>
        <w:ind w:right="60" w:firstLine="702"/>
        <w:spacing w:after="0" w:line="278" w:lineRule="auto"/>
        <w:rPr>
          <w:sz w:val="20"/>
          <w:szCs w:val="20"/>
          <w:color w:val="auto"/>
        </w:rPr>
      </w:pPr>
      <w:r>
        <w:rPr>
          <w:rFonts w:ascii="Arial" w:cs="Arial" w:eastAsia="Arial" w:hAnsi="Arial"/>
          <w:sz w:val="18"/>
          <w:szCs w:val="18"/>
          <w:color w:val="auto"/>
        </w:rPr>
        <w:t>The fair value of intangible assets is comprised of customer relationships that will be amortized over their useful lives, which have a remaining weighted average life of approximately 20 years. The value assigned to such intangible assets will be amortized to earnings under the declining balance method of amortization. Amortization expense was approximately</w:t>
      </w:r>
    </w:p>
    <w:p>
      <w:pPr>
        <w:spacing w:after="0" w:line="2" w:lineRule="exact"/>
        <w:rPr>
          <w:sz w:val="20"/>
          <w:szCs w:val="20"/>
          <w:color w:val="auto"/>
        </w:rPr>
      </w:pPr>
    </w:p>
    <w:p>
      <w:pPr>
        <w:ind w:right="260"/>
        <w:spacing w:after="0" w:line="274" w:lineRule="auto"/>
        <w:rPr>
          <w:sz w:val="20"/>
          <w:szCs w:val="20"/>
          <w:color w:val="auto"/>
        </w:rPr>
      </w:pPr>
      <w:r>
        <w:rPr>
          <w:rFonts w:ascii="Arial" w:cs="Arial" w:eastAsia="Arial" w:hAnsi="Arial"/>
          <w:sz w:val="19"/>
          <w:szCs w:val="19"/>
          <w:color w:val="auto"/>
        </w:rPr>
        <w:t>$138 million, $142 million and $28 million during the years ended December 31, 2023, 2022 and 2021, respectively, and the future amortization expense through 2026 is estimated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6358255" cy="5822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7">
                      <a:extLst>
                        <a:ext uri="{28A0092B-C50C-407E-A947-70E740481C1C}"/>
                      </a:extLst>
                    </a:blip>
                    <a:srcRect/>
                    <a:stretch>
                      <a:fillRect/>
                    </a:stretch>
                  </pic:blipFill>
                  <pic:spPr bwMode="auto">
                    <a:xfrm>
                      <a:off x="0" y="0"/>
                      <a:ext cx="6358255" cy="582295"/>
                    </a:xfrm>
                    <a:prstGeom prst="rect">
                      <a:avLst/>
                    </a:prstGeom>
                    <a:noFill/>
                  </pic:spPr>
                </pic:pic>
              </a:graphicData>
            </a:graphic>
          </wp:anchor>
        </w:drawing>
      </w:r>
    </w:p>
    <w:p>
      <w:pPr>
        <w:spacing w:after="0" w:line="249" w:lineRule="exact"/>
        <w:rPr>
          <w:sz w:val="20"/>
          <w:szCs w:val="20"/>
          <w:color w:val="auto"/>
        </w:rPr>
      </w:pPr>
    </w:p>
    <w:tbl>
      <w:tblPr>
        <w:tblLayout w:type="fixed"/>
        <w:tblInd w:w="60" w:type="dxa"/>
        <w:tblCellMar>
          <w:top w:w="0" w:type="dxa"/>
          <w:left w:w="0" w:type="dxa"/>
          <w:bottom w:w="0" w:type="dxa"/>
          <w:right w:w="0" w:type="dxa"/>
        </w:tblCellMar>
      </w:tblPr>
      <w:tr>
        <w:trPr>
          <w:trHeight w:val="254"/>
        </w:trPr>
        <w:tc>
          <w:tcPr>
            <w:tcW w:w="4200" w:type="dxa"/>
            <w:vAlign w:val="bottom"/>
          </w:tcPr>
          <w:p>
            <w:pPr>
              <w:jc w:val="right"/>
              <w:ind w:right="3703"/>
              <w:spacing w:after="0"/>
              <w:rPr>
                <w:sz w:val="20"/>
                <w:szCs w:val="20"/>
                <w:color w:val="auto"/>
              </w:rPr>
            </w:pPr>
            <w:r>
              <w:rPr>
                <w:rFonts w:ascii="Arial" w:cs="Arial" w:eastAsia="Arial" w:hAnsi="Arial"/>
                <w:sz w:val="19"/>
                <w:szCs w:val="19"/>
                <w:color w:val="auto"/>
                <w:w w:val="89"/>
              </w:rPr>
              <w:t>2024</w:t>
            </w:r>
          </w:p>
        </w:tc>
        <w:tc>
          <w:tcPr>
            <w:tcW w:w="4620" w:type="dxa"/>
            <w:vAlign w:val="bottom"/>
          </w:tcPr>
          <w:p>
            <w:pPr>
              <w:jc w:val="right"/>
              <w:ind w:right="643"/>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127</w:t>
            </w:r>
          </w:p>
        </w:tc>
      </w:tr>
      <w:tr>
        <w:trPr>
          <w:trHeight w:val="292"/>
        </w:trPr>
        <w:tc>
          <w:tcPr>
            <w:tcW w:w="4200" w:type="dxa"/>
            <w:vAlign w:val="bottom"/>
          </w:tcPr>
          <w:p>
            <w:pPr>
              <w:jc w:val="right"/>
              <w:ind w:right="3703"/>
              <w:spacing w:after="0"/>
              <w:rPr>
                <w:sz w:val="20"/>
                <w:szCs w:val="20"/>
                <w:color w:val="auto"/>
              </w:rPr>
            </w:pPr>
            <w:r>
              <w:rPr>
                <w:rFonts w:ascii="Arial" w:cs="Arial" w:eastAsia="Arial" w:hAnsi="Arial"/>
                <w:sz w:val="19"/>
                <w:szCs w:val="19"/>
                <w:color w:val="auto"/>
                <w:w w:val="89"/>
              </w:rPr>
              <w:t>2025</w:t>
            </w:r>
          </w:p>
        </w:tc>
        <w:tc>
          <w:tcPr>
            <w:tcW w:w="4620" w:type="dxa"/>
            <w:vAlign w:val="bottom"/>
          </w:tcPr>
          <w:p>
            <w:pPr>
              <w:jc w:val="right"/>
              <w:ind w:right="643"/>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117</w:t>
            </w:r>
          </w:p>
        </w:tc>
      </w:tr>
      <w:tr>
        <w:trPr>
          <w:trHeight w:val="292"/>
        </w:trPr>
        <w:tc>
          <w:tcPr>
            <w:tcW w:w="4200" w:type="dxa"/>
            <w:vAlign w:val="bottom"/>
          </w:tcPr>
          <w:p>
            <w:pPr>
              <w:jc w:val="right"/>
              <w:ind w:right="3703"/>
              <w:spacing w:after="0"/>
              <w:rPr>
                <w:sz w:val="20"/>
                <w:szCs w:val="20"/>
                <w:color w:val="auto"/>
              </w:rPr>
            </w:pPr>
            <w:r>
              <w:rPr>
                <w:rFonts w:ascii="Arial" w:cs="Arial" w:eastAsia="Arial" w:hAnsi="Arial"/>
                <w:sz w:val="19"/>
                <w:szCs w:val="19"/>
                <w:color w:val="auto"/>
                <w:w w:val="89"/>
              </w:rPr>
              <w:t>2026</w:t>
            </w:r>
          </w:p>
        </w:tc>
        <w:tc>
          <w:tcPr>
            <w:tcW w:w="4620" w:type="dxa"/>
            <w:vAlign w:val="bottom"/>
          </w:tcPr>
          <w:p>
            <w:pPr>
              <w:jc w:val="right"/>
              <w:ind w:right="643"/>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106</w:t>
            </w:r>
          </w:p>
        </w:tc>
      </w:tr>
    </w:tbl>
    <w:p>
      <w:pPr>
        <w:spacing w:after="0" w:line="200" w:lineRule="exact"/>
        <w:rPr>
          <w:sz w:val="20"/>
          <w:szCs w:val="20"/>
          <w:color w:val="auto"/>
        </w:rPr>
      </w:pPr>
    </w:p>
    <w:p>
      <w:pPr>
        <w:sectPr>
          <w:pgSz w:w="11880" w:h="15480" w:orient="portrait"/>
          <w:cols w:equalWidth="0" w:num="1">
            <w:col w:w="10000"/>
          </w:cols>
          <w:pgMar w:left="940" w:top="431" w:right="94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ectPr>
          <w:pgSz w:w="11880" w:h="15480" w:orient="portrait"/>
          <w:cols w:equalWidth="0" w:num="1">
            <w:col w:w="10000"/>
          </w:cols>
          <w:pgMar w:left="940" w:top="431" w:right="940" w:bottom="0"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right="100" w:firstLine="702"/>
        <w:spacing w:after="0" w:line="276" w:lineRule="auto"/>
        <w:rPr>
          <w:sz w:val="20"/>
          <w:szCs w:val="20"/>
          <w:color w:val="auto"/>
        </w:rPr>
      </w:pPr>
      <w:r>
        <w:rPr>
          <w:rFonts w:ascii="Arial" w:cs="Arial" w:eastAsia="Arial" w:hAnsi="Arial"/>
          <w:sz w:val="19"/>
          <w:szCs w:val="19"/>
          <w:color w:val="auto"/>
        </w:rPr>
        <w:t>During the year ended December 31, 2021, we incurred approximately $17 million of transaction-related costs associated with the joint venture formation transaction. Such costs are reflected as a component of “General and administrative expenses” on our Consolidated Statements of Operations.</w:t>
      </w:r>
    </w:p>
    <w:p>
      <w:pPr>
        <w:spacing w:after="0" w:line="182" w:lineRule="exact"/>
        <w:rPr>
          <w:sz w:val="20"/>
          <w:szCs w:val="20"/>
          <w:color w:val="auto"/>
        </w:rPr>
      </w:pPr>
    </w:p>
    <w:p>
      <w:pPr>
        <w:ind w:right="240" w:firstLine="702"/>
        <w:spacing w:after="0" w:line="282" w:lineRule="auto"/>
        <w:rPr>
          <w:sz w:val="20"/>
          <w:szCs w:val="20"/>
          <w:color w:val="auto"/>
        </w:rPr>
      </w:pPr>
      <w:r>
        <w:rPr>
          <w:rFonts w:ascii="Arial" w:cs="Arial" w:eastAsia="Arial" w:hAnsi="Arial"/>
          <w:sz w:val="18"/>
          <w:szCs w:val="18"/>
          <w:color w:val="auto"/>
        </w:rPr>
        <w:t>Distributions of available cash from the Permian JV to PAA and Oryx Midstream are subject to a tiered modified sharing arrangement (“MSA”) for up to ten years. Pursuant to the terms of the governing documents for the Permian JV, the MSA will terminate in October 2031, or sooner if Oryx Midstream exercises its right to terminate the MSA at any time by delivery of written notice to PAA. Upon termination of the MSA, monthly distributions of available cash will be paid 65% to PAA and 35% to Oryx. Through the third quarter of 2022, the Permian JV made quarterly distributions, but starting in December 2022, the Permian JV began making monthly distributions to the members after renegotiation of the MSA.</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9"/>
          <w:szCs w:val="19"/>
          <w:color w:val="auto"/>
        </w:rPr>
        <w:t>Under the MSA, distributions will be allocated as follows (in millions):</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Available Cash</w:t>
            </w:r>
          </w:p>
        </w:tc>
        <w:tc>
          <w:tcPr>
            <w:tcW w:w="3960" w:type="dxa"/>
            <w:vAlign w:val="bottom"/>
            <w:tcBorders>
              <w:bottom w:val="single" w:sz="8" w:color="auto"/>
            </w:tcBorders>
            <w:gridSpan w:val="3"/>
          </w:tcPr>
          <w:p>
            <w:pPr>
              <w:ind w:left="1140"/>
              <w:spacing w:after="0"/>
              <w:rPr>
                <w:sz w:val="20"/>
                <w:szCs w:val="20"/>
                <w:color w:val="auto"/>
              </w:rPr>
            </w:pPr>
            <w:r>
              <w:rPr>
                <w:rFonts w:ascii="Arial" w:cs="Arial" w:eastAsia="Arial" w:hAnsi="Arial"/>
                <w:sz w:val="16"/>
                <w:szCs w:val="16"/>
                <w:b w:val="1"/>
                <w:bCs w:val="1"/>
                <w:color w:val="auto"/>
              </w:rPr>
              <w:t>Distributions Percentages</w:t>
            </w:r>
          </w:p>
        </w:tc>
      </w:tr>
      <w:tr>
        <w:trPr>
          <w:trHeight w:val="229"/>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rPr>
              <w:t>Tier</w:t>
            </w:r>
          </w:p>
        </w:tc>
        <w:tc>
          <w:tcPr>
            <w:tcW w:w="60" w:type="dxa"/>
            <w:vAlign w:val="bottom"/>
          </w:tcPr>
          <w:p>
            <w:pPr>
              <w:spacing w:after="0"/>
              <w:rPr>
                <w:sz w:val="19"/>
                <w:szCs w:val="19"/>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Annualized</w:t>
            </w:r>
          </w:p>
        </w:tc>
        <w:tc>
          <w:tcPr>
            <w:tcW w:w="60" w:type="dxa"/>
            <w:vAlign w:val="bottom"/>
          </w:tcPr>
          <w:p>
            <w:pPr>
              <w:spacing w:after="0"/>
              <w:rPr>
                <w:sz w:val="19"/>
                <w:szCs w:val="19"/>
                <w:color w:val="auto"/>
              </w:rPr>
            </w:pPr>
          </w:p>
        </w:tc>
        <w:tc>
          <w:tcPr>
            <w:tcW w:w="194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rPr>
              <w:t>PAA</w:t>
            </w:r>
          </w:p>
        </w:tc>
        <w:tc>
          <w:tcPr>
            <w:tcW w:w="80" w:type="dxa"/>
            <w:vAlign w:val="bottom"/>
          </w:tcPr>
          <w:p>
            <w:pPr>
              <w:spacing w:after="0"/>
              <w:rPr>
                <w:sz w:val="19"/>
                <w:szCs w:val="19"/>
                <w:color w:val="auto"/>
              </w:rPr>
            </w:pPr>
          </w:p>
        </w:tc>
        <w:tc>
          <w:tcPr>
            <w:tcW w:w="1940" w:type="dxa"/>
            <w:vAlign w:val="bottom"/>
            <w:tcBorders>
              <w:bottom w:val="single" w:sz="8" w:color="auto"/>
            </w:tcBorders>
          </w:tcPr>
          <w:p>
            <w:pPr>
              <w:ind w:left="800"/>
              <w:spacing w:after="0"/>
              <w:rPr>
                <w:sz w:val="20"/>
                <w:szCs w:val="20"/>
                <w:color w:val="auto"/>
              </w:rPr>
            </w:pPr>
            <w:r>
              <w:rPr>
                <w:rFonts w:ascii="Arial" w:cs="Arial" w:eastAsia="Arial" w:hAnsi="Arial"/>
                <w:sz w:val="16"/>
                <w:szCs w:val="16"/>
                <w:b w:val="1"/>
                <w:bCs w:val="1"/>
                <w:color w:val="auto"/>
              </w:rPr>
              <w:t>Oryx</w:t>
            </w:r>
          </w:p>
        </w:tc>
      </w:tr>
      <w:tr>
        <w:trPr>
          <w:trHeight w:val="269"/>
        </w:trPr>
        <w:tc>
          <w:tcPr>
            <w:tcW w:w="1960" w:type="dxa"/>
            <w:vAlign w:val="bottom"/>
          </w:tcPr>
          <w:p>
            <w:pPr>
              <w:jc w:val="center"/>
              <w:spacing w:after="0"/>
              <w:rPr>
                <w:sz w:val="20"/>
                <w:szCs w:val="20"/>
                <w:color w:val="auto"/>
              </w:rPr>
            </w:pPr>
            <w:r>
              <w:rPr>
                <w:rFonts w:ascii="Arial" w:cs="Arial" w:eastAsia="Arial" w:hAnsi="Arial"/>
                <w:sz w:val="19"/>
                <w:szCs w:val="19"/>
                <w:color w:val="auto"/>
                <w:w w:val="94"/>
              </w:rPr>
              <w:t>1</w:t>
            </w:r>
          </w:p>
        </w:tc>
        <w:tc>
          <w:tcPr>
            <w:tcW w:w="60" w:type="dxa"/>
            <w:vAlign w:val="bottom"/>
          </w:tcPr>
          <w:p>
            <w:pPr>
              <w:spacing w:after="0"/>
              <w:rPr>
                <w:sz w:val="23"/>
                <w:szCs w:val="23"/>
                <w:color w:val="auto"/>
              </w:rPr>
            </w:pPr>
          </w:p>
        </w:tc>
        <w:tc>
          <w:tcPr>
            <w:tcW w:w="3980" w:type="dxa"/>
            <w:vAlign w:val="bottom"/>
            <w:gridSpan w:val="2"/>
          </w:tcPr>
          <w:p>
            <w:pPr>
              <w:jc w:val="center"/>
              <w:ind w:right="60"/>
              <w:spacing w:after="0"/>
              <w:rPr>
                <w:sz w:val="20"/>
                <w:szCs w:val="20"/>
                <w:color w:val="auto"/>
              </w:rPr>
            </w:pPr>
            <w:r>
              <w:rPr>
                <w:rFonts w:ascii="Arial" w:cs="Arial" w:eastAsia="Arial" w:hAnsi="Arial"/>
                <w:sz w:val="19"/>
                <w:szCs w:val="19"/>
                <w:color w:val="auto"/>
                <w:w w:val="94"/>
              </w:rPr>
              <w:t>Up to $300</w:t>
            </w:r>
          </w:p>
        </w:tc>
        <w:tc>
          <w:tcPr>
            <w:tcW w:w="1940" w:type="dxa"/>
            <w:vAlign w:val="bottom"/>
          </w:tcPr>
          <w:p>
            <w:pPr>
              <w:jc w:val="center"/>
              <w:spacing w:after="0"/>
              <w:rPr>
                <w:sz w:val="20"/>
                <w:szCs w:val="20"/>
                <w:color w:val="auto"/>
              </w:rPr>
            </w:pPr>
            <w:r>
              <w:rPr>
                <w:rFonts w:ascii="Arial" w:cs="Arial" w:eastAsia="Arial" w:hAnsi="Arial"/>
                <w:sz w:val="19"/>
                <w:szCs w:val="19"/>
                <w:color w:val="auto"/>
                <w:w w:val="94"/>
              </w:rPr>
              <w:t>50%</w:t>
            </w:r>
          </w:p>
        </w:tc>
        <w:tc>
          <w:tcPr>
            <w:tcW w:w="2020" w:type="dxa"/>
            <w:vAlign w:val="bottom"/>
            <w:gridSpan w:val="2"/>
          </w:tcPr>
          <w:p>
            <w:pPr>
              <w:ind w:left="900"/>
              <w:spacing w:after="0"/>
              <w:rPr>
                <w:sz w:val="20"/>
                <w:szCs w:val="20"/>
                <w:color w:val="auto"/>
              </w:rPr>
            </w:pPr>
            <w:r>
              <w:rPr>
                <w:rFonts w:ascii="Arial" w:cs="Arial" w:eastAsia="Arial" w:hAnsi="Arial"/>
                <w:sz w:val="19"/>
                <w:szCs w:val="19"/>
                <w:color w:val="auto"/>
              </w:rPr>
              <w:t>50%</w:t>
            </w:r>
          </w:p>
        </w:tc>
      </w:tr>
      <w:tr>
        <w:trPr>
          <w:trHeight w:val="292"/>
        </w:trPr>
        <w:tc>
          <w:tcPr>
            <w:tcW w:w="1960" w:type="dxa"/>
            <w:vAlign w:val="bottom"/>
          </w:tcPr>
          <w:p>
            <w:pPr>
              <w:jc w:val="center"/>
              <w:spacing w:after="0"/>
              <w:rPr>
                <w:sz w:val="20"/>
                <w:szCs w:val="20"/>
                <w:color w:val="auto"/>
              </w:rPr>
            </w:pPr>
            <w:r>
              <w:rPr>
                <w:rFonts w:ascii="Arial" w:cs="Arial" w:eastAsia="Arial" w:hAnsi="Arial"/>
                <w:sz w:val="19"/>
                <w:szCs w:val="19"/>
                <w:color w:val="auto"/>
                <w:w w:val="94"/>
              </w:rPr>
              <w:t>2</w:t>
            </w:r>
          </w:p>
        </w:tc>
        <w:tc>
          <w:tcPr>
            <w:tcW w:w="3980" w:type="dxa"/>
            <w:vAlign w:val="bottom"/>
            <w:gridSpan w:val="2"/>
          </w:tcPr>
          <w:p>
            <w:pPr>
              <w:jc w:val="center"/>
              <w:spacing w:after="0"/>
              <w:rPr>
                <w:sz w:val="20"/>
                <w:szCs w:val="20"/>
                <w:color w:val="auto"/>
              </w:rPr>
            </w:pPr>
            <w:r>
              <w:rPr>
                <w:rFonts w:ascii="Arial" w:cs="Arial" w:eastAsia="Arial" w:hAnsi="Arial"/>
                <w:sz w:val="19"/>
                <w:szCs w:val="19"/>
                <w:color w:val="auto"/>
                <w:w w:val="92"/>
              </w:rPr>
              <w:t>$300 - $428</w:t>
            </w:r>
          </w:p>
        </w:tc>
        <w:tc>
          <w:tcPr>
            <w:tcW w:w="6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9"/>
                <w:szCs w:val="19"/>
                <w:color w:val="auto"/>
                <w:w w:val="94"/>
              </w:rPr>
              <w:t>100%</w:t>
            </w:r>
          </w:p>
        </w:tc>
        <w:tc>
          <w:tcPr>
            <w:tcW w:w="80" w:type="dxa"/>
            <w:vAlign w:val="bottom"/>
          </w:tcPr>
          <w:p>
            <w:pPr>
              <w:spacing w:after="0"/>
              <w:rPr>
                <w:sz w:val="24"/>
                <w:szCs w:val="24"/>
                <w:color w:val="auto"/>
              </w:rPr>
            </w:pPr>
          </w:p>
        </w:tc>
        <w:tc>
          <w:tcPr>
            <w:tcW w:w="1940" w:type="dxa"/>
            <w:vAlign w:val="bottom"/>
          </w:tcPr>
          <w:p>
            <w:pPr>
              <w:ind w:left="820"/>
              <w:spacing w:after="0"/>
              <w:rPr>
                <w:sz w:val="20"/>
                <w:szCs w:val="20"/>
                <w:color w:val="auto"/>
              </w:rPr>
            </w:pPr>
            <w:r>
              <w:rPr>
                <w:rFonts w:ascii="Arial" w:cs="Arial" w:eastAsia="Arial" w:hAnsi="Arial"/>
                <w:sz w:val="19"/>
                <w:szCs w:val="19"/>
                <w:color w:val="auto"/>
              </w:rPr>
              <w:t>—%</w:t>
            </w:r>
          </w:p>
        </w:tc>
      </w:tr>
      <w:tr>
        <w:trPr>
          <w:trHeight w:val="292"/>
        </w:trPr>
        <w:tc>
          <w:tcPr>
            <w:tcW w:w="1960" w:type="dxa"/>
            <w:vAlign w:val="bottom"/>
          </w:tcPr>
          <w:p>
            <w:pPr>
              <w:jc w:val="center"/>
              <w:spacing w:after="0"/>
              <w:rPr>
                <w:sz w:val="20"/>
                <w:szCs w:val="20"/>
                <w:color w:val="auto"/>
              </w:rPr>
            </w:pPr>
            <w:r>
              <w:rPr>
                <w:rFonts w:ascii="Arial" w:cs="Arial" w:eastAsia="Arial" w:hAnsi="Arial"/>
                <w:sz w:val="19"/>
                <w:szCs w:val="19"/>
                <w:color w:val="auto"/>
                <w:w w:val="94"/>
              </w:rPr>
              <w:t>3</w:t>
            </w:r>
          </w:p>
        </w:tc>
        <w:tc>
          <w:tcPr>
            <w:tcW w:w="3980" w:type="dxa"/>
            <w:vAlign w:val="bottom"/>
            <w:gridSpan w:val="2"/>
          </w:tcPr>
          <w:p>
            <w:pPr>
              <w:jc w:val="center"/>
              <w:spacing w:after="0"/>
              <w:rPr>
                <w:sz w:val="20"/>
                <w:szCs w:val="20"/>
                <w:color w:val="auto"/>
              </w:rPr>
            </w:pPr>
            <w:r>
              <w:rPr>
                <w:rFonts w:ascii="Arial" w:cs="Arial" w:eastAsia="Arial" w:hAnsi="Arial"/>
                <w:sz w:val="19"/>
                <w:szCs w:val="19"/>
                <w:color w:val="auto"/>
                <w:w w:val="92"/>
              </w:rPr>
              <w:t>$428 - $815</w:t>
            </w:r>
          </w:p>
        </w:tc>
        <w:tc>
          <w:tcPr>
            <w:tcW w:w="6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9"/>
                <w:szCs w:val="19"/>
                <w:color w:val="auto"/>
                <w:w w:val="94"/>
              </w:rPr>
              <w:t>65%</w:t>
            </w:r>
          </w:p>
        </w:tc>
        <w:tc>
          <w:tcPr>
            <w:tcW w:w="2020" w:type="dxa"/>
            <w:vAlign w:val="bottom"/>
            <w:gridSpan w:val="2"/>
          </w:tcPr>
          <w:p>
            <w:pPr>
              <w:ind w:left="900"/>
              <w:spacing w:after="0"/>
              <w:rPr>
                <w:sz w:val="20"/>
                <w:szCs w:val="20"/>
                <w:color w:val="auto"/>
              </w:rPr>
            </w:pPr>
            <w:r>
              <w:rPr>
                <w:rFonts w:ascii="Arial" w:cs="Arial" w:eastAsia="Arial" w:hAnsi="Arial"/>
                <w:sz w:val="19"/>
                <w:szCs w:val="19"/>
                <w:color w:val="auto"/>
              </w:rPr>
              <w:t>35%</w:t>
            </w:r>
          </w:p>
        </w:tc>
      </w:tr>
      <w:tr>
        <w:trPr>
          <w:trHeight w:val="292"/>
        </w:trPr>
        <w:tc>
          <w:tcPr>
            <w:tcW w:w="1960" w:type="dxa"/>
            <w:vAlign w:val="bottom"/>
          </w:tcPr>
          <w:p>
            <w:pPr>
              <w:jc w:val="center"/>
              <w:spacing w:after="0"/>
              <w:rPr>
                <w:sz w:val="20"/>
                <w:szCs w:val="20"/>
                <w:color w:val="auto"/>
              </w:rPr>
            </w:pPr>
            <w:r>
              <w:rPr>
                <w:rFonts w:ascii="Arial" w:cs="Arial" w:eastAsia="Arial" w:hAnsi="Arial"/>
                <w:sz w:val="19"/>
                <w:szCs w:val="19"/>
                <w:color w:val="auto"/>
                <w:w w:val="94"/>
              </w:rPr>
              <w:t>4</w:t>
            </w:r>
          </w:p>
        </w:tc>
        <w:tc>
          <w:tcPr>
            <w:tcW w:w="60" w:type="dxa"/>
            <w:vAlign w:val="bottom"/>
          </w:tcPr>
          <w:p>
            <w:pPr>
              <w:spacing w:after="0"/>
              <w:rPr>
                <w:sz w:val="24"/>
                <w:szCs w:val="24"/>
                <w:color w:val="auto"/>
              </w:rPr>
            </w:pPr>
          </w:p>
        </w:tc>
        <w:tc>
          <w:tcPr>
            <w:tcW w:w="3980" w:type="dxa"/>
            <w:vAlign w:val="bottom"/>
            <w:gridSpan w:val="2"/>
          </w:tcPr>
          <w:p>
            <w:pPr>
              <w:jc w:val="center"/>
              <w:ind w:right="20"/>
              <w:spacing w:after="0"/>
              <w:rPr>
                <w:sz w:val="20"/>
                <w:szCs w:val="20"/>
                <w:color w:val="auto"/>
              </w:rPr>
            </w:pPr>
            <w:r>
              <w:rPr>
                <w:rFonts w:ascii="Arial" w:cs="Arial" w:eastAsia="Arial" w:hAnsi="Arial"/>
                <w:sz w:val="19"/>
                <w:szCs w:val="19"/>
                <w:color w:val="auto"/>
                <w:w w:val="90"/>
              </w:rPr>
              <w:t>$815 and above</w:t>
            </w:r>
          </w:p>
        </w:tc>
        <w:tc>
          <w:tcPr>
            <w:tcW w:w="1940" w:type="dxa"/>
            <w:vAlign w:val="bottom"/>
          </w:tcPr>
          <w:p>
            <w:pPr>
              <w:jc w:val="center"/>
              <w:spacing w:after="0"/>
              <w:rPr>
                <w:sz w:val="20"/>
                <w:szCs w:val="20"/>
                <w:color w:val="auto"/>
              </w:rPr>
            </w:pPr>
            <w:r>
              <w:rPr>
                <w:rFonts w:ascii="Arial" w:cs="Arial" w:eastAsia="Arial" w:hAnsi="Arial"/>
                <w:sz w:val="19"/>
                <w:szCs w:val="19"/>
                <w:color w:val="auto"/>
                <w:w w:val="94"/>
              </w:rPr>
              <w:t>70%</w:t>
            </w:r>
          </w:p>
        </w:tc>
        <w:tc>
          <w:tcPr>
            <w:tcW w:w="2020" w:type="dxa"/>
            <w:vAlign w:val="bottom"/>
            <w:gridSpan w:val="2"/>
          </w:tcPr>
          <w:p>
            <w:pPr>
              <w:ind w:left="900"/>
              <w:spacing w:after="0"/>
              <w:rPr>
                <w:sz w:val="20"/>
                <w:szCs w:val="20"/>
                <w:color w:val="auto"/>
              </w:rPr>
            </w:pPr>
            <w:r>
              <w:rPr>
                <w:rFonts w:ascii="Arial" w:cs="Arial" w:eastAsia="Arial" w:hAnsi="Arial"/>
                <w:sz w:val="19"/>
                <w:szCs w:val="19"/>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-746760</wp:posOffset>
            </wp:positionV>
            <wp:extent cx="6358255" cy="768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8">
                      <a:extLst>
                        <a:ext uri="{28A0092B-C50C-407E-A947-70E740481C1C}"/>
                      </a:extLst>
                    </a:blip>
                    <a:srcRect/>
                    <a:stretch>
                      <a:fillRect/>
                    </a:stretch>
                  </pic:blipFill>
                  <pic:spPr bwMode="auto">
                    <a:xfrm>
                      <a:off x="0" y="0"/>
                      <a:ext cx="6358255" cy="768350"/>
                    </a:xfrm>
                    <a:prstGeom prst="rect">
                      <a:avLst/>
                    </a:prstGeom>
                    <a:noFill/>
                  </pic:spPr>
                </pic:pic>
              </a:graphicData>
            </a:graphic>
          </wp:anchor>
        </w:drawing>
      </w:r>
    </w:p>
    <w:p>
      <w:pPr>
        <w:spacing w:after="0" w:line="264" w:lineRule="exact"/>
        <w:rPr>
          <w:sz w:val="20"/>
          <w:szCs w:val="20"/>
          <w:color w:val="auto"/>
        </w:rPr>
      </w:pPr>
    </w:p>
    <w:p>
      <w:pPr>
        <w:jc w:val="both"/>
        <w:ind w:right="200" w:firstLine="702"/>
        <w:spacing w:after="0" w:line="276" w:lineRule="auto"/>
        <w:rPr>
          <w:sz w:val="20"/>
          <w:szCs w:val="20"/>
          <w:color w:val="auto"/>
        </w:rPr>
      </w:pPr>
      <w:r>
        <w:rPr>
          <w:rFonts w:ascii="Arial" w:cs="Arial" w:eastAsia="Arial" w:hAnsi="Arial"/>
          <w:sz w:val="19"/>
          <w:szCs w:val="19"/>
          <w:color w:val="auto"/>
        </w:rPr>
        <w:t>Oryx Midstream is a portfolio company of Stonepeak Infrastructure Partners (“Stonepeak”). Affiliates of Stonepeak own approximately 8.9% of PAA’s outstanding Series A preferred units, which equates to less than 1% of PAA’s outstanding common units and Series A preferred units (PAA’s “common unit equivalents”) combined.</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 Forma and Other Financial Results</w:t>
      </w:r>
    </w:p>
    <w:p>
      <w:pPr>
        <w:spacing w:after="0" w:line="251" w:lineRule="exact"/>
        <w:rPr>
          <w:sz w:val="20"/>
          <w:szCs w:val="20"/>
          <w:color w:val="auto"/>
        </w:rPr>
      </w:pPr>
    </w:p>
    <w:p>
      <w:pPr>
        <w:ind w:right="20" w:firstLine="702"/>
        <w:spacing w:after="0" w:line="278" w:lineRule="auto"/>
        <w:rPr>
          <w:sz w:val="20"/>
          <w:szCs w:val="20"/>
          <w:color w:val="auto"/>
        </w:rPr>
      </w:pPr>
      <w:r>
        <w:rPr>
          <w:rFonts w:ascii="Arial" w:cs="Arial" w:eastAsia="Arial" w:hAnsi="Arial"/>
          <w:sz w:val="18"/>
          <w:szCs w:val="18"/>
          <w:color w:val="auto"/>
        </w:rPr>
        <w:t>Financial results of the Permian JV have been included in the results of operations within the Crude Oil segment since the date of the formation. Disclosure of the revenues and earnings from the Oryx Midstream predecessor business for the period subsequent to the joint venture formation is not practicable as it is not being operated as a standalone subsidiary. The following selected unaudited pro forma results of operations were derived from the historical financial statements of PAGP and Oryx Midstream, and gives effect to the joint venture formation as if it had occurred on January 1, 2021. The pro forma results of operations do not include any cost savings or other synergies that may result from the Permian JV or any estimated costs that have been or will be incurred by us to integrate Oryx Midstream’s assets. These results are not necessarily indicative of the results that might have actually occurred had the merger taken place on January 1, 2021; furthermore, this financial information is not intended to be a projection of future results (in millions, except per unit amounts):</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8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ind w:right="489"/>
              <w:spacing w:after="0"/>
              <w:rPr>
                <w:sz w:val="20"/>
                <w:szCs w:val="20"/>
                <w:color w:val="auto"/>
              </w:rPr>
            </w:pPr>
            <w:r>
              <w:rPr>
                <w:rFonts w:ascii="Arial" w:cs="Arial" w:eastAsia="Arial" w:hAnsi="Arial"/>
                <w:sz w:val="16"/>
                <w:szCs w:val="16"/>
                <w:b w:val="1"/>
                <w:bCs w:val="1"/>
                <w:color w:val="auto"/>
              </w:rPr>
              <w:t>Year Ended</w:t>
            </w:r>
          </w:p>
        </w:tc>
      </w:tr>
      <w:tr>
        <w:trPr>
          <w:trHeight w:val="255"/>
        </w:trPr>
        <w:tc>
          <w:tcPr>
            <w:tcW w:w="80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49"/>
              <w:spacing w:after="0"/>
              <w:rPr>
                <w:sz w:val="20"/>
                <w:szCs w:val="20"/>
                <w:color w:val="auto"/>
              </w:rPr>
            </w:pPr>
            <w:r>
              <w:rPr>
                <w:rFonts w:ascii="Arial" w:cs="Arial" w:eastAsia="Arial" w:hAnsi="Arial"/>
                <w:sz w:val="16"/>
                <w:szCs w:val="16"/>
                <w:b w:val="1"/>
                <w:bCs w:val="1"/>
                <w:color w:val="auto"/>
                <w:w w:val="92"/>
              </w:rPr>
              <w:t>December 31, 2021</w:t>
            </w:r>
          </w:p>
        </w:tc>
      </w:tr>
      <w:tr>
        <w:trPr>
          <w:trHeight w:val="269"/>
        </w:trPr>
        <w:tc>
          <w:tcPr>
            <w:tcW w:w="8020" w:type="dxa"/>
            <w:vAlign w:val="bottom"/>
          </w:tcPr>
          <w:p>
            <w:pPr>
              <w:spacing w:after="0"/>
              <w:rPr>
                <w:sz w:val="20"/>
                <w:szCs w:val="20"/>
                <w:color w:val="auto"/>
              </w:rPr>
            </w:pPr>
            <w:r>
              <w:rPr>
                <w:rFonts w:ascii="Arial" w:cs="Arial" w:eastAsia="Arial" w:hAnsi="Arial"/>
                <w:sz w:val="19"/>
                <w:szCs w:val="19"/>
                <w:color w:val="auto"/>
              </w:rPr>
              <w:t>Total revenues</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1700" w:type="dxa"/>
            <w:vAlign w:val="bottom"/>
          </w:tcPr>
          <w:p>
            <w:pPr>
              <w:jc w:val="right"/>
              <w:spacing w:after="0"/>
              <w:rPr>
                <w:sz w:val="20"/>
                <w:szCs w:val="20"/>
                <w:color w:val="auto"/>
              </w:rPr>
            </w:pPr>
            <w:r>
              <w:rPr>
                <w:rFonts w:ascii="Arial" w:cs="Arial" w:eastAsia="Arial" w:hAnsi="Arial"/>
                <w:sz w:val="19"/>
                <w:szCs w:val="19"/>
                <w:color w:val="auto"/>
              </w:rPr>
              <w:t>42,359</w:t>
            </w:r>
          </w:p>
        </w:tc>
      </w:tr>
      <w:tr>
        <w:trPr>
          <w:trHeight w:val="292"/>
        </w:trPr>
        <w:tc>
          <w:tcPr>
            <w:tcW w:w="8020" w:type="dxa"/>
            <w:vAlign w:val="bottom"/>
          </w:tcPr>
          <w:p>
            <w:pPr>
              <w:spacing w:after="0"/>
              <w:rPr>
                <w:sz w:val="20"/>
                <w:szCs w:val="20"/>
                <w:color w:val="auto"/>
              </w:rPr>
            </w:pPr>
            <w:r>
              <w:rPr>
                <w:rFonts w:ascii="Arial" w:cs="Arial" w:eastAsia="Arial" w:hAnsi="Arial"/>
                <w:sz w:val="19"/>
                <w:szCs w:val="19"/>
                <w:color w:val="auto"/>
              </w:rPr>
              <w:t>Net income attributable to PAGP</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1700" w:type="dxa"/>
            <w:vAlign w:val="bottom"/>
          </w:tcPr>
          <w:p>
            <w:pPr>
              <w:jc w:val="right"/>
              <w:spacing w:after="0"/>
              <w:rPr>
                <w:sz w:val="20"/>
                <w:szCs w:val="20"/>
                <w:color w:val="auto"/>
              </w:rPr>
            </w:pPr>
            <w:r>
              <w:rPr>
                <w:rFonts w:ascii="Arial" w:cs="Arial" w:eastAsia="Arial" w:hAnsi="Arial"/>
                <w:sz w:val="19"/>
                <w:szCs w:val="19"/>
                <w:color w:val="auto"/>
              </w:rPr>
              <w:t>37</w:t>
            </w:r>
          </w:p>
        </w:tc>
      </w:tr>
      <w:tr>
        <w:trPr>
          <w:trHeight w:val="292"/>
        </w:trPr>
        <w:tc>
          <w:tcPr>
            <w:tcW w:w="8020" w:type="dxa"/>
            <w:vAlign w:val="bottom"/>
          </w:tcPr>
          <w:p>
            <w:pPr>
              <w:spacing w:after="0"/>
              <w:rPr>
                <w:sz w:val="20"/>
                <w:szCs w:val="20"/>
                <w:color w:val="auto"/>
              </w:rPr>
            </w:pPr>
            <w:r>
              <w:rPr>
                <w:rFonts w:ascii="Arial" w:cs="Arial" w:eastAsia="Arial" w:hAnsi="Arial"/>
                <w:sz w:val="19"/>
                <w:szCs w:val="19"/>
                <w:color w:val="auto"/>
              </w:rPr>
              <w:t>Basic net income per Class A Share</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1700" w:type="dxa"/>
            <w:vAlign w:val="bottom"/>
          </w:tcPr>
          <w:p>
            <w:pPr>
              <w:jc w:val="right"/>
              <w:spacing w:after="0"/>
              <w:rPr>
                <w:sz w:val="20"/>
                <w:szCs w:val="20"/>
                <w:color w:val="auto"/>
              </w:rPr>
            </w:pPr>
            <w:r>
              <w:rPr>
                <w:rFonts w:ascii="Arial" w:cs="Arial" w:eastAsia="Arial" w:hAnsi="Arial"/>
                <w:sz w:val="19"/>
                <w:szCs w:val="19"/>
                <w:color w:val="auto"/>
              </w:rPr>
              <w:t>0.19</w:t>
            </w:r>
          </w:p>
        </w:tc>
      </w:tr>
      <w:tr>
        <w:trPr>
          <w:trHeight w:val="292"/>
        </w:trPr>
        <w:tc>
          <w:tcPr>
            <w:tcW w:w="8020" w:type="dxa"/>
            <w:vAlign w:val="bottom"/>
          </w:tcPr>
          <w:p>
            <w:pPr>
              <w:spacing w:after="0"/>
              <w:rPr>
                <w:sz w:val="20"/>
                <w:szCs w:val="20"/>
                <w:color w:val="auto"/>
              </w:rPr>
            </w:pPr>
            <w:r>
              <w:rPr>
                <w:rFonts w:ascii="Arial" w:cs="Arial" w:eastAsia="Arial" w:hAnsi="Arial"/>
                <w:sz w:val="19"/>
                <w:szCs w:val="19"/>
                <w:color w:val="auto"/>
              </w:rPr>
              <w:t>Diluted net income per Class A Share</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1700" w:type="dxa"/>
            <w:vAlign w:val="bottom"/>
          </w:tcPr>
          <w:p>
            <w:pPr>
              <w:jc w:val="right"/>
              <w:spacing w:after="0"/>
              <w:rPr>
                <w:sz w:val="20"/>
                <w:szCs w:val="20"/>
                <w:color w:val="auto"/>
              </w:rPr>
            </w:pPr>
            <w:r>
              <w:rPr>
                <w:rFonts w:ascii="Arial" w:cs="Arial" w:eastAsia="Arial" w:hAnsi="Arial"/>
                <w:sz w:val="19"/>
                <w:szCs w:val="19"/>
                <w:color w:val="auto"/>
              </w:rPr>
              <w:t>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-746760</wp:posOffset>
            </wp:positionV>
            <wp:extent cx="6376670" cy="768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9">
                      <a:extLst>
                        <a:ext uri="{28A0092B-C50C-407E-A947-70E740481C1C}"/>
                      </a:extLst>
                    </a:blip>
                    <a:srcRect/>
                    <a:stretch>
                      <a:fillRect/>
                    </a:stretch>
                  </pic:blipFill>
                  <pic:spPr bwMode="auto">
                    <a:xfrm>
                      <a:off x="0" y="0"/>
                      <a:ext cx="6376670" cy="76835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Divestitures</w:t>
      </w:r>
    </w:p>
    <w:p>
      <w:pPr>
        <w:spacing w:after="0" w:line="257" w:lineRule="exact"/>
        <w:rPr>
          <w:sz w:val="20"/>
          <w:szCs w:val="20"/>
          <w:color w:val="auto"/>
        </w:rPr>
      </w:pPr>
    </w:p>
    <w:p>
      <w:pPr>
        <w:ind w:right="40" w:firstLine="702"/>
        <w:spacing w:after="0" w:line="282" w:lineRule="auto"/>
        <w:rPr>
          <w:sz w:val="20"/>
          <w:szCs w:val="20"/>
          <w:color w:val="auto"/>
        </w:rPr>
      </w:pPr>
      <w:r>
        <w:rPr>
          <w:rFonts w:ascii="Arial" w:cs="Arial" w:eastAsia="Arial" w:hAnsi="Arial"/>
          <w:sz w:val="18"/>
          <w:szCs w:val="18"/>
          <w:color w:val="auto"/>
        </w:rPr>
        <w:t>In February 2023, we sold our 21% non-operated/undivided joint interest in the Keyera Fort Saskatchewan facility to Keyera Corporation for approximately $270 million. As of December 31, 2022, we classified the assets related to this transaction (primarily “Property and equipment” in our NGL segment), valued at the lower of the carrying amount or fair value less costs to sell, of approximately $130 million as assets held for sale on our Consolidated Balance Sheet (in “Other current assets”). Upon the sale of this facility, we recognized a gain of approximately $140 million which is included in “(Gains)/losses on asset sales and asset impairments, net” on our Consolidated Statement of Operations.</w:t>
      </w:r>
    </w:p>
    <w:p>
      <w:pPr>
        <w:sectPr>
          <w:pgSz w:w="11880" w:h="15480" w:orient="portrait"/>
          <w:cols w:equalWidth="0" w:num="1">
            <w:col w:w="10000"/>
          </w:cols>
          <w:pgMar w:left="940" w:top="43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880" w:h="15480" w:orient="portrait"/>
          <w:cols w:equalWidth="0" w:num="1">
            <w:col w:w="10000"/>
          </w:cols>
          <w:pgMar w:left="940" w:top="431" w:right="940" w:bottom="0" w:gutter="0" w:footer="0" w:header="0"/>
          <w:type w:val="continuous"/>
        </w:sectPr>
      </w:pPr>
    </w:p>
    <w:bookmarkStart w:id="130" w:name="page131"/>
    <w:bookmarkEnd w:id="130"/>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right="460" w:firstLine="702"/>
        <w:spacing w:after="0" w:line="264" w:lineRule="auto"/>
        <w:rPr>
          <w:sz w:val="20"/>
          <w:szCs w:val="20"/>
          <w:color w:val="auto"/>
        </w:rPr>
      </w:pPr>
      <w:r>
        <w:rPr>
          <w:rFonts w:ascii="Arial" w:cs="Arial" w:eastAsia="Arial" w:hAnsi="Arial"/>
          <w:sz w:val="19"/>
          <w:szCs w:val="19"/>
          <w:color w:val="auto"/>
        </w:rPr>
        <w:t>During the year ended December 31, 2022, we sold certain non-core assets for total proceeds of $60 million. The assets sold primarily consisted of land and related assets in Long Beach, California, as well as Line 901 and the Sisquoc to Pentland portion of Line 903. These assets were previously reported in our Crude Oil segment. We recognized gains of $61 million related to these asset sales, a portion of which relates to the transfer of an asset retirement obligation to the purchaser. Such amounts are included in “(Gains)/losses on asset sales and asset impairments, net” on our Consolidated Statement of Operations.</w:t>
      </w:r>
    </w:p>
    <w:p>
      <w:pPr>
        <w:spacing w:after="0" w:line="196" w:lineRule="exact"/>
        <w:rPr>
          <w:sz w:val="20"/>
          <w:szCs w:val="20"/>
          <w:color w:val="auto"/>
        </w:rPr>
      </w:pPr>
    </w:p>
    <w:p>
      <w:pPr>
        <w:ind w:right="40" w:firstLine="702"/>
        <w:spacing w:after="0" w:line="262" w:lineRule="auto"/>
        <w:rPr>
          <w:sz w:val="20"/>
          <w:szCs w:val="20"/>
          <w:color w:val="auto"/>
        </w:rPr>
      </w:pPr>
      <w:r>
        <w:rPr>
          <w:rFonts w:ascii="Arial" w:cs="Arial" w:eastAsia="Arial" w:hAnsi="Arial"/>
          <w:sz w:val="19"/>
          <w:szCs w:val="19"/>
          <w:color w:val="auto"/>
        </w:rPr>
        <w:t>In August 2021, we sold our Pine Prairie and Southern Pines natural gas storage facilities, which were included in our Crude Oil segment for periods prior to the sale, for net proceeds of approximately $850 million, including working capital adjustments. Prior to the sale, we classified the assets related to this transaction (primarily “Property and equipment”), valued at the lower of the carrying amount or fair value less costs to sell, of approximately $832 million as assets held for sale with approximately $18 million of deferred losses on hedges remaining in other comprehensive income until the closing of the sale. Upon classification of the assets to held for sale in the second quarter of 2021, we recognized a non-cash impairment loss of $475 million which is included in “(Gains)/losses on asset sales and asset impairments, net” on our Consolidated Statement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8—Investments in Unconsolidated Entities</w:t>
      </w:r>
    </w:p>
    <w:p>
      <w:pPr>
        <w:spacing w:after="0" w:line="257" w:lineRule="exact"/>
        <w:rPr>
          <w:sz w:val="20"/>
          <w:szCs w:val="20"/>
          <w:color w:val="auto"/>
        </w:rPr>
      </w:pPr>
    </w:p>
    <w:p>
      <w:pPr>
        <w:ind w:right="280" w:firstLine="702"/>
        <w:spacing w:after="0" w:line="262" w:lineRule="auto"/>
        <w:rPr>
          <w:sz w:val="20"/>
          <w:szCs w:val="20"/>
          <w:color w:val="auto"/>
        </w:rPr>
      </w:pPr>
      <w:r>
        <w:rPr>
          <w:rFonts w:ascii="Arial" w:cs="Arial" w:eastAsia="Arial" w:hAnsi="Arial"/>
          <w:sz w:val="19"/>
          <w:szCs w:val="19"/>
          <w:color w:val="auto"/>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9"/>
          <w:szCs w:val="19"/>
          <w:color w:val="auto"/>
        </w:rPr>
        <w:t>Our investments in unconsolidated entities consisted of the following (in millions, except percentage data):</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Ownership</w:t>
            </w:r>
          </w:p>
        </w:tc>
        <w:tc>
          <w:tcPr>
            <w:tcW w:w="260" w:type="dxa"/>
            <w:vAlign w:val="bottom"/>
          </w:tcPr>
          <w:p>
            <w:pPr>
              <w:spacing w:after="0"/>
              <w:rPr>
                <w:sz w:val="16"/>
                <w:szCs w:val="16"/>
                <w:color w:val="auto"/>
              </w:rPr>
            </w:pPr>
          </w:p>
        </w:tc>
        <w:tc>
          <w:tcPr>
            <w:tcW w:w="1940" w:type="dxa"/>
            <w:vAlign w:val="bottom"/>
            <w:gridSpan w:val="4"/>
            <w:vMerge w:val="restart"/>
          </w:tcPr>
          <w:p>
            <w:pPr>
              <w:jc w:val="right"/>
              <w:ind w:right="344"/>
              <w:spacing w:after="0"/>
              <w:rPr>
                <w:sz w:val="20"/>
                <w:szCs w:val="20"/>
                <w:color w:val="auto"/>
              </w:rPr>
            </w:pPr>
            <w:r>
              <w:rPr>
                <w:rFonts w:ascii="Arial" w:cs="Arial" w:eastAsia="Arial" w:hAnsi="Arial"/>
                <w:sz w:val="16"/>
                <w:szCs w:val="16"/>
                <w:b w:val="1"/>
                <w:bCs w:val="1"/>
                <w:color w:val="auto"/>
                <w:w w:val="98"/>
              </w:rPr>
              <w:t>Investment Balance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restart"/>
          </w:tcPr>
          <w:p>
            <w:pPr>
              <w:jc w:val="center"/>
              <w:ind w:right="60"/>
              <w:spacing w:after="0" w:line="156" w:lineRule="exact"/>
              <w:rPr>
                <w:sz w:val="20"/>
                <w:szCs w:val="20"/>
                <w:color w:val="auto"/>
              </w:rPr>
            </w:pPr>
            <w:r>
              <w:rPr>
                <w:rFonts w:ascii="Arial" w:cs="Arial" w:eastAsia="Arial" w:hAnsi="Arial"/>
                <w:sz w:val="16"/>
                <w:szCs w:val="16"/>
                <w:b w:val="1"/>
                <w:bCs w:val="1"/>
                <w:color w:val="auto"/>
                <w:w w:val="91"/>
              </w:rPr>
              <w:t>Interest at</w:t>
            </w:r>
          </w:p>
        </w:tc>
        <w:tc>
          <w:tcPr>
            <w:tcW w:w="260" w:type="dxa"/>
            <w:vAlign w:val="bottom"/>
          </w:tcPr>
          <w:p>
            <w:pPr>
              <w:spacing w:after="0"/>
              <w:rPr>
                <w:sz w:val="5"/>
                <w:szCs w:val="5"/>
                <w:color w:val="auto"/>
              </w:rPr>
            </w:pPr>
          </w:p>
        </w:tc>
        <w:tc>
          <w:tcPr>
            <w:tcW w:w="19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940" w:type="dxa"/>
            <w:vAlign w:val="bottom"/>
            <w:gridSpan w:val="4"/>
            <w:vMerge w:val="restart"/>
          </w:tcPr>
          <w:p>
            <w:pPr>
              <w:jc w:val="right"/>
              <w:ind w:right="54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tcPr>
          <w:p>
            <w:pPr>
              <w:jc w:val="center"/>
              <w:ind w:right="60"/>
              <w:spacing w:after="0" w:line="116" w:lineRule="exact"/>
              <w:rPr>
                <w:sz w:val="20"/>
                <w:szCs w:val="20"/>
                <w:color w:val="auto"/>
              </w:rPr>
            </w:pPr>
            <w:r>
              <w:rPr>
                <w:rFonts w:ascii="Arial" w:cs="Arial" w:eastAsia="Arial" w:hAnsi="Arial"/>
                <w:sz w:val="13"/>
                <w:szCs w:val="13"/>
                <w:b w:val="1"/>
                <w:bCs w:val="1"/>
                <w:color w:val="auto"/>
              </w:rPr>
              <w:t>December 31,</w:t>
            </w:r>
          </w:p>
        </w:tc>
        <w:tc>
          <w:tcPr>
            <w:tcW w:w="26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tcBorders>
              <w:bottom w:val="single" w:sz="8" w:color="auto"/>
            </w:tcBorders>
            <w:gridSpan w:val="2"/>
          </w:tcPr>
          <w:p>
            <w:pPr>
              <w:ind w:left="40"/>
              <w:spacing w:after="0" w:line="229" w:lineRule="exact"/>
              <w:rPr>
                <w:sz w:val="20"/>
                <w:szCs w:val="20"/>
                <w:color w:val="auto"/>
              </w:rPr>
            </w:pPr>
            <w:r>
              <w:rPr>
                <w:rFonts w:ascii="Arial" w:cs="Arial" w:eastAsia="Arial" w:hAnsi="Arial"/>
                <w:sz w:val="16"/>
                <w:szCs w:val="16"/>
                <w:b w:val="1"/>
                <w:bCs w:val="1"/>
                <w:color w:val="auto"/>
              </w:rPr>
              <w:t xml:space="preserve">Entity </w:t>
            </w:r>
            <w:r>
              <w:rPr>
                <w:rFonts w:ascii="Arial" w:cs="Arial" w:eastAsia="Arial" w:hAnsi="Arial"/>
                <w:sz w:val="20"/>
                <w:szCs w:val="20"/>
                <w:b w:val="1"/>
                <w:bCs w:val="1"/>
                <w:color w:val="auto"/>
                <w:vertAlign w:val="superscript"/>
              </w:rPr>
              <w:t>(1)</w:t>
            </w:r>
          </w:p>
        </w:tc>
        <w:tc>
          <w:tcPr>
            <w:tcW w:w="60" w:type="dxa"/>
            <w:vAlign w:val="bottom"/>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Type of Operation</w:t>
            </w:r>
          </w:p>
        </w:tc>
        <w:tc>
          <w:tcPr>
            <w:tcW w:w="60" w:type="dxa"/>
            <w:vAlign w:val="bottom"/>
          </w:tcPr>
          <w:p>
            <w:pPr>
              <w:spacing w:after="0"/>
              <w:rPr>
                <w:sz w:val="19"/>
                <w:szCs w:val="19"/>
                <w:color w:val="auto"/>
              </w:rPr>
            </w:pP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340" w:type="dxa"/>
            <w:vAlign w:val="bottom"/>
            <w:gridSpan w:val="2"/>
          </w:tcPr>
          <w:p>
            <w:pPr>
              <w:ind w:left="40"/>
              <w:spacing w:after="0"/>
              <w:rPr>
                <w:sz w:val="20"/>
                <w:szCs w:val="20"/>
                <w:color w:val="auto"/>
              </w:rPr>
            </w:pPr>
            <w:r>
              <w:rPr>
                <w:rFonts w:ascii="Arial" w:cs="Arial" w:eastAsia="Arial" w:hAnsi="Arial"/>
                <w:sz w:val="19"/>
                <w:szCs w:val="19"/>
                <w:color w:val="auto"/>
              </w:rPr>
              <w:t>BridgeTex Pipeline Company, LLC (“BridgeTex”)</w:t>
            </w:r>
          </w:p>
        </w:tc>
        <w:tc>
          <w:tcPr>
            <w:tcW w:w="60" w:type="dxa"/>
            <w:vAlign w:val="bottom"/>
          </w:tcPr>
          <w:p>
            <w:pPr>
              <w:spacing w:after="0"/>
              <w:rPr>
                <w:sz w:val="23"/>
                <w:szCs w:val="23"/>
                <w:color w:val="auto"/>
              </w:rPr>
            </w:pPr>
          </w:p>
        </w:tc>
        <w:tc>
          <w:tcPr>
            <w:tcW w:w="218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00" w:type="dxa"/>
            <w:vAlign w:val="bottom"/>
            <w:gridSpan w:val="2"/>
          </w:tcPr>
          <w:p>
            <w:pPr>
              <w:ind w:left="420"/>
              <w:spacing w:after="0"/>
              <w:rPr>
                <w:sz w:val="20"/>
                <w:szCs w:val="20"/>
                <w:color w:val="auto"/>
              </w:rPr>
            </w:pPr>
            <w:r>
              <w:rPr>
                <w:rFonts w:ascii="Arial" w:cs="Arial" w:eastAsia="Arial" w:hAnsi="Arial"/>
                <w:sz w:val="19"/>
                <w:szCs w:val="19"/>
                <w:color w:val="auto"/>
              </w:rPr>
              <w:t>20%</w:t>
            </w:r>
          </w:p>
        </w:tc>
        <w:tc>
          <w:tcPr>
            <w:tcW w:w="80" w:type="dxa"/>
            <w:vAlign w:val="bottom"/>
          </w:tcPr>
          <w:p>
            <w:pPr>
              <w:spacing w:after="0"/>
              <w:rPr>
                <w:sz w:val="23"/>
                <w:szCs w:val="23"/>
                <w:color w:val="auto"/>
              </w:rPr>
            </w:pPr>
          </w:p>
        </w:tc>
        <w:tc>
          <w:tcPr>
            <w:tcW w:w="260" w:type="dxa"/>
            <w:vAlign w:val="bottom"/>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363</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403</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4340" w:type="dxa"/>
            <w:vAlign w:val="bottom"/>
            <w:gridSpan w:val="2"/>
          </w:tcPr>
          <w:p>
            <w:pPr>
              <w:ind w:left="40"/>
              <w:spacing w:after="0"/>
              <w:rPr>
                <w:sz w:val="20"/>
                <w:szCs w:val="20"/>
                <w:color w:val="auto"/>
              </w:rPr>
            </w:pPr>
            <w:r>
              <w:rPr>
                <w:rFonts w:ascii="Arial" w:cs="Arial" w:eastAsia="Arial" w:hAnsi="Arial"/>
                <w:sz w:val="19"/>
                <w:szCs w:val="19"/>
                <w:color w:val="auto"/>
              </w:rPr>
              <w:t>Capline Pipeline Company LLC (“Capline”)</w:t>
            </w:r>
          </w:p>
        </w:tc>
        <w:tc>
          <w:tcPr>
            <w:tcW w:w="6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00" w:type="dxa"/>
            <w:vAlign w:val="bottom"/>
            <w:gridSpan w:val="2"/>
          </w:tcPr>
          <w:p>
            <w:pPr>
              <w:ind w:left="420"/>
              <w:spacing w:after="0"/>
              <w:rPr>
                <w:sz w:val="20"/>
                <w:szCs w:val="20"/>
                <w:color w:val="auto"/>
              </w:rPr>
            </w:pPr>
            <w:r>
              <w:rPr>
                <w:rFonts w:ascii="Arial" w:cs="Arial" w:eastAsia="Arial" w:hAnsi="Arial"/>
                <w:sz w:val="19"/>
                <w:szCs w:val="19"/>
                <w:color w:val="auto"/>
              </w:rPr>
              <w:t>54%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535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539</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4340" w:type="dxa"/>
            <w:vAlign w:val="bottom"/>
            <w:gridSpan w:val="2"/>
          </w:tcPr>
          <w:p>
            <w:pPr>
              <w:ind w:left="40"/>
              <w:spacing w:after="0"/>
              <w:rPr>
                <w:sz w:val="20"/>
                <w:szCs w:val="20"/>
                <w:color w:val="auto"/>
              </w:rPr>
            </w:pPr>
            <w:r>
              <w:rPr>
                <w:rFonts w:ascii="Arial" w:cs="Arial" w:eastAsia="Arial" w:hAnsi="Arial"/>
                <w:sz w:val="19"/>
                <w:szCs w:val="19"/>
                <w:color w:val="auto"/>
              </w:rPr>
              <w:t>Diamond Pipeline LLC</w:t>
            </w:r>
          </w:p>
        </w:tc>
        <w:tc>
          <w:tcPr>
            <w:tcW w:w="6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00" w:type="dxa"/>
            <w:vAlign w:val="bottom"/>
            <w:gridSpan w:val="2"/>
          </w:tcPr>
          <w:p>
            <w:pPr>
              <w:ind w:left="420"/>
              <w:spacing w:after="0"/>
              <w:rPr>
                <w:sz w:val="20"/>
                <w:szCs w:val="20"/>
                <w:color w:val="auto"/>
              </w:rPr>
            </w:pPr>
            <w:r>
              <w:rPr>
                <w:rFonts w:ascii="Arial" w:cs="Arial" w:eastAsia="Arial" w:hAnsi="Arial"/>
                <w:sz w:val="19"/>
                <w:szCs w:val="19"/>
                <w:color w:val="auto"/>
              </w:rPr>
              <w:t>50%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450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460</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4340" w:type="dxa"/>
            <w:vAlign w:val="bottom"/>
            <w:gridSpan w:val="2"/>
          </w:tcPr>
          <w:p>
            <w:pPr>
              <w:ind w:left="40"/>
              <w:spacing w:after="0"/>
              <w:rPr>
                <w:sz w:val="20"/>
                <w:szCs w:val="20"/>
                <w:color w:val="auto"/>
              </w:rPr>
            </w:pPr>
            <w:r>
              <w:rPr>
                <w:rFonts w:ascii="Arial" w:cs="Arial" w:eastAsia="Arial" w:hAnsi="Arial"/>
                <w:sz w:val="19"/>
                <w:szCs w:val="19"/>
                <w:color w:val="auto"/>
              </w:rPr>
              <w:t>Eagle Ford Pipeline LLC</w:t>
            </w:r>
          </w:p>
        </w:tc>
        <w:tc>
          <w:tcPr>
            <w:tcW w:w="6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00" w:type="dxa"/>
            <w:vAlign w:val="bottom"/>
            <w:gridSpan w:val="2"/>
          </w:tcPr>
          <w:p>
            <w:pPr>
              <w:ind w:left="420"/>
              <w:spacing w:after="0"/>
              <w:rPr>
                <w:sz w:val="20"/>
                <w:szCs w:val="20"/>
                <w:color w:val="auto"/>
              </w:rPr>
            </w:pPr>
            <w:r>
              <w:rPr>
                <w:rFonts w:ascii="Arial" w:cs="Arial" w:eastAsia="Arial" w:hAnsi="Arial"/>
                <w:sz w:val="19"/>
                <w:szCs w:val="19"/>
                <w:color w:val="auto"/>
              </w:rPr>
              <w:t>50%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370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vMerge w:val="restart"/>
          </w:tcPr>
          <w:p>
            <w:pPr>
              <w:ind w:left="40"/>
              <w:spacing w:after="0"/>
              <w:rPr>
                <w:sz w:val="20"/>
                <w:szCs w:val="20"/>
                <w:color w:val="auto"/>
              </w:rPr>
            </w:pPr>
            <w:r>
              <w:rPr>
                <w:rFonts w:ascii="Arial" w:cs="Arial" w:eastAsia="Arial" w:hAnsi="Arial"/>
                <w:sz w:val="19"/>
                <w:szCs w:val="19"/>
                <w:color w:val="auto"/>
              </w:rPr>
              <w:t>Eagle Ford Terminals Corpus Christi LLC</w:t>
            </w:r>
          </w:p>
        </w:tc>
        <w:tc>
          <w:tcPr>
            <w:tcW w:w="6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9"/>
                <w:szCs w:val="19"/>
                <w:color w:val="auto"/>
                <w:w w:val="94"/>
              </w:rPr>
              <w:t>Crude Oil Terminal and</w:t>
            </w:r>
          </w:p>
        </w:tc>
        <w:tc>
          <w:tcPr>
            <w:tcW w:w="1100" w:type="dxa"/>
            <w:vAlign w:val="bottom"/>
            <w:gridSpan w:val="2"/>
            <w:vMerge w:val="restart"/>
          </w:tcPr>
          <w:p>
            <w:pPr>
              <w:ind w:left="420"/>
              <w:spacing w:after="0"/>
              <w:rPr>
                <w:sz w:val="20"/>
                <w:szCs w:val="20"/>
                <w:color w:val="auto"/>
              </w:rPr>
            </w:pPr>
            <w:r>
              <w:rPr>
                <w:rFonts w:ascii="Arial" w:cs="Arial" w:eastAsia="Arial" w:hAnsi="Arial"/>
                <w:sz w:val="19"/>
                <w:szCs w:val="19"/>
                <w:color w:val="auto"/>
              </w:rPr>
              <w:t>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9"/>
                <w:szCs w:val="19"/>
                <w:color w:val="auto"/>
              </w:rPr>
              <w:t>116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9"/>
                <w:szCs w:val="19"/>
                <w:color w:val="auto"/>
              </w:rPr>
              <w:t>118</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3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180" w:type="dxa"/>
            <w:vAlign w:val="bottom"/>
          </w:tcPr>
          <w:p>
            <w:pPr>
              <w:jc w:val="center"/>
              <w:spacing w:after="0"/>
              <w:rPr>
                <w:sz w:val="20"/>
                <w:szCs w:val="20"/>
                <w:color w:val="auto"/>
              </w:rPr>
            </w:pPr>
            <w:r>
              <w:rPr>
                <w:rFonts w:ascii="Arial" w:cs="Arial" w:eastAsia="Arial" w:hAnsi="Arial"/>
                <w:sz w:val="19"/>
                <w:szCs w:val="19"/>
                <w:color w:val="auto"/>
                <w:w w:val="96"/>
              </w:rPr>
              <w:t>Dock</w:t>
            </w:r>
          </w:p>
        </w:tc>
        <w:tc>
          <w:tcPr>
            <w:tcW w:w="11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4340" w:type="dxa"/>
            <w:vAlign w:val="bottom"/>
            <w:gridSpan w:val="2"/>
          </w:tcPr>
          <w:p>
            <w:pPr>
              <w:ind w:left="40"/>
              <w:spacing w:after="0"/>
              <w:rPr>
                <w:sz w:val="20"/>
                <w:szCs w:val="20"/>
                <w:color w:val="auto"/>
              </w:rPr>
            </w:pPr>
            <w:r>
              <w:rPr>
                <w:rFonts w:ascii="Arial" w:cs="Arial" w:eastAsia="Arial" w:hAnsi="Arial"/>
                <w:sz w:val="19"/>
                <w:szCs w:val="19"/>
                <w:color w:val="auto"/>
              </w:rPr>
              <w:t xml:space="preserve">OMOG JV LLC (“OMOG”)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60" w:type="dxa"/>
            <w:vAlign w:val="bottom"/>
          </w:tcPr>
          <w:p>
            <w:pPr>
              <w:spacing w:after="0"/>
              <w:rPr>
                <w:sz w:val="24"/>
                <w:szCs w:val="24"/>
                <w:color w:val="auto"/>
              </w:rPr>
            </w:pPr>
          </w:p>
        </w:tc>
        <w:tc>
          <w:tcPr>
            <w:tcW w:w="1120" w:type="dxa"/>
            <w:vAlign w:val="bottom"/>
            <w:gridSpan w:val="2"/>
          </w:tcPr>
          <w:p>
            <w:pPr>
              <w:ind w:left="360"/>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211</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340" w:type="dxa"/>
            <w:vAlign w:val="bottom"/>
            <w:gridSpan w:val="2"/>
          </w:tcPr>
          <w:p>
            <w:pPr>
              <w:ind w:left="40"/>
              <w:spacing w:after="0"/>
              <w:rPr>
                <w:sz w:val="20"/>
                <w:szCs w:val="20"/>
                <w:color w:val="auto"/>
              </w:rPr>
            </w:pPr>
            <w:r>
              <w:rPr>
                <w:rFonts w:ascii="Arial" w:cs="Arial" w:eastAsia="Arial" w:hAnsi="Arial"/>
                <w:sz w:val="19"/>
                <w:szCs w:val="19"/>
                <w:color w:val="auto"/>
              </w:rPr>
              <w:t>Saddlehorn Pipeline Company, LLC</w:t>
            </w:r>
          </w:p>
        </w:tc>
        <w:tc>
          <w:tcPr>
            <w:tcW w:w="60" w:type="dxa"/>
            <w:vAlign w:val="bottom"/>
          </w:tcPr>
          <w:p>
            <w:pPr>
              <w:spacing w:after="0"/>
              <w:rPr>
                <w:sz w:val="22"/>
                <w:szCs w:val="22"/>
                <w:color w:val="auto"/>
              </w:rPr>
            </w:pPr>
          </w:p>
        </w:tc>
        <w:tc>
          <w:tcPr>
            <w:tcW w:w="218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00" w:type="dxa"/>
            <w:vAlign w:val="bottom"/>
            <w:gridSpan w:val="2"/>
          </w:tcPr>
          <w:p>
            <w:pPr>
              <w:ind w:left="420"/>
              <w:spacing w:after="0"/>
              <w:rPr>
                <w:sz w:val="20"/>
                <w:szCs w:val="20"/>
                <w:color w:val="auto"/>
              </w:rPr>
            </w:pPr>
            <w:r>
              <w:rPr>
                <w:rFonts w:ascii="Arial" w:cs="Arial" w:eastAsia="Arial" w:hAnsi="Arial"/>
                <w:sz w:val="19"/>
                <w:szCs w:val="19"/>
                <w:color w:val="auto"/>
              </w:rPr>
              <w:t>30%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192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197</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4340" w:type="dxa"/>
            <w:vAlign w:val="bottom"/>
            <w:gridSpan w:val="2"/>
          </w:tcPr>
          <w:p>
            <w:pPr>
              <w:ind w:left="40"/>
              <w:spacing w:after="0"/>
              <w:rPr>
                <w:sz w:val="20"/>
                <w:szCs w:val="20"/>
                <w:color w:val="auto"/>
              </w:rPr>
            </w:pPr>
            <w:r>
              <w:rPr>
                <w:rFonts w:ascii="Arial" w:cs="Arial" w:eastAsia="Arial" w:hAnsi="Arial"/>
                <w:sz w:val="19"/>
                <w:szCs w:val="19"/>
                <w:color w:val="auto"/>
              </w:rPr>
              <w:t>White Cliffs Pipeline, LLC</w:t>
            </w:r>
          </w:p>
        </w:tc>
        <w:tc>
          <w:tcPr>
            <w:tcW w:w="6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00" w:type="dxa"/>
            <w:vAlign w:val="bottom"/>
            <w:gridSpan w:val="2"/>
          </w:tcPr>
          <w:p>
            <w:pPr>
              <w:ind w:left="420"/>
              <w:spacing w:after="0"/>
              <w:rPr>
                <w:sz w:val="20"/>
                <w:szCs w:val="20"/>
                <w:color w:val="auto"/>
              </w:rPr>
            </w:pPr>
            <w:r>
              <w:rPr>
                <w:rFonts w:ascii="Arial" w:cs="Arial" w:eastAsia="Arial" w:hAnsi="Arial"/>
                <w:sz w:val="19"/>
                <w:szCs w:val="19"/>
                <w:color w:val="auto"/>
              </w:rPr>
              <w:t>36%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138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150</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340" w:type="dxa"/>
            <w:vAlign w:val="bottom"/>
            <w:gridSpan w:val="2"/>
          </w:tcPr>
          <w:p>
            <w:pPr>
              <w:ind w:left="40"/>
              <w:spacing w:after="0"/>
              <w:rPr>
                <w:sz w:val="20"/>
                <w:szCs w:val="20"/>
                <w:color w:val="auto"/>
              </w:rPr>
            </w:pPr>
            <w:r>
              <w:rPr>
                <w:rFonts w:ascii="Arial" w:cs="Arial" w:eastAsia="Arial" w:hAnsi="Arial"/>
                <w:sz w:val="19"/>
                <w:szCs w:val="19"/>
                <w:color w:val="auto"/>
              </w:rPr>
              <w:t xml:space="preserve">Wink to Webster Pipeline LLC (“W2W Pipeline”) </w:t>
            </w:r>
            <w:r>
              <w:rPr>
                <w:rFonts w:ascii="Arial" w:cs="Arial" w:eastAsia="Arial" w:hAnsi="Arial"/>
                <w:sz w:val="25"/>
                <w:szCs w:val="25"/>
                <w:color w:val="auto"/>
                <w:vertAlign w:val="superscript"/>
              </w:rPr>
              <w:t>(3)</w:t>
            </w:r>
          </w:p>
        </w:tc>
        <w:tc>
          <w:tcPr>
            <w:tcW w:w="6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9"/>
                <w:szCs w:val="19"/>
                <w:color w:val="auto"/>
                <w:w w:val="95"/>
              </w:rPr>
              <w:t>Crude Oil Pipeline</w:t>
            </w:r>
          </w:p>
        </w:tc>
        <w:tc>
          <w:tcPr>
            <w:tcW w:w="1100" w:type="dxa"/>
            <w:vAlign w:val="bottom"/>
            <w:gridSpan w:val="2"/>
          </w:tcPr>
          <w:p>
            <w:pPr>
              <w:ind w:left="420"/>
              <w:spacing w:after="0"/>
              <w:rPr>
                <w:sz w:val="20"/>
                <w:szCs w:val="20"/>
                <w:color w:val="auto"/>
              </w:rPr>
            </w:pPr>
            <w:r>
              <w:rPr>
                <w:rFonts w:ascii="Arial" w:cs="Arial" w:eastAsia="Arial" w:hAnsi="Arial"/>
                <w:sz w:val="19"/>
                <w:szCs w:val="19"/>
                <w:color w:val="auto"/>
              </w:rPr>
              <w:t>16%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380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357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40" w:type="dxa"/>
            <w:vAlign w:val="bottom"/>
            <w:gridSpan w:val="2"/>
          </w:tcPr>
          <w:p>
            <w:pPr>
              <w:ind w:left="40"/>
              <w:spacing w:after="0"/>
              <w:rPr>
                <w:sz w:val="20"/>
                <w:szCs w:val="20"/>
                <w:color w:val="auto"/>
              </w:rPr>
            </w:pPr>
            <w:r>
              <w:rPr>
                <w:rFonts w:ascii="Arial" w:cs="Arial" w:eastAsia="Arial" w:hAnsi="Arial"/>
                <w:sz w:val="19"/>
                <w:szCs w:val="19"/>
                <w:color w:val="auto"/>
              </w:rPr>
              <w:t>Other investments</w:t>
            </w:r>
          </w:p>
        </w:tc>
        <w:tc>
          <w:tcPr>
            <w:tcW w:w="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276</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278</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340" w:type="dxa"/>
            <w:vAlign w:val="bottom"/>
            <w:gridSpan w:val="2"/>
          </w:tcPr>
          <w:p>
            <w:pPr>
              <w:ind w:left="260"/>
              <w:spacing w:after="0"/>
              <w:rPr>
                <w:sz w:val="20"/>
                <w:szCs w:val="20"/>
                <w:color w:val="auto"/>
              </w:rPr>
            </w:pPr>
            <w:r>
              <w:rPr>
                <w:rFonts w:ascii="Arial" w:cs="Arial" w:eastAsia="Arial" w:hAnsi="Arial"/>
                <w:sz w:val="19"/>
                <w:szCs w:val="19"/>
                <w:color w:val="auto"/>
              </w:rPr>
              <w:t>Total Investments in Unconsolidated Entities</w:t>
            </w:r>
          </w:p>
        </w:tc>
        <w:tc>
          <w:tcPr>
            <w:tcW w:w="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ind w:right="2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2,820</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3,084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-2290445</wp:posOffset>
            </wp:positionV>
            <wp:extent cx="6358255" cy="2201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0">
                      <a:extLst>
                        <a:ext uri="{28A0092B-C50C-407E-A947-70E740481C1C}"/>
                      </a:extLst>
                    </a:blip>
                    <a:srcRect/>
                    <a:stretch>
                      <a:fillRect/>
                    </a:stretch>
                  </pic:blipFill>
                  <pic:spPr bwMode="auto">
                    <a:xfrm>
                      <a:off x="0" y="0"/>
                      <a:ext cx="6358255" cy="2201545"/>
                    </a:xfrm>
                    <a:prstGeom prst="rect">
                      <a:avLst/>
                    </a:prstGeom>
                    <a:noFill/>
                  </pic:spPr>
                </pic:pic>
              </a:graphicData>
            </a:graphic>
          </wp:anchor>
        </w:drawing>
      </w:r>
    </w:p>
    <w:p>
      <w:pPr>
        <w:sectPr>
          <w:pgSz w:w="11880" w:h="15480" w:orient="portrait"/>
          <w:cols w:equalWidth="0" w:num="1">
            <w:col w:w="10000"/>
          </w:cols>
          <w:pgMar w:left="940" w:top="431" w:right="940" w:bottom="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2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The financial results from these entities are reported in our Crude Oil segment.</w:t>
      </w:r>
    </w:p>
    <w:p>
      <w:pPr>
        <w:spacing w:after="0" w:line="132" w:lineRule="exact"/>
        <w:rPr>
          <w:sz w:val="20"/>
          <w:szCs w:val="20"/>
          <w:color w:val="auto"/>
        </w:rPr>
      </w:pPr>
    </w:p>
    <w:p>
      <w:pPr>
        <w:ind w:right="640"/>
        <w:spacing w:after="0" w:line="276" w:lineRule="auto"/>
        <w:rPr>
          <w:sz w:val="20"/>
          <w:szCs w:val="20"/>
          <w:color w:val="auto"/>
        </w:rPr>
      </w:pPr>
      <w:r>
        <w:rPr>
          <w:rFonts w:ascii="Arial" w:cs="Arial" w:eastAsia="Arial" w:hAnsi="Arial"/>
          <w:sz w:val="19"/>
          <w:szCs w:val="19"/>
          <w:color w:val="auto"/>
        </w:rPr>
        <w:t>In the third quarter of 2023, we acquired the remaining 43% interest in OMOG. We now reflect OMOG and its subsidiaries as consolidated subsidiaries in our Consolidated Financial Statements. See Note 7 for additional information.</w:t>
      </w:r>
    </w:p>
    <w:p>
      <w:pPr>
        <w:spacing w:after="0" w:line="65" w:lineRule="exact"/>
        <w:rPr>
          <w:sz w:val="20"/>
          <w:szCs w:val="20"/>
          <w:color w:val="auto"/>
        </w:rPr>
      </w:pPr>
    </w:p>
    <w:p>
      <w:pPr>
        <w:spacing w:after="0" w:line="295" w:lineRule="auto"/>
        <w:rPr>
          <w:sz w:val="20"/>
          <w:szCs w:val="20"/>
          <w:color w:val="auto"/>
        </w:rPr>
      </w:pPr>
      <w:r>
        <w:rPr>
          <w:rFonts w:ascii="Arial" w:cs="Arial" w:eastAsia="Arial" w:hAnsi="Arial"/>
          <w:sz w:val="19"/>
          <w:szCs w:val="19"/>
          <w:color w:val="auto"/>
        </w:rPr>
        <w:t>Although we own less than 20% of W2W Pipeline, we use the equity method to account for the investment because we believe we have significant influence over the financial and operating decisions of the company.</w:t>
      </w:r>
    </w:p>
    <w:p>
      <w:pPr>
        <w:spacing w:after="0" w:line="200" w:lineRule="exact"/>
        <w:rPr>
          <w:sz w:val="20"/>
          <w:szCs w:val="20"/>
          <w:color w:val="auto"/>
        </w:rPr>
      </w:pPr>
    </w:p>
    <w:p>
      <w:pPr>
        <w:sectPr>
          <w:pgSz w:w="11880" w:h="15480" w:orient="portrait"/>
          <w:cols w:equalWidth="0" w:num="2">
            <w:col w:w="140" w:space="560"/>
            <w:col w:w="9300"/>
          </w:cols>
          <w:pgMar w:left="940" w:top="431" w:right="940" w:bottom="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ectPr>
          <w:pgSz w:w="11880" w:h="15480" w:orient="portrait"/>
          <w:cols w:equalWidth="0" w:num="1">
            <w:col w:w="10000"/>
          </w:cols>
          <w:pgMar w:left="940" w:top="431" w:right="940" w:bottom="0"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Acquisitions</w:t>
      </w:r>
    </w:p>
    <w:p>
      <w:pPr>
        <w:spacing w:after="0" w:line="257" w:lineRule="exact"/>
        <w:rPr>
          <w:sz w:val="20"/>
          <w:szCs w:val="20"/>
          <w:color w:val="auto"/>
        </w:rPr>
      </w:pPr>
    </w:p>
    <w:p>
      <w:pPr>
        <w:ind w:right="40" w:firstLine="702"/>
        <w:spacing w:after="0" w:line="261" w:lineRule="auto"/>
        <w:rPr>
          <w:sz w:val="20"/>
          <w:szCs w:val="20"/>
          <w:color w:val="auto"/>
        </w:rPr>
      </w:pPr>
      <w:r>
        <w:rPr>
          <w:rFonts w:ascii="Arial" w:cs="Arial" w:eastAsia="Arial" w:hAnsi="Arial"/>
          <w:sz w:val="19"/>
          <w:szCs w:val="19"/>
          <w:color w:val="auto"/>
        </w:rPr>
        <w:t>During the fourth quarter of 2022, through a non-monetary transaction, we acquired an additional interest in OMOG in exchange for the contribution of portions of two pipeline systems. After the transaction, our ownership interest in OMOG increased to 57% from 40%. Subsequent to this transaction, we continued to account for OMOG as an equity method investment because the joint venture partner still retained substantive participating rights. The transaction resulted in a loss of approximately $25 million, which represents the difference between the fair value and historical book value of the assets contributed. This loss is reflected in “Gains/(losses) on investments in unconsolidated entities, net” on our Consolidated Statement of Operations. In the third quarter of 2023, we acquired the remaining 43% interest in OMOG. We now reflect OMOG and its subsidiaries as consolidated subsidiaries in our Consolidated Financial Statements. See Note 7 for additional information.</w:t>
      </w:r>
    </w:p>
    <w:p>
      <w:pPr>
        <w:spacing w:after="0" w:line="201" w:lineRule="exact"/>
        <w:rPr>
          <w:sz w:val="20"/>
          <w:szCs w:val="20"/>
          <w:color w:val="auto"/>
        </w:rPr>
      </w:pPr>
    </w:p>
    <w:p>
      <w:pPr>
        <w:ind w:right="580" w:firstLine="702"/>
        <w:spacing w:after="0" w:line="295" w:lineRule="auto"/>
        <w:rPr>
          <w:sz w:val="20"/>
          <w:szCs w:val="20"/>
          <w:color w:val="auto"/>
        </w:rPr>
      </w:pPr>
      <w:r>
        <w:rPr>
          <w:rFonts w:ascii="Arial" w:cs="Arial" w:eastAsia="Arial" w:hAnsi="Arial"/>
          <w:sz w:val="19"/>
          <w:szCs w:val="19"/>
          <w:color w:val="auto"/>
        </w:rPr>
        <w:t>In July 2022, we acquired the remaining 50% interest in Advantage. Prior to the acquisition, our 50% interest in Advantage was accounted for as an equity method investment. See Note 7 for additional information.</w:t>
      </w:r>
    </w:p>
    <w:p>
      <w:pPr>
        <w:spacing w:after="0" w:line="165" w:lineRule="exact"/>
        <w:rPr>
          <w:sz w:val="20"/>
          <w:szCs w:val="20"/>
          <w:color w:val="auto"/>
        </w:rPr>
      </w:pPr>
    </w:p>
    <w:p>
      <w:pPr>
        <w:ind w:right="180" w:firstLine="702"/>
        <w:spacing w:after="0" w:line="276" w:lineRule="auto"/>
        <w:rPr>
          <w:sz w:val="20"/>
          <w:szCs w:val="20"/>
          <w:color w:val="auto"/>
        </w:rPr>
      </w:pPr>
      <w:r>
        <w:rPr>
          <w:rFonts w:ascii="Arial" w:cs="Arial" w:eastAsia="Arial" w:hAnsi="Arial"/>
          <w:sz w:val="19"/>
          <w:szCs w:val="19"/>
          <w:color w:val="auto"/>
        </w:rPr>
        <w:t>In November 2022, we acquired an additional 5% interest in Cactus II which, combined with changes in governance, resulted in our obtaining control of the entity. We now reflect Cactus II as a consolidated subsidiary in our Consolidated Financial Statements. See Note 7 for additional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Distributions</w:t>
      </w:r>
    </w:p>
    <w:p>
      <w:pPr>
        <w:spacing w:after="0" w:line="257" w:lineRule="exact"/>
        <w:rPr>
          <w:sz w:val="20"/>
          <w:szCs w:val="20"/>
          <w:color w:val="auto"/>
        </w:rPr>
      </w:pPr>
    </w:p>
    <w:p>
      <w:pPr>
        <w:ind w:right="140" w:firstLine="702"/>
        <w:spacing w:after="0" w:line="282" w:lineRule="auto"/>
        <w:rPr>
          <w:sz w:val="20"/>
          <w:szCs w:val="20"/>
          <w:color w:val="auto"/>
        </w:rPr>
      </w:pPr>
      <w:r>
        <w:rPr>
          <w:rFonts w:ascii="Arial" w:cs="Arial" w:eastAsia="Arial" w:hAnsi="Arial"/>
          <w:sz w:val="18"/>
          <w:szCs w:val="18"/>
          <w:color w:val="auto"/>
        </w:rPr>
        <w:t>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Contributions</w:t>
      </w:r>
    </w:p>
    <w:p>
      <w:pPr>
        <w:spacing w:after="0" w:line="257" w:lineRule="exact"/>
        <w:rPr>
          <w:sz w:val="20"/>
          <w:szCs w:val="20"/>
          <w:color w:val="auto"/>
        </w:rPr>
      </w:pPr>
    </w:p>
    <w:p>
      <w:pPr>
        <w:ind w:right="40" w:firstLine="702"/>
        <w:spacing w:after="0" w:line="282" w:lineRule="auto"/>
        <w:rPr>
          <w:sz w:val="20"/>
          <w:szCs w:val="20"/>
          <w:color w:val="auto"/>
        </w:rPr>
      </w:pPr>
      <w:r>
        <w:rPr>
          <w:rFonts w:ascii="Arial" w:cs="Arial" w:eastAsia="Arial" w:hAnsi="Arial"/>
          <w:sz w:val="18"/>
          <w:szCs w:val="18"/>
          <w:color w:val="auto"/>
        </w:rPr>
        <w:t>We generally fund our portion of development, construction or capital investment projects of our equity method investees through capital contributions. During the years ended December 31, 2023, 2022 and 2021, we made cash contributions of $29 million, $13 million and $82 million, respectively, to certain of our equity method investees. We capitalize interest costs associated with contributions to unconsolidated entities for projects under development and construction. Our contributions to these entities (including capitalized interest costs) increase the carrying value of our investments and are reflected in our Consolidated Statements of Cash Flows as cash used in investing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Differences</w:t>
      </w:r>
    </w:p>
    <w:p>
      <w:pPr>
        <w:spacing w:after="0" w:line="257" w:lineRule="exact"/>
        <w:rPr>
          <w:sz w:val="20"/>
          <w:szCs w:val="20"/>
          <w:color w:val="auto"/>
        </w:rPr>
      </w:pPr>
    </w:p>
    <w:p>
      <w:pPr>
        <w:ind w:firstLine="702"/>
        <w:spacing w:after="0" w:line="279" w:lineRule="auto"/>
        <w:rPr>
          <w:sz w:val="20"/>
          <w:szCs w:val="20"/>
          <w:color w:val="auto"/>
        </w:rPr>
      </w:pPr>
      <w:r>
        <w:rPr>
          <w:rFonts w:ascii="Arial" w:cs="Arial" w:eastAsia="Arial" w:hAnsi="Arial"/>
          <w:sz w:val="18"/>
          <w:szCs w:val="18"/>
          <w:color w:val="auto"/>
        </w:rPr>
        <w:t>Our investments in unconsolidated entities exceeded our share of the underlying equity in the net assets of such entities by $229 million and $204 million at December 31, 2023 and 2022,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majority of the basis difference at both December 31, 2023 and 2022 was attributable to goodwill related to our ownership interest in BridgeTex and Capline with the remaining basis difference primarily related to capitalized interest incurred during construction of the assets of our unconsolidated entities.</w:t>
      </w:r>
    </w:p>
    <w:p>
      <w:pPr>
        <w:sectPr>
          <w:pgSz w:w="11880" w:h="15480" w:orient="portrait"/>
          <w:cols w:equalWidth="0" w:num="1">
            <w:col w:w="10000"/>
          </w:cols>
          <w:pgMar w:left="940" w:top="43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880" w:h="15480" w:orient="portrait"/>
          <w:cols w:equalWidth="0" w:num="1">
            <w:col w:w="10000"/>
          </w:cols>
          <w:pgMar w:left="940" w:top="432" w:right="940" w:bottom="0"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Summarized Financial Information of Unconsolidated Entities</w:t>
      </w:r>
    </w:p>
    <w:p>
      <w:pPr>
        <w:spacing w:after="0" w:line="257" w:lineRule="exact"/>
        <w:rPr>
          <w:sz w:val="20"/>
          <w:szCs w:val="20"/>
          <w:color w:val="auto"/>
        </w:rPr>
      </w:pPr>
    </w:p>
    <w:p>
      <w:pPr>
        <w:ind w:right="400" w:firstLine="702"/>
        <w:spacing w:after="0" w:line="295" w:lineRule="auto"/>
        <w:rPr>
          <w:sz w:val="20"/>
          <w:szCs w:val="20"/>
          <w:color w:val="auto"/>
        </w:rPr>
      </w:pPr>
      <w:r>
        <w:rPr>
          <w:rFonts w:ascii="Arial" w:cs="Arial" w:eastAsia="Arial" w:hAnsi="Arial"/>
          <w:sz w:val="19"/>
          <w:szCs w:val="19"/>
          <w:color w:val="auto"/>
        </w:rPr>
        <w:t>Combined summarized financial information for all of our unconsolidated entities is shown in the tables below (in millions). None of our unconsolidated entities have noncontrolling interests.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29"/>
        </w:trPr>
        <w:tc>
          <w:tcPr>
            <w:tcW w:w="5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w w:val="89"/>
              </w:rPr>
              <w:t>2022</w:t>
            </w:r>
          </w:p>
        </w:tc>
      </w:tr>
      <w:tr>
        <w:trPr>
          <w:trHeight w:val="269"/>
        </w:trPr>
        <w:tc>
          <w:tcPr>
            <w:tcW w:w="5980" w:type="dxa"/>
            <w:vAlign w:val="bottom"/>
          </w:tcPr>
          <w:p>
            <w:pPr>
              <w:spacing w:after="0"/>
              <w:rPr>
                <w:sz w:val="20"/>
                <w:szCs w:val="20"/>
                <w:color w:val="auto"/>
              </w:rPr>
            </w:pPr>
            <w:r>
              <w:rPr>
                <w:rFonts w:ascii="Arial" w:cs="Arial" w:eastAsia="Arial" w:hAnsi="Arial"/>
                <w:sz w:val="19"/>
                <w:szCs w:val="19"/>
                <w:color w:val="auto"/>
              </w:rPr>
              <w:t>Current assets</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528</w:t>
            </w:r>
          </w:p>
        </w:tc>
        <w:tc>
          <w:tcPr>
            <w:tcW w:w="5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471</w:t>
            </w:r>
          </w:p>
        </w:tc>
      </w:tr>
      <w:tr>
        <w:trPr>
          <w:trHeight w:val="292"/>
        </w:trPr>
        <w:tc>
          <w:tcPr>
            <w:tcW w:w="5980" w:type="dxa"/>
            <w:vAlign w:val="bottom"/>
          </w:tcPr>
          <w:p>
            <w:pPr>
              <w:spacing w:after="0"/>
              <w:rPr>
                <w:sz w:val="20"/>
                <w:szCs w:val="20"/>
                <w:color w:val="auto"/>
              </w:rPr>
            </w:pPr>
            <w:r>
              <w:rPr>
                <w:rFonts w:ascii="Arial" w:cs="Arial" w:eastAsia="Arial" w:hAnsi="Arial"/>
                <w:sz w:val="19"/>
                <w:szCs w:val="19"/>
                <w:color w:val="auto"/>
              </w:rPr>
              <w:t>Noncurrent assets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7,194</w:t>
            </w:r>
          </w:p>
        </w:tc>
        <w:tc>
          <w:tcPr>
            <w:tcW w:w="5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7,579</w:t>
            </w:r>
          </w:p>
        </w:tc>
      </w:tr>
      <w:tr>
        <w:trPr>
          <w:trHeight w:val="292"/>
        </w:trPr>
        <w:tc>
          <w:tcPr>
            <w:tcW w:w="5980" w:type="dxa"/>
            <w:vAlign w:val="bottom"/>
          </w:tcPr>
          <w:p>
            <w:pPr>
              <w:spacing w:after="0"/>
              <w:rPr>
                <w:sz w:val="20"/>
                <w:szCs w:val="20"/>
                <w:color w:val="auto"/>
              </w:rPr>
            </w:pPr>
            <w:r>
              <w:rPr>
                <w:rFonts w:ascii="Arial" w:cs="Arial" w:eastAsia="Arial" w:hAnsi="Arial"/>
                <w:sz w:val="19"/>
                <w:szCs w:val="19"/>
                <w:color w:val="auto"/>
              </w:rPr>
              <w:t>Current liabilities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476</w:t>
            </w:r>
          </w:p>
        </w:tc>
        <w:tc>
          <w:tcPr>
            <w:tcW w:w="5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252</w:t>
            </w:r>
          </w:p>
        </w:tc>
      </w:tr>
      <w:tr>
        <w:trPr>
          <w:trHeight w:val="292"/>
        </w:trPr>
        <w:tc>
          <w:tcPr>
            <w:tcW w:w="5980" w:type="dxa"/>
            <w:vAlign w:val="bottom"/>
          </w:tcPr>
          <w:p>
            <w:pPr>
              <w:spacing w:after="0"/>
              <w:rPr>
                <w:sz w:val="20"/>
                <w:szCs w:val="20"/>
                <w:color w:val="auto"/>
              </w:rPr>
            </w:pPr>
            <w:r>
              <w:rPr>
                <w:rFonts w:ascii="Arial" w:cs="Arial" w:eastAsia="Arial" w:hAnsi="Arial"/>
                <w:sz w:val="19"/>
                <w:szCs w:val="19"/>
                <w:color w:val="auto"/>
              </w:rPr>
              <w:t>Noncurrent liabilities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5</w:t>
            </w:r>
          </w:p>
        </w:tc>
        <w:tc>
          <w:tcPr>
            <w:tcW w:w="5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583"/>
        </w:trPr>
        <w:tc>
          <w:tcPr>
            <w:tcW w:w="59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6"/>
                <w:szCs w:val="16"/>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r>
      <w:tr>
        <w:trPr>
          <w:trHeight w:val="229"/>
        </w:trPr>
        <w:tc>
          <w:tcPr>
            <w:tcW w:w="59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w w:val="89"/>
              </w:rPr>
              <w:t>2021</w:t>
            </w:r>
          </w:p>
        </w:tc>
      </w:tr>
      <w:tr>
        <w:trPr>
          <w:trHeight w:val="269"/>
        </w:trPr>
        <w:tc>
          <w:tcPr>
            <w:tcW w:w="5980" w:type="dxa"/>
            <w:vAlign w:val="bottom"/>
          </w:tcPr>
          <w:p>
            <w:pPr>
              <w:spacing w:after="0"/>
              <w:rPr>
                <w:sz w:val="20"/>
                <w:szCs w:val="20"/>
                <w:color w:val="auto"/>
              </w:rPr>
            </w:pPr>
            <w:r>
              <w:rPr>
                <w:rFonts w:ascii="Arial" w:cs="Arial" w:eastAsia="Arial" w:hAnsi="Arial"/>
                <w:sz w:val="19"/>
                <w:szCs w:val="19"/>
                <w:color w:val="auto"/>
              </w:rPr>
              <w:t>Revenues</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1,667</w:t>
            </w:r>
          </w:p>
        </w:tc>
        <w:tc>
          <w:tcPr>
            <w:tcW w:w="80" w:type="dxa"/>
            <w:vAlign w:val="bottom"/>
          </w:tcPr>
          <w:p>
            <w:pPr>
              <w:spacing w:after="0"/>
              <w:rPr>
                <w:sz w:val="23"/>
                <w:szCs w:val="23"/>
                <w:color w:val="auto"/>
              </w:rPr>
            </w:pP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1,726</w:t>
            </w:r>
          </w:p>
        </w:tc>
        <w:tc>
          <w:tcPr>
            <w:tcW w:w="5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1,320</w:t>
            </w:r>
          </w:p>
        </w:tc>
      </w:tr>
      <w:tr>
        <w:trPr>
          <w:trHeight w:val="292"/>
        </w:trPr>
        <w:tc>
          <w:tcPr>
            <w:tcW w:w="5980" w:type="dxa"/>
            <w:vAlign w:val="bottom"/>
          </w:tcPr>
          <w:p>
            <w:pPr>
              <w:spacing w:after="0"/>
              <w:rPr>
                <w:sz w:val="20"/>
                <w:szCs w:val="20"/>
                <w:color w:val="auto"/>
              </w:rPr>
            </w:pPr>
            <w:r>
              <w:rPr>
                <w:rFonts w:ascii="Arial" w:cs="Arial" w:eastAsia="Arial" w:hAnsi="Arial"/>
                <w:sz w:val="19"/>
                <w:szCs w:val="19"/>
                <w:color w:val="auto"/>
              </w:rPr>
              <w:t>Operating income</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921</w:t>
            </w:r>
          </w:p>
        </w:tc>
        <w:tc>
          <w:tcPr>
            <w:tcW w:w="80" w:type="dxa"/>
            <w:vAlign w:val="bottom"/>
          </w:tcPr>
          <w:p>
            <w:pPr>
              <w:spacing w:after="0"/>
              <w:rPr>
                <w:sz w:val="24"/>
                <w:szCs w:val="24"/>
                <w:color w:val="auto"/>
              </w:rPr>
            </w:pP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1,004</w:t>
            </w:r>
          </w:p>
        </w:tc>
        <w:tc>
          <w:tcPr>
            <w:tcW w:w="5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505</w:t>
            </w:r>
          </w:p>
        </w:tc>
      </w:tr>
      <w:tr>
        <w:trPr>
          <w:trHeight w:val="292"/>
        </w:trPr>
        <w:tc>
          <w:tcPr>
            <w:tcW w:w="5980" w:type="dxa"/>
            <w:vAlign w:val="bottom"/>
          </w:tcPr>
          <w:p>
            <w:pPr>
              <w:spacing w:after="0"/>
              <w:rPr>
                <w:sz w:val="20"/>
                <w:szCs w:val="20"/>
                <w:color w:val="auto"/>
              </w:rPr>
            </w:pPr>
            <w:r>
              <w:rPr>
                <w:rFonts w:ascii="Arial" w:cs="Arial" w:eastAsia="Arial" w:hAnsi="Arial"/>
                <w:sz w:val="19"/>
                <w:szCs w:val="19"/>
                <w:color w:val="auto"/>
              </w:rPr>
              <w:t>Net income</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947</w:t>
            </w:r>
          </w:p>
        </w:tc>
        <w:tc>
          <w:tcPr>
            <w:tcW w:w="80" w:type="dxa"/>
            <w:vAlign w:val="bottom"/>
          </w:tcPr>
          <w:p>
            <w:pPr>
              <w:spacing w:after="0"/>
              <w:rPr>
                <w:sz w:val="24"/>
                <w:szCs w:val="24"/>
                <w:color w:val="auto"/>
              </w:rPr>
            </w:pP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1,011</w:t>
            </w:r>
          </w:p>
        </w:tc>
        <w:tc>
          <w:tcPr>
            <w:tcW w:w="5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-1830070</wp:posOffset>
            </wp:positionV>
            <wp:extent cx="6367145" cy="768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1">
                      <a:extLst>
                        <a:ext uri="{28A0092B-C50C-407E-A947-70E740481C1C}"/>
                      </a:extLst>
                    </a:blip>
                    <a:srcRect/>
                    <a:stretch>
                      <a:fillRect/>
                    </a:stretch>
                  </pic:blipFill>
                  <pic:spPr bwMode="auto">
                    <a:xfrm>
                      <a:off x="0" y="0"/>
                      <a:ext cx="6367145" cy="768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-560705</wp:posOffset>
            </wp:positionV>
            <wp:extent cx="6367145" cy="5822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2">
                      <a:extLst>
                        <a:ext uri="{28A0092B-C50C-407E-A947-70E740481C1C}"/>
                      </a:extLst>
                    </a:blip>
                    <a:srcRect/>
                    <a:stretch>
                      <a:fillRect/>
                    </a:stretch>
                  </pic:blipFill>
                  <pic:spPr bwMode="auto">
                    <a:xfrm>
                      <a:off x="0" y="0"/>
                      <a:ext cx="6367145" cy="582295"/>
                    </a:xfrm>
                    <a:prstGeom prst="rect">
                      <a:avLst/>
                    </a:prstGeom>
                    <a:noFill/>
                  </pic:spPr>
                </pic:pic>
              </a:graphicData>
            </a:graphic>
          </wp:anchor>
        </w:drawing>
      </w:r>
    </w:p>
    <w:p>
      <w:pPr>
        <w:sectPr>
          <w:pgSz w:w="11880" w:h="15480" w:orient="portrait"/>
          <w:cols w:equalWidth="0" w:num="1">
            <w:col w:w="10000"/>
          </w:cols>
          <w:pgMar w:left="940" w:top="43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ectPr>
          <w:pgSz w:w="11880" w:h="15480" w:orient="portrait"/>
          <w:cols w:equalWidth="0" w:num="1">
            <w:col w:w="10000"/>
          </w:cols>
          <w:pgMar w:left="940" w:top="432" w:right="940" w:bottom="0" w:gutter="0" w:footer="0" w:header="0"/>
          <w:type w:val="continuous"/>
        </w:sectPr>
      </w:pPr>
    </w:p>
    <w:bookmarkStart w:id="133" w:name="page134"/>
    <w:bookmarkEnd w:id="133"/>
    <w:p>
      <w:pPr>
        <w:jc w:val="center"/>
        <w:ind w:right="-20"/>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2"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Note 9—Intangible Assets, Net</w:t>
      </w:r>
    </w:p>
    <w:p>
      <w:pPr>
        <w:spacing w:after="0" w:line="257" w:lineRule="exact"/>
        <w:rPr>
          <w:sz w:val="20"/>
          <w:szCs w:val="20"/>
          <w:color w:val="auto"/>
        </w:rPr>
      </w:pPr>
    </w:p>
    <w:p>
      <w:pPr>
        <w:ind w:left="701"/>
        <w:spacing w:after="0"/>
        <w:rPr>
          <w:sz w:val="20"/>
          <w:szCs w:val="20"/>
          <w:color w:val="auto"/>
        </w:rPr>
      </w:pPr>
      <w:r>
        <w:rPr>
          <w:rFonts w:ascii="Arial" w:cs="Arial" w:eastAsia="Arial" w:hAnsi="Arial"/>
          <w:sz w:val="19"/>
          <w:szCs w:val="19"/>
          <w:color w:val="auto"/>
        </w:rPr>
        <w:t>Intangible assets, net of accumulated amortization, consisted of the following (in millions):</w:t>
      </w:r>
    </w:p>
    <w:p>
      <w:pPr>
        <w:spacing w:after="0" w:line="337" w:lineRule="exact"/>
        <w:rPr>
          <w:sz w:val="20"/>
          <w:szCs w:val="20"/>
          <w:color w:val="auto"/>
        </w:rPr>
      </w:pPr>
    </w:p>
    <w:tbl>
      <w:tblPr>
        <w:tblLayout w:type="fixed"/>
        <w:tblInd w:w="61" w:type="dxa"/>
        <w:tblCellMar>
          <w:top w:w="0" w:type="dxa"/>
          <w:left w:w="0" w:type="dxa"/>
          <w:bottom w:w="0" w:type="dxa"/>
          <w:right w:w="0" w:type="dxa"/>
        </w:tblCellMar>
      </w:tblPr>
      <w:tr>
        <w:trPr>
          <w:trHeight w:val="212"/>
        </w:trPr>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7"/>
              </w:rPr>
              <w:t>December 31, 2023</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7"/>
              </w:rPr>
              <w:t>December 31, 2022</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580" w:type="dxa"/>
            <w:vAlign w:val="bottom"/>
          </w:tcPr>
          <w:p>
            <w:pPr>
              <w:spacing w:after="0"/>
              <w:rPr>
                <w:sz w:val="15"/>
                <w:szCs w:val="15"/>
                <w:color w:val="auto"/>
              </w:rPr>
            </w:pPr>
          </w:p>
        </w:tc>
        <w:tc>
          <w:tcPr>
            <w:tcW w:w="1340" w:type="dxa"/>
            <w:vAlign w:val="bottom"/>
            <w:gridSpan w:val="2"/>
          </w:tcPr>
          <w:p>
            <w:pPr>
              <w:jc w:val="center"/>
              <w:ind w:right="80"/>
              <w:spacing w:after="0" w:line="181" w:lineRule="exact"/>
              <w:rPr>
                <w:sz w:val="20"/>
                <w:szCs w:val="20"/>
                <w:color w:val="auto"/>
              </w:rPr>
            </w:pPr>
            <w:r>
              <w:rPr>
                <w:rFonts w:ascii="Arial" w:cs="Arial" w:eastAsia="Arial" w:hAnsi="Arial"/>
                <w:sz w:val="16"/>
                <w:szCs w:val="16"/>
                <w:b w:val="1"/>
                <w:bCs w:val="1"/>
                <w:color w:val="auto"/>
                <w:w w:val="87"/>
              </w:rPr>
              <w:t>Estimated Useful</w:t>
            </w:r>
          </w:p>
        </w:tc>
        <w:tc>
          <w:tcPr>
            <w:tcW w:w="220" w:type="dxa"/>
            <w:vAlign w:val="bottom"/>
          </w:tcPr>
          <w:p>
            <w:pPr>
              <w:spacing w:after="0"/>
              <w:rPr>
                <w:sz w:val="15"/>
                <w:szCs w:val="15"/>
                <w:color w:val="auto"/>
              </w:rPr>
            </w:pPr>
          </w:p>
        </w:tc>
        <w:tc>
          <w:tcPr>
            <w:tcW w:w="600" w:type="dxa"/>
            <w:vAlign w:val="bottom"/>
            <w:vMerge w:val="restart"/>
          </w:tcPr>
          <w:p>
            <w:pPr>
              <w:jc w:val="right"/>
              <w:ind w:right="147"/>
              <w:spacing w:after="0"/>
              <w:rPr>
                <w:sz w:val="20"/>
                <w:szCs w:val="20"/>
                <w:color w:val="auto"/>
              </w:rPr>
            </w:pPr>
            <w:r>
              <w:rPr>
                <w:rFonts w:ascii="Arial" w:cs="Arial" w:eastAsia="Arial" w:hAnsi="Arial"/>
                <w:sz w:val="16"/>
                <w:szCs w:val="16"/>
                <w:b w:val="1"/>
                <w:bCs w:val="1"/>
                <w:color w:val="auto"/>
                <w:w w:val="95"/>
              </w:rPr>
              <w:t>Cost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4"/>
          </w:tcPr>
          <w:p>
            <w:pPr>
              <w:jc w:val="center"/>
              <w:ind w:right="100"/>
              <w:spacing w:after="0" w:line="181" w:lineRule="exact"/>
              <w:rPr>
                <w:sz w:val="20"/>
                <w:szCs w:val="20"/>
                <w:color w:val="auto"/>
              </w:rPr>
            </w:pPr>
            <w:r>
              <w:rPr>
                <w:rFonts w:ascii="Arial" w:cs="Arial" w:eastAsia="Arial" w:hAnsi="Arial"/>
                <w:sz w:val="16"/>
                <w:szCs w:val="16"/>
                <w:b w:val="1"/>
                <w:bCs w:val="1"/>
                <w:color w:val="auto"/>
                <w:w w:val="87"/>
              </w:rPr>
              <w:t>Accumulated</w:t>
            </w:r>
          </w:p>
        </w:tc>
        <w:tc>
          <w:tcPr>
            <w:tcW w:w="200" w:type="dxa"/>
            <w:vAlign w:val="bottom"/>
          </w:tcPr>
          <w:p>
            <w:pPr>
              <w:spacing w:after="0"/>
              <w:rPr>
                <w:sz w:val="15"/>
                <w:szCs w:val="15"/>
                <w:color w:val="auto"/>
              </w:rPr>
            </w:pPr>
          </w:p>
        </w:tc>
        <w:tc>
          <w:tcPr>
            <w:tcW w:w="640" w:type="dxa"/>
            <w:vAlign w:val="bottom"/>
            <w:vMerge w:val="restart"/>
          </w:tcPr>
          <w:p>
            <w:pPr>
              <w:jc w:val="right"/>
              <w:ind w:right="227"/>
              <w:spacing w:after="0"/>
              <w:rPr>
                <w:sz w:val="20"/>
                <w:szCs w:val="20"/>
                <w:color w:val="auto"/>
              </w:rPr>
            </w:pPr>
            <w:r>
              <w:rPr>
                <w:rFonts w:ascii="Arial" w:cs="Arial" w:eastAsia="Arial" w:hAnsi="Arial"/>
                <w:sz w:val="16"/>
                <w:szCs w:val="16"/>
                <w:b w:val="1"/>
                <w:bCs w:val="1"/>
                <w:color w:val="auto"/>
              </w:rPr>
              <w:t>Net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jc w:val="right"/>
              <w:ind w:right="147"/>
              <w:spacing w:after="0"/>
              <w:rPr>
                <w:sz w:val="20"/>
                <w:szCs w:val="20"/>
                <w:color w:val="auto"/>
              </w:rPr>
            </w:pPr>
            <w:r>
              <w:rPr>
                <w:rFonts w:ascii="Arial" w:cs="Arial" w:eastAsia="Arial" w:hAnsi="Arial"/>
                <w:sz w:val="16"/>
                <w:szCs w:val="16"/>
                <w:b w:val="1"/>
                <w:bCs w:val="1"/>
                <w:color w:val="auto"/>
                <w:w w:val="95"/>
              </w:rPr>
              <w:t>Cost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4"/>
          </w:tcPr>
          <w:p>
            <w:pPr>
              <w:jc w:val="center"/>
              <w:ind w:right="100"/>
              <w:spacing w:after="0" w:line="181" w:lineRule="exact"/>
              <w:rPr>
                <w:sz w:val="20"/>
                <w:szCs w:val="20"/>
                <w:color w:val="auto"/>
              </w:rPr>
            </w:pPr>
            <w:r>
              <w:rPr>
                <w:rFonts w:ascii="Arial" w:cs="Arial" w:eastAsia="Arial" w:hAnsi="Arial"/>
                <w:sz w:val="16"/>
                <w:szCs w:val="16"/>
                <w:b w:val="1"/>
                <w:bCs w:val="1"/>
                <w:color w:val="auto"/>
                <w:w w:val="87"/>
              </w:rPr>
              <w:t>Accumulated</w:t>
            </w:r>
          </w:p>
        </w:tc>
        <w:tc>
          <w:tcPr>
            <w:tcW w:w="200" w:type="dxa"/>
            <w:vAlign w:val="bottom"/>
          </w:tcPr>
          <w:p>
            <w:pPr>
              <w:spacing w:after="0"/>
              <w:rPr>
                <w:sz w:val="15"/>
                <w:szCs w:val="15"/>
                <w:color w:val="auto"/>
              </w:rPr>
            </w:pPr>
          </w:p>
        </w:tc>
        <w:tc>
          <w:tcPr>
            <w:tcW w:w="640" w:type="dxa"/>
            <w:vAlign w:val="bottom"/>
            <w:vMerge w:val="restart"/>
          </w:tcPr>
          <w:p>
            <w:pPr>
              <w:jc w:val="right"/>
              <w:ind w:right="227"/>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09"/>
        </w:trPr>
        <w:tc>
          <w:tcPr>
            <w:tcW w:w="25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Lives (Years)</w:t>
            </w:r>
          </w:p>
        </w:tc>
        <w:tc>
          <w:tcPr>
            <w:tcW w:w="2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89"/>
              </w:rPr>
              <w:t>Amortization</w:t>
            </w:r>
          </w:p>
        </w:tc>
        <w:tc>
          <w:tcPr>
            <w:tcW w:w="2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89"/>
              </w:rPr>
              <w:t>Amortization</w:t>
            </w:r>
          </w:p>
        </w:tc>
        <w:tc>
          <w:tcPr>
            <w:tcW w:w="2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80" w:type="dxa"/>
            <w:vAlign w:val="bottom"/>
          </w:tcPr>
          <w:p>
            <w:pPr>
              <w:spacing w:after="0" w:line="198" w:lineRule="exact"/>
              <w:rPr>
                <w:sz w:val="20"/>
                <w:szCs w:val="20"/>
                <w:color w:val="auto"/>
              </w:rPr>
            </w:pPr>
            <w:r>
              <w:rPr>
                <w:rFonts w:ascii="Arial" w:cs="Arial" w:eastAsia="Arial" w:hAnsi="Arial"/>
                <w:sz w:val="19"/>
                <w:szCs w:val="19"/>
                <w:color w:val="auto"/>
              </w:rPr>
              <w:t>Customer contracts and</w:t>
            </w:r>
          </w:p>
        </w:tc>
        <w:tc>
          <w:tcPr>
            <w:tcW w:w="1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580" w:type="dxa"/>
            <w:vAlign w:val="bottom"/>
          </w:tcPr>
          <w:p>
            <w:pPr>
              <w:ind w:left="180"/>
              <w:spacing w:after="0"/>
              <w:rPr>
                <w:sz w:val="20"/>
                <w:szCs w:val="20"/>
                <w:color w:val="auto"/>
              </w:rPr>
            </w:pPr>
            <w:r>
              <w:rPr>
                <w:rFonts w:ascii="Arial" w:cs="Arial" w:eastAsia="Arial" w:hAnsi="Arial"/>
                <w:sz w:val="19"/>
                <w:szCs w:val="19"/>
                <w:color w:val="auto"/>
              </w:rPr>
              <w:t>relationships</w:t>
            </w:r>
          </w:p>
        </w:tc>
        <w:tc>
          <w:tcPr>
            <w:tcW w:w="1340" w:type="dxa"/>
            <w:vAlign w:val="bottom"/>
            <w:gridSpan w:val="2"/>
          </w:tcPr>
          <w:p>
            <w:pPr>
              <w:jc w:val="center"/>
              <w:ind w:right="80"/>
              <w:spacing w:after="0"/>
              <w:rPr>
                <w:sz w:val="20"/>
                <w:szCs w:val="20"/>
                <w:color w:val="auto"/>
              </w:rPr>
            </w:pPr>
            <w:r>
              <w:rPr>
                <w:rFonts w:ascii="Arial" w:cs="Arial" w:eastAsia="Arial" w:hAnsi="Arial"/>
                <w:sz w:val="19"/>
                <w:szCs w:val="19"/>
                <w:color w:val="auto"/>
                <w:w w:val="94"/>
              </w:rPr>
              <w:t>1 – 29</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2,789</w:t>
            </w:r>
          </w:p>
        </w:tc>
        <w:tc>
          <w:tcPr>
            <w:tcW w:w="520" w:type="dxa"/>
            <w:vAlign w:val="bottom"/>
            <w:gridSpan w:val="3"/>
          </w:tcPr>
          <w:p>
            <w:pPr>
              <w:jc w:val="right"/>
              <w:ind w:right="162"/>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(932)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1,857</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2,817</w:t>
            </w:r>
          </w:p>
        </w:tc>
        <w:tc>
          <w:tcPr>
            <w:tcW w:w="520" w:type="dxa"/>
            <w:vAlign w:val="bottom"/>
            <w:gridSpan w:val="3"/>
          </w:tcPr>
          <w:p>
            <w:pPr>
              <w:jc w:val="right"/>
              <w:ind w:right="162"/>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(695)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2,122</w:t>
            </w: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0"/>
                <w:szCs w:val="20"/>
                <w:color w:val="auto"/>
              </w:rPr>
            </w:pPr>
            <w:r>
              <w:rPr>
                <w:rFonts w:ascii="Arial" w:cs="Arial" w:eastAsia="Arial" w:hAnsi="Arial"/>
                <w:sz w:val="19"/>
                <w:szCs w:val="19"/>
                <w:color w:val="auto"/>
              </w:rPr>
              <w:t>Other agreements</w:t>
            </w:r>
          </w:p>
        </w:tc>
        <w:tc>
          <w:tcPr>
            <w:tcW w:w="1340" w:type="dxa"/>
            <w:vAlign w:val="bottom"/>
            <w:gridSpan w:val="2"/>
          </w:tcPr>
          <w:p>
            <w:pPr>
              <w:jc w:val="center"/>
              <w:ind w:right="80"/>
              <w:spacing w:after="0"/>
              <w:rPr>
                <w:sz w:val="20"/>
                <w:szCs w:val="20"/>
                <w:color w:val="auto"/>
              </w:rPr>
            </w:pPr>
            <w:r>
              <w:rPr>
                <w:rFonts w:ascii="Arial" w:cs="Arial" w:eastAsia="Arial" w:hAnsi="Arial"/>
                <w:sz w:val="19"/>
                <w:szCs w:val="19"/>
                <w:color w:val="auto"/>
                <w:w w:val="91"/>
              </w:rPr>
              <w:t>15 – 70</w:t>
            </w: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w:t>
            </w:r>
          </w:p>
        </w:tc>
        <w:tc>
          <w:tcPr>
            <w:tcW w:w="0" w:type="dxa"/>
            <w:vAlign w:val="bottom"/>
          </w:tcPr>
          <w:p>
            <w:pPr>
              <w:spacing w:after="0"/>
              <w:rPr>
                <w:sz w:val="1"/>
                <w:szCs w:val="1"/>
                <w:color w:val="auto"/>
              </w:rPr>
            </w:pPr>
          </w:p>
        </w:tc>
      </w:tr>
      <w:tr>
        <w:trPr>
          <w:trHeight w:val="319"/>
        </w:trPr>
        <w:tc>
          <w:tcPr>
            <w:tcW w:w="2580" w:type="dxa"/>
            <w:vAlign w:val="bottom"/>
          </w:tcPr>
          <w:p>
            <w:pPr>
              <w:ind w:left="120"/>
              <w:spacing w:after="0"/>
              <w:rPr>
                <w:sz w:val="20"/>
                <w:szCs w:val="20"/>
                <w:color w:val="auto"/>
              </w:rPr>
            </w:pPr>
            <w:r>
              <w:rPr>
                <w:rFonts w:ascii="Arial" w:cs="Arial" w:eastAsia="Arial" w:hAnsi="Arial"/>
                <w:sz w:val="19"/>
                <w:szCs w:val="19"/>
                <w:color w:val="auto"/>
              </w:rPr>
              <w:t xml:space="preserve">Intangible assets </w:t>
            </w:r>
            <w:r>
              <w:rPr>
                <w:rFonts w:ascii="Arial" w:cs="Arial" w:eastAsia="Arial" w:hAnsi="Arial"/>
                <w:sz w:val="25"/>
                <w:szCs w:val="25"/>
                <w:color w:val="auto"/>
                <w:vertAlign w:val="superscript"/>
              </w:rPr>
              <w:t>(1)</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2,819</w:t>
            </w:r>
          </w:p>
        </w:tc>
        <w:tc>
          <w:tcPr>
            <w:tcW w:w="520" w:type="dxa"/>
            <w:vAlign w:val="bottom"/>
            <w:gridSpan w:val="3"/>
          </w:tcPr>
          <w:p>
            <w:pPr>
              <w:jc w:val="right"/>
              <w:ind w:right="162"/>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(944)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1,875</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2,852</w:t>
            </w:r>
          </w:p>
        </w:tc>
        <w:tc>
          <w:tcPr>
            <w:tcW w:w="520" w:type="dxa"/>
            <w:vAlign w:val="bottom"/>
            <w:gridSpan w:val="3"/>
          </w:tcPr>
          <w:p>
            <w:pPr>
              <w:jc w:val="right"/>
              <w:ind w:right="162"/>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(707)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2,145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-713105</wp:posOffset>
            </wp:positionV>
            <wp:extent cx="6358255" cy="7029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3">
                      <a:extLst>
                        <a:ext uri="{28A0092B-C50C-407E-A947-70E740481C1C}"/>
                      </a:extLst>
                    </a:blip>
                    <a:srcRect/>
                    <a:stretch>
                      <a:fillRect/>
                    </a:stretch>
                  </pic:blipFill>
                  <pic:spPr bwMode="auto">
                    <a:xfrm>
                      <a:off x="0" y="0"/>
                      <a:ext cx="6358255" cy="70294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30480</wp:posOffset>
                </wp:positionH>
                <wp:positionV relativeFrom="paragraph">
                  <wp:posOffset>124460</wp:posOffset>
                </wp:positionV>
                <wp:extent cx="204279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27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pt,9.8pt" to="163.25pt,9.8pt" o:allowincell="f" strokecolor="#000000" strokeweight="1pt"/>
            </w:pict>
          </mc:Fallback>
        </mc:AlternateContent>
      </w:r>
    </w:p>
    <w:p>
      <w:pPr>
        <w:spacing w:after="0" w:line="331" w:lineRule="exact"/>
        <w:rPr>
          <w:sz w:val="20"/>
          <w:szCs w:val="20"/>
          <w:color w:val="auto"/>
        </w:rPr>
      </w:pPr>
    </w:p>
    <w:p>
      <w:pPr>
        <w:ind w:left="701" w:right="140" w:hanging="701"/>
        <w:spacing w:after="0" w:line="231" w:lineRule="auto"/>
        <w:tabs>
          <w:tab w:leader="none" w:pos="701" w:val="left"/>
        </w:tabs>
        <w:numPr>
          <w:ilvl w:val="0"/>
          <w:numId w:val="87"/>
        </w:numPr>
        <w:rPr>
          <w:rFonts w:ascii="Arial" w:cs="Arial" w:eastAsia="Arial" w:hAnsi="Arial"/>
          <w:sz w:val="25"/>
          <w:szCs w:val="25"/>
          <w:color w:val="auto"/>
          <w:vertAlign w:val="superscript"/>
        </w:rPr>
      </w:pPr>
      <w:r>
        <w:rPr>
          <w:rFonts w:ascii="Arial" w:cs="Arial" w:eastAsia="Arial" w:hAnsi="Arial"/>
          <w:sz w:val="19"/>
          <w:szCs w:val="19"/>
          <w:color w:val="auto"/>
        </w:rPr>
        <w:t>We include rights-of-way, which are intangible assets, within property and equipment. See Note 6 for a discussion of property and equipment.</w:t>
      </w:r>
    </w:p>
    <w:p>
      <w:pPr>
        <w:spacing w:after="0" w:line="215" w:lineRule="exact"/>
        <w:rPr>
          <w:sz w:val="20"/>
          <w:szCs w:val="20"/>
          <w:color w:val="auto"/>
        </w:rPr>
      </w:pPr>
    </w:p>
    <w:p>
      <w:pPr>
        <w:ind w:left="1" w:right="140" w:firstLine="702"/>
        <w:spacing w:after="0" w:line="276" w:lineRule="auto"/>
        <w:rPr>
          <w:sz w:val="20"/>
          <w:szCs w:val="20"/>
          <w:color w:val="auto"/>
        </w:rPr>
      </w:pPr>
      <w:r>
        <w:rPr>
          <w:rFonts w:ascii="Arial" w:cs="Arial" w:eastAsia="Arial" w:hAnsi="Arial"/>
          <w:sz w:val="19"/>
          <w:szCs w:val="19"/>
          <w:color w:val="auto"/>
        </w:rPr>
        <w:t>Intangible assets that have finite lives are tested for impairment when events or circumstances indicate that the carrying value may not be recoverable. We did not recognize any impairments of finite-lived intangible assets during the three years ended December 31, 2023.</w:t>
      </w:r>
    </w:p>
    <w:p>
      <w:pPr>
        <w:spacing w:after="0" w:line="182" w:lineRule="exact"/>
        <w:rPr>
          <w:sz w:val="20"/>
          <w:szCs w:val="20"/>
          <w:color w:val="auto"/>
        </w:rPr>
      </w:pPr>
    </w:p>
    <w:p>
      <w:pPr>
        <w:ind w:left="1" w:right="420" w:firstLine="702"/>
        <w:spacing w:after="0" w:line="299" w:lineRule="auto"/>
        <w:rPr>
          <w:sz w:val="20"/>
          <w:szCs w:val="20"/>
          <w:color w:val="auto"/>
        </w:rPr>
      </w:pPr>
      <w:r>
        <w:rPr>
          <w:rFonts w:ascii="Arial" w:cs="Arial" w:eastAsia="Arial" w:hAnsi="Arial"/>
          <w:sz w:val="17"/>
          <w:szCs w:val="17"/>
          <w:color w:val="auto"/>
        </w:rPr>
        <w:t>The majority of our finite-lived intangible assets are amortized under the declining balance method. Amortization expense for finite-lived intangible assets for the years ended December 31, 2023, 2022 and 2021 was $308 million,</w:t>
      </w:r>
    </w:p>
    <w:p>
      <w:pPr>
        <w:spacing w:after="0" w:line="1" w:lineRule="exact"/>
        <w:rPr>
          <w:sz w:val="20"/>
          <w:szCs w:val="20"/>
          <w:color w:val="auto"/>
        </w:rPr>
      </w:pPr>
    </w:p>
    <w:p>
      <w:pPr>
        <w:ind w:left="1" w:right="120"/>
        <w:spacing w:after="0" w:line="274" w:lineRule="auto"/>
        <w:rPr>
          <w:sz w:val="20"/>
          <w:szCs w:val="20"/>
          <w:color w:val="auto"/>
        </w:rPr>
      </w:pPr>
      <w:r>
        <w:rPr>
          <w:rFonts w:ascii="Arial" w:cs="Arial" w:eastAsia="Arial" w:hAnsi="Arial"/>
          <w:sz w:val="19"/>
          <w:szCs w:val="19"/>
          <w:color w:val="auto"/>
        </w:rPr>
        <w:t>$254 million and $122 million, respectively. We estimate that our amortization expense related to finite-lived intangible assets for the next five years will be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142240</wp:posOffset>
            </wp:positionV>
            <wp:extent cx="6311900" cy="9537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4">
                      <a:extLst>
                        <a:ext uri="{28A0092B-C50C-407E-A947-70E740481C1C}"/>
                      </a:extLst>
                    </a:blip>
                    <a:srcRect/>
                    <a:stretch>
                      <a:fillRect/>
                    </a:stretch>
                  </pic:blipFill>
                  <pic:spPr bwMode="auto">
                    <a:xfrm>
                      <a:off x="0" y="0"/>
                      <a:ext cx="6311900" cy="953770"/>
                    </a:xfrm>
                    <a:prstGeom prst="rect">
                      <a:avLst/>
                    </a:prstGeom>
                    <a:noFill/>
                  </pic:spPr>
                </pic:pic>
              </a:graphicData>
            </a:graphic>
          </wp:anchor>
        </w:drawing>
      </w:r>
    </w:p>
    <w:p>
      <w:pPr>
        <w:spacing w:after="0" w:line="236" w:lineRule="exact"/>
        <w:rPr>
          <w:sz w:val="20"/>
          <w:szCs w:val="20"/>
          <w:color w:val="auto"/>
        </w:rPr>
      </w:pPr>
    </w:p>
    <w:tbl>
      <w:tblPr>
        <w:tblLayout w:type="fixed"/>
        <w:tblInd w:w="101" w:type="dxa"/>
        <w:tblCellMar>
          <w:top w:w="0" w:type="dxa"/>
          <w:left w:w="0" w:type="dxa"/>
          <w:bottom w:w="0" w:type="dxa"/>
          <w:right w:w="0" w:type="dxa"/>
        </w:tblCellMar>
      </w:tblPr>
      <w:tr>
        <w:trPr>
          <w:trHeight w:val="267"/>
        </w:trPr>
        <w:tc>
          <w:tcPr>
            <w:tcW w:w="4360" w:type="dxa"/>
            <w:vAlign w:val="bottom"/>
          </w:tcPr>
          <w:p>
            <w:pPr>
              <w:jc w:val="right"/>
              <w:ind w:right="3863"/>
              <w:spacing w:after="0"/>
              <w:rPr>
                <w:sz w:val="20"/>
                <w:szCs w:val="20"/>
                <w:color w:val="auto"/>
              </w:rPr>
            </w:pPr>
            <w:r>
              <w:rPr>
                <w:rFonts w:ascii="Arial" w:cs="Arial" w:eastAsia="Arial" w:hAnsi="Arial"/>
                <w:sz w:val="19"/>
                <w:szCs w:val="19"/>
                <w:color w:val="auto"/>
                <w:w w:val="89"/>
              </w:rPr>
              <w:t>2024</w:t>
            </w:r>
          </w:p>
        </w:tc>
        <w:tc>
          <w:tcPr>
            <w:tcW w:w="4580" w:type="dxa"/>
            <w:vAlign w:val="bottom"/>
          </w:tcPr>
          <w:p>
            <w:pPr>
              <w:jc w:val="right"/>
              <w:ind w:right="423"/>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272</w:t>
            </w:r>
          </w:p>
        </w:tc>
      </w:tr>
      <w:tr>
        <w:trPr>
          <w:trHeight w:val="292"/>
        </w:trPr>
        <w:tc>
          <w:tcPr>
            <w:tcW w:w="4360" w:type="dxa"/>
            <w:vAlign w:val="bottom"/>
          </w:tcPr>
          <w:p>
            <w:pPr>
              <w:jc w:val="right"/>
              <w:ind w:right="3863"/>
              <w:spacing w:after="0"/>
              <w:rPr>
                <w:sz w:val="20"/>
                <w:szCs w:val="20"/>
                <w:color w:val="auto"/>
              </w:rPr>
            </w:pPr>
            <w:r>
              <w:rPr>
                <w:rFonts w:ascii="Arial" w:cs="Arial" w:eastAsia="Arial" w:hAnsi="Arial"/>
                <w:sz w:val="19"/>
                <w:szCs w:val="19"/>
                <w:color w:val="auto"/>
                <w:w w:val="89"/>
              </w:rPr>
              <w:t>2025</w:t>
            </w:r>
          </w:p>
        </w:tc>
        <w:tc>
          <w:tcPr>
            <w:tcW w:w="4580" w:type="dxa"/>
            <w:vAlign w:val="bottom"/>
          </w:tcPr>
          <w:p>
            <w:pPr>
              <w:jc w:val="right"/>
              <w:ind w:right="423"/>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249</w:t>
            </w:r>
          </w:p>
        </w:tc>
      </w:tr>
      <w:tr>
        <w:trPr>
          <w:trHeight w:val="292"/>
        </w:trPr>
        <w:tc>
          <w:tcPr>
            <w:tcW w:w="4360" w:type="dxa"/>
            <w:vAlign w:val="bottom"/>
          </w:tcPr>
          <w:p>
            <w:pPr>
              <w:jc w:val="right"/>
              <w:ind w:right="3863"/>
              <w:spacing w:after="0"/>
              <w:rPr>
                <w:sz w:val="20"/>
                <w:szCs w:val="20"/>
                <w:color w:val="auto"/>
              </w:rPr>
            </w:pPr>
            <w:r>
              <w:rPr>
                <w:rFonts w:ascii="Arial" w:cs="Arial" w:eastAsia="Arial" w:hAnsi="Arial"/>
                <w:sz w:val="19"/>
                <w:szCs w:val="19"/>
                <w:color w:val="auto"/>
                <w:w w:val="89"/>
              </w:rPr>
              <w:t>2026</w:t>
            </w:r>
          </w:p>
        </w:tc>
        <w:tc>
          <w:tcPr>
            <w:tcW w:w="4580" w:type="dxa"/>
            <w:vAlign w:val="bottom"/>
          </w:tcPr>
          <w:p>
            <w:pPr>
              <w:jc w:val="right"/>
              <w:ind w:right="423"/>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210</w:t>
            </w:r>
          </w:p>
        </w:tc>
      </w:tr>
      <w:tr>
        <w:trPr>
          <w:trHeight w:val="292"/>
        </w:trPr>
        <w:tc>
          <w:tcPr>
            <w:tcW w:w="4360" w:type="dxa"/>
            <w:vAlign w:val="bottom"/>
          </w:tcPr>
          <w:p>
            <w:pPr>
              <w:jc w:val="right"/>
              <w:ind w:right="3863"/>
              <w:spacing w:after="0"/>
              <w:rPr>
                <w:sz w:val="20"/>
                <w:szCs w:val="20"/>
                <w:color w:val="auto"/>
              </w:rPr>
            </w:pPr>
            <w:r>
              <w:rPr>
                <w:rFonts w:ascii="Arial" w:cs="Arial" w:eastAsia="Arial" w:hAnsi="Arial"/>
                <w:sz w:val="19"/>
                <w:szCs w:val="19"/>
                <w:color w:val="auto"/>
                <w:w w:val="89"/>
              </w:rPr>
              <w:t>2027</w:t>
            </w:r>
          </w:p>
        </w:tc>
        <w:tc>
          <w:tcPr>
            <w:tcW w:w="4580" w:type="dxa"/>
            <w:vAlign w:val="bottom"/>
          </w:tcPr>
          <w:p>
            <w:pPr>
              <w:jc w:val="right"/>
              <w:ind w:right="423"/>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187</w:t>
            </w:r>
          </w:p>
        </w:tc>
      </w:tr>
      <w:tr>
        <w:trPr>
          <w:trHeight w:val="292"/>
        </w:trPr>
        <w:tc>
          <w:tcPr>
            <w:tcW w:w="4360" w:type="dxa"/>
            <w:vAlign w:val="bottom"/>
          </w:tcPr>
          <w:p>
            <w:pPr>
              <w:jc w:val="right"/>
              <w:ind w:right="3863"/>
              <w:spacing w:after="0"/>
              <w:rPr>
                <w:sz w:val="20"/>
                <w:szCs w:val="20"/>
                <w:color w:val="auto"/>
              </w:rPr>
            </w:pPr>
            <w:r>
              <w:rPr>
                <w:rFonts w:ascii="Arial" w:cs="Arial" w:eastAsia="Arial" w:hAnsi="Arial"/>
                <w:sz w:val="19"/>
                <w:szCs w:val="19"/>
                <w:color w:val="auto"/>
                <w:w w:val="89"/>
              </w:rPr>
              <w:t>2028</w:t>
            </w:r>
          </w:p>
        </w:tc>
        <w:tc>
          <w:tcPr>
            <w:tcW w:w="4580" w:type="dxa"/>
            <w:vAlign w:val="bottom"/>
          </w:tcPr>
          <w:p>
            <w:pPr>
              <w:jc w:val="right"/>
              <w:ind w:right="423"/>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165</w:t>
            </w:r>
          </w:p>
        </w:tc>
      </w:tr>
    </w:tbl>
    <w:p>
      <w:pPr>
        <w:spacing w:after="0" w:line="200" w:lineRule="exact"/>
        <w:rPr>
          <w:sz w:val="20"/>
          <w:szCs w:val="20"/>
          <w:color w:val="auto"/>
        </w:rPr>
      </w:pPr>
    </w:p>
    <w:p>
      <w:pPr>
        <w:sectPr>
          <w:pgSz w:w="11880" w:h="15480" w:orient="portrait"/>
          <w:cols w:equalWidth="0" w:num="1">
            <w:col w:w="9981"/>
          </w:cols>
          <w:pgMar w:left="939" w:top="43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F-31</w:t>
      </w:r>
    </w:p>
    <w:p>
      <w:pPr>
        <w:sectPr>
          <w:pgSz w:w="11880" w:h="15480" w:orient="portrait"/>
          <w:cols w:equalWidth="0" w:num="1">
            <w:col w:w="9981"/>
          </w:cols>
          <w:pgMar w:left="939" w:top="431" w:right="960" w:bottom="0" w:gutter="0" w:footer="0" w:header="0"/>
          <w:type w:val="continuous"/>
        </w:sectPr>
      </w:pPr>
    </w:p>
    <w:bookmarkStart w:id="134" w:name="page135"/>
    <w:bookmarkEnd w:id="134"/>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10—Debt</w:t>
      </w:r>
    </w:p>
    <w:p>
      <w:pPr>
        <w:spacing w:after="0" w:line="25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Debt consisted of the following (in millions):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84"/>
              <w:spacing w:after="0"/>
              <w:rPr>
                <w:sz w:val="20"/>
                <w:szCs w:val="20"/>
                <w:color w:val="auto"/>
              </w:rPr>
            </w:pPr>
            <w:r>
              <w:rPr>
                <w:rFonts w:ascii="Arial" w:cs="Arial" w:eastAsia="Arial" w:hAnsi="Arial"/>
                <w:sz w:val="16"/>
                <w:szCs w:val="16"/>
                <w:b w:val="1"/>
                <w:bCs w:val="1"/>
                <w:color w:val="auto"/>
                <w:w w:val="86"/>
              </w:rPr>
              <w:t>December 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84"/>
              <w:spacing w:after="0"/>
              <w:rPr>
                <w:sz w:val="20"/>
                <w:szCs w:val="20"/>
                <w:color w:val="auto"/>
              </w:rPr>
            </w:pPr>
            <w:r>
              <w:rPr>
                <w:rFonts w:ascii="Arial" w:cs="Arial" w:eastAsia="Arial" w:hAnsi="Arial"/>
                <w:sz w:val="16"/>
                <w:szCs w:val="16"/>
                <w:b w:val="1"/>
                <w:bCs w:val="1"/>
                <w:color w:val="auto"/>
                <w:w w:val="88"/>
              </w:rPr>
              <w:t>December 31,</w:t>
            </w:r>
          </w:p>
        </w:tc>
      </w:tr>
      <w:tr>
        <w:trPr>
          <w:trHeight w:val="209"/>
        </w:trPr>
        <w:tc>
          <w:tcPr>
            <w:tcW w:w="34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2022</w:t>
            </w:r>
          </w:p>
        </w:tc>
      </w:tr>
      <w:tr>
        <w:trPr>
          <w:trHeight w:val="253"/>
        </w:trPr>
        <w:tc>
          <w:tcPr>
            <w:tcW w:w="7380" w:type="dxa"/>
            <w:vAlign w:val="bottom"/>
            <w:gridSpan w:val="2"/>
          </w:tcPr>
          <w:p>
            <w:pPr>
              <w:ind w:left="60"/>
              <w:spacing w:after="0"/>
              <w:rPr>
                <w:sz w:val="20"/>
                <w:szCs w:val="20"/>
                <w:color w:val="auto"/>
              </w:rPr>
            </w:pPr>
            <w:r>
              <w:rPr>
                <w:rFonts w:ascii="Arial" w:cs="Arial" w:eastAsia="Arial" w:hAnsi="Arial"/>
                <w:sz w:val="19"/>
                <w:szCs w:val="19"/>
                <w:b w:val="1"/>
                <w:bCs w:val="1"/>
                <w:color w:val="auto"/>
              </w:rPr>
              <w:t>SHORT-TERM DEBT</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20"/>
        </w:trPr>
        <w:tc>
          <w:tcPr>
            <w:tcW w:w="7380" w:type="dxa"/>
            <w:vAlign w:val="bottom"/>
            <w:gridSpan w:val="2"/>
          </w:tcPr>
          <w:p>
            <w:pPr>
              <w:ind w:left="60"/>
              <w:spacing w:after="0"/>
              <w:rPr>
                <w:sz w:val="20"/>
                <w:szCs w:val="20"/>
                <w:color w:val="auto"/>
              </w:rPr>
            </w:pPr>
            <w:r>
              <w:rPr>
                <w:rFonts w:ascii="Arial" w:cs="Arial" w:eastAsia="Arial" w:hAnsi="Arial"/>
                <w:sz w:val="19"/>
                <w:szCs w:val="19"/>
                <w:color w:val="auto"/>
              </w:rPr>
              <w:t xml:space="preserve">PAA commercial paper notes, bearing a weighted-average interest rate of 5.8%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433</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54"/>
        </w:trPr>
        <w:tc>
          <w:tcPr>
            <w:tcW w:w="7380" w:type="dxa"/>
            <w:vAlign w:val="bottom"/>
            <w:gridSpan w:val="2"/>
          </w:tcPr>
          <w:p>
            <w:pPr>
              <w:ind w:left="60"/>
              <w:spacing w:after="0"/>
              <w:rPr>
                <w:sz w:val="20"/>
                <w:szCs w:val="20"/>
                <w:color w:val="auto"/>
              </w:rPr>
            </w:pPr>
            <w:r>
              <w:rPr>
                <w:rFonts w:ascii="Arial" w:cs="Arial" w:eastAsia="Arial" w:hAnsi="Arial"/>
                <w:sz w:val="19"/>
                <w:szCs w:val="19"/>
                <w:color w:val="auto"/>
              </w:rPr>
              <w:t>PAA senior notes:</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06"/>
        </w:trPr>
        <w:tc>
          <w:tcPr>
            <w:tcW w:w="7380" w:type="dxa"/>
            <w:vAlign w:val="bottom"/>
            <w:gridSpan w:val="2"/>
          </w:tcPr>
          <w:p>
            <w:pPr>
              <w:ind w:left="180"/>
              <w:spacing w:after="0"/>
              <w:rPr>
                <w:sz w:val="20"/>
                <w:szCs w:val="20"/>
                <w:color w:val="auto"/>
              </w:rPr>
            </w:pPr>
            <w:r>
              <w:rPr>
                <w:rFonts w:ascii="Arial" w:cs="Arial" w:eastAsia="Arial" w:hAnsi="Arial"/>
                <w:sz w:val="19"/>
                <w:szCs w:val="19"/>
                <w:color w:val="auto"/>
              </w:rPr>
              <w:t>2.85% senior notes due January 2023</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400</w:t>
            </w:r>
          </w:p>
        </w:tc>
      </w:tr>
      <w:tr>
        <w:trPr>
          <w:trHeight w:val="292"/>
        </w:trPr>
        <w:tc>
          <w:tcPr>
            <w:tcW w:w="7380" w:type="dxa"/>
            <w:vAlign w:val="bottom"/>
            <w:gridSpan w:val="2"/>
          </w:tcPr>
          <w:p>
            <w:pPr>
              <w:ind w:left="180"/>
              <w:spacing w:after="0"/>
              <w:rPr>
                <w:sz w:val="20"/>
                <w:szCs w:val="20"/>
                <w:color w:val="auto"/>
              </w:rPr>
            </w:pPr>
            <w:r>
              <w:rPr>
                <w:rFonts w:ascii="Arial" w:cs="Arial" w:eastAsia="Arial" w:hAnsi="Arial"/>
                <w:sz w:val="19"/>
                <w:szCs w:val="19"/>
                <w:color w:val="auto"/>
              </w:rPr>
              <w:t>3.85% senior notes due October 2023</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700</w:t>
            </w:r>
          </w:p>
        </w:tc>
      </w:tr>
      <w:tr>
        <w:trPr>
          <w:trHeight w:val="296"/>
        </w:trPr>
        <w:tc>
          <w:tcPr>
            <w:tcW w:w="7380" w:type="dxa"/>
            <w:vAlign w:val="bottom"/>
            <w:gridSpan w:val="2"/>
          </w:tcPr>
          <w:p>
            <w:pPr>
              <w:ind w:left="60"/>
              <w:spacing w:after="0"/>
              <w:rPr>
                <w:sz w:val="20"/>
                <w:szCs w:val="20"/>
                <w:color w:val="auto"/>
              </w:rPr>
            </w:pPr>
            <w:r>
              <w:rPr>
                <w:rFonts w:ascii="Arial" w:cs="Arial" w:eastAsia="Arial" w:hAnsi="Arial"/>
                <w:sz w:val="19"/>
                <w:szCs w:val="19"/>
                <w:color w:val="auto"/>
              </w:rPr>
              <w:t>Other</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w:t>
            </w:r>
          </w:p>
        </w:tc>
      </w:tr>
      <w:tr>
        <w:trPr>
          <w:trHeight w:val="269"/>
        </w:trPr>
        <w:tc>
          <w:tcPr>
            <w:tcW w:w="7380" w:type="dxa"/>
            <w:vAlign w:val="bottom"/>
            <w:gridSpan w:val="2"/>
          </w:tcPr>
          <w:p>
            <w:pPr>
              <w:ind w:left="300"/>
              <w:spacing w:after="0"/>
              <w:rPr>
                <w:sz w:val="20"/>
                <w:szCs w:val="20"/>
                <w:color w:val="auto"/>
              </w:rPr>
            </w:pPr>
            <w:r>
              <w:rPr>
                <w:rFonts w:ascii="Arial" w:cs="Arial" w:eastAsia="Arial" w:hAnsi="Arial"/>
                <w:sz w:val="19"/>
                <w:szCs w:val="19"/>
                <w:color w:val="auto"/>
              </w:rPr>
              <w:t>Total short-term debt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446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1,159</w:t>
            </w:r>
          </w:p>
        </w:tc>
      </w:tr>
      <w:tr>
        <w:trPr>
          <w:trHeight w:val="510"/>
        </w:trPr>
        <w:tc>
          <w:tcPr>
            <w:tcW w:w="7380" w:type="dxa"/>
            <w:vAlign w:val="bottom"/>
            <w:gridSpan w:val="2"/>
          </w:tcPr>
          <w:p>
            <w:pPr>
              <w:ind w:left="60"/>
              <w:spacing w:after="0"/>
              <w:rPr>
                <w:sz w:val="20"/>
                <w:szCs w:val="20"/>
                <w:color w:val="auto"/>
              </w:rPr>
            </w:pPr>
            <w:r>
              <w:rPr>
                <w:rFonts w:ascii="Arial" w:cs="Arial" w:eastAsia="Arial" w:hAnsi="Arial"/>
                <w:sz w:val="19"/>
                <w:szCs w:val="19"/>
                <w:b w:val="1"/>
                <w:bCs w:val="1"/>
                <w:color w:val="auto"/>
              </w:rPr>
              <w:t>LONG-TERM DEBT</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6"/>
        </w:trPr>
        <w:tc>
          <w:tcPr>
            <w:tcW w:w="7380" w:type="dxa"/>
            <w:vAlign w:val="bottom"/>
            <w:gridSpan w:val="2"/>
          </w:tcPr>
          <w:p>
            <w:pPr>
              <w:ind w:left="60"/>
              <w:spacing w:after="0"/>
              <w:rPr>
                <w:sz w:val="20"/>
                <w:szCs w:val="20"/>
                <w:color w:val="auto"/>
              </w:rPr>
            </w:pPr>
            <w:r>
              <w:rPr>
                <w:rFonts w:ascii="Arial" w:cs="Arial" w:eastAsia="Arial" w:hAnsi="Arial"/>
                <w:sz w:val="19"/>
                <w:szCs w:val="19"/>
                <w:color w:val="auto"/>
              </w:rPr>
              <w:t>PAA senior notes: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1"/>
        </w:trPr>
        <w:tc>
          <w:tcPr>
            <w:tcW w:w="7380" w:type="dxa"/>
            <w:vAlign w:val="bottom"/>
            <w:gridSpan w:val="2"/>
          </w:tcPr>
          <w:p>
            <w:pPr>
              <w:ind w:left="180"/>
              <w:spacing w:after="0"/>
              <w:rPr>
                <w:sz w:val="20"/>
                <w:szCs w:val="20"/>
                <w:color w:val="auto"/>
              </w:rPr>
            </w:pPr>
            <w:r>
              <w:rPr>
                <w:rFonts w:ascii="Arial" w:cs="Arial" w:eastAsia="Arial" w:hAnsi="Arial"/>
                <w:sz w:val="19"/>
                <w:szCs w:val="19"/>
                <w:color w:val="auto"/>
              </w:rPr>
              <w:t xml:space="preserve">3.60% senior notes due November 2024 </w:t>
            </w:r>
            <w:r>
              <w:rPr>
                <w:rFonts w:ascii="Arial" w:cs="Arial" w:eastAsia="Arial" w:hAnsi="Arial"/>
                <w:sz w:val="25"/>
                <w:szCs w:val="25"/>
                <w:color w:val="auto"/>
                <w:vertAlign w:val="superscript"/>
              </w:rPr>
              <w:t>(2)</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750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750</w:t>
            </w:r>
          </w:p>
        </w:tc>
      </w:tr>
      <w:tr>
        <w:trPr>
          <w:trHeight w:val="267"/>
        </w:trPr>
        <w:tc>
          <w:tcPr>
            <w:tcW w:w="7380" w:type="dxa"/>
            <w:vAlign w:val="bottom"/>
            <w:gridSpan w:val="2"/>
          </w:tcPr>
          <w:p>
            <w:pPr>
              <w:ind w:left="180"/>
              <w:spacing w:after="0"/>
              <w:rPr>
                <w:sz w:val="20"/>
                <w:szCs w:val="20"/>
                <w:color w:val="auto"/>
              </w:rPr>
            </w:pPr>
            <w:r>
              <w:rPr>
                <w:rFonts w:ascii="Arial" w:cs="Arial" w:eastAsia="Arial" w:hAnsi="Arial"/>
                <w:sz w:val="19"/>
                <w:szCs w:val="19"/>
                <w:color w:val="auto"/>
              </w:rPr>
              <w:t>4.65% senior notes due October 2025</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1,000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1,000</w:t>
            </w:r>
          </w:p>
        </w:tc>
      </w:tr>
      <w:tr>
        <w:trPr>
          <w:trHeight w:val="292"/>
        </w:trPr>
        <w:tc>
          <w:tcPr>
            <w:tcW w:w="7380" w:type="dxa"/>
            <w:vAlign w:val="bottom"/>
            <w:gridSpan w:val="2"/>
          </w:tcPr>
          <w:p>
            <w:pPr>
              <w:ind w:left="180"/>
              <w:spacing w:after="0"/>
              <w:rPr>
                <w:sz w:val="20"/>
                <w:szCs w:val="20"/>
                <w:color w:val="auto"/>
              </w:rPr>
            </w:pPr>
            <w:r>
              <w:rPr>
                <w:rFonts w:ascii="Arial" w:cs="Arial" w:eastAsia="Arial" w:hAnsi="Arial"/>
                <w:sz w:val="19"/>
                <w:szCs w:val="19"/>
                <w:color w:val="auto"/>
              </w:rPr>
              <w:t>4.50% senior notes due December 2026</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750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750</w:t>
            </w:r>
          </w:p>
        </w:tc>
      </w:tr>
      <w:tr>
        <w:trPr>
          <w:trHeight w:val="292"/>
        </w:trPr>
        <w:tc>
          <w:tcPr>
            <w:tcW w:w="7380" w:type="dxa"/>
            <w:vAlign w:val="bottom"/>
            <w:gridSpan w:val="2"/>
          </w:tcPr>
          <w:p>
            <w:pPr>
              <w:ind w:left="180"/>
              <w:spacing w:after="0"/>
              <w:rPr>
                <w:sz w:val="20"/>
                <w:szCs w:val="20"/>
                <w:color w:val="auto"/>
              </w:rPr>
            </w:pPr>
            <w:r>
              <w:rPr>
                <w:rFonts w:ascii="Arial" w:cs="Arial" w:eastAsia="Arial" w:hAnsi="Arial"/>
                <w:sz w:val="19"/>
                <w:szCs w:val="19"/>
                <w:color w:val="auto"/>
              </w:rPr>
              <w:t>3.55% senior notes due December 2029</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1,000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1,000</w:t>
            </w:r>
          </w:p>
        </w:tc>
      </w:tr>
      <w:tr>
        <w:trPr>
          <w:trHeight w:val="292"/>
        </w:trPr>
        <w:tc>
          <w:tcPr>
            <w:tcW w:w="7380" w:type="dxa"/>
            <w:vAlign w:val="bottom"/>
            <w:gridSpan w:val="2"/>
          </w:tcPr>
          <w:p>
            <w:pPr>
              <w:ind w:left="180"/>
              <w:spacing w:after="0"/>
              <w:rPr>
                <w:sz w:val="20"/>
                <w:szCs w:val="20"/>
                <w:color w:val="auto"/>
              </w:rPr>
            </w:pPr>
            <w:r>
              <w:rPr>
                <w:rFonts w:ascii="Arial" w:cs="Arial" w:eastAsia="Arial" w:hAnsi="Arial"/>
                <w:sz w:val="19"/>
                <w:szCs w:val="19"/>
                <w:color w:val="auto"/>
              </w:rPr>
              <w:t>3.80% senior notes due September 2030</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750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750</w:t>
            </w:r>
          </w:p>
        </w:tc>
      </w:tr>
      <w:tr>
        <w:trPr>
          <w:trHeight w:val="292"/>
        </w:trPr>
        <w:tc>
          <w:tcPr>
            <w:tcW w:w="7380" w:type="dxa"/>
            <w:vAlign w:val="bottom"/>
            <w:gridSpan w:val="2"/>
          </w:tcPr>
          <w:p>
            <w:pPr>
              <w:ind w:left="180"/>
              <w:spacing w:after="0"/>
              <w:rPr>
                <w:sz w:val="20"/>
                <w:szCs w:val="20"/>
                <w:color w:val="auto"/>
              </w:rPr>
            </w:pPr>
            <w:r>
              <w:rPr>
                <w:rFonts w:ascii="Arial" w:cs="Arial" w:eastAsia="Arial" w:hAnsi="Arial"/>
                <w:sz w:val="19"/>
                <w:szCs w:val="19"/>
                <w:color w:val="auto"/>
              </w:rPr>
              <w:t>6.70% senior notes due May 2036</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250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250</w:t>
            </w:r>
          </w:p>
        </w:tc>
      </w:tr>
      <w:tr>
        <w:trPr>
          <w:trHeight w:val="292"/>
        </w:trPr>
        <w:tc>
          <w:tcPr>
            <w:tcW w:w="7380" w:type="dxa"/>
            <w:vAlign w:val="bottom"/>
            <w:gridSpan w:val="2"/>
          </w:tcPr>
          <w:p>
            <w:pPr>
              <w:ind w:left="180"/>
              <w:spacing w:after="0"/>
              <w:rPr>
                <w:sz w:val="20"/>
                <w:szCs w:val="20"/>
                <w:color w:val="auto"/>
              </w:rPr>
            </w:pPr>
            <w:r>
              <w:rPr>
                <w:rFonts w:ascii="Arial" w:cs="Arial" w:eastAsia="Arial" w:hAnsi="Arial"/>
                <w:sz w:val="19"/>
                <w:szCs w:val="19"/>
                <w:color w:val="auto"/>
              </w:rPr>
              <w:t>6.65% senior notes due January 2037</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600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600</w:t>
            </w:r>
          </w:p>
        </w:tc>
      </w:tr>
      <w:tr>
        <w:trPr>
          <w:trHeight w:val="292"/>
        </w:trPr>
        <w:tc>
          <w:tcPr>
            <w:tcW w:w="7380" w:type="dxa"/>
            <w:vAlign w:val="bottom"/>
            <w:gridSpan w:val="2"/>
          </w:tcPr>
          <w:p>
            <w:pPr>
              <w:ind w:left="180"/>
              <w:spacing w:after="0"/>
              <w:rPr>
                <w:sz w:val="20"/>
                <w:szCs w:val="20"/>
                <w:color w:val="auto"/>
              </w:rPr>
            </w:pPr>
            <w:r>
              <w:rPr>
                <w:rFonts w:ascii="Arial" w:cs="Arial" w:eastAsia="Arial" w:hAnsi="Arial"/>
                <w:sz w:val="19"/>
                <w:szCs w:val="19"/>
                <w:color w:val="auto"/>
              </w:rPr>
              <w:t>5.15% senior notes due June 2042</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499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499</w:t>
            </w:r>
          </w:p>
        </w:tc>
      </w:tr>
      <w:tr>
        <w:trPr>
          <w:trHeight w:val="292"/>
        </w:trPr>
        <w:tc>
          <w:tcPr>
            <w:tcW w:w="7380" w:type="dxa"/>
            <w:vAlign w:val="bottom"/>
            <w:gridSpan w:val="2"/>
          </w:tcPr>
          <w:p>
            <w:pPr>
              <w:ind w:left="180"/>
              <w:spacing w:after="0"/>
              <w:rPr>
                <w:sz w:val="20"/>
                <w:szCs w:val="20"/>
                <w:color w:val="auto"/>
              </w:rPr>
            </w:pPr>
            <w:r>
              <w:rPr>
                <w:rFonts w:ascii="Arial" w:cs="Arial" w:eastAsia="Arial" w:hAnsi="Arial"/>
                <w:sz w:val="19"/>
                <w:szCs w:val="19"/>
                <w:color w:val="auto"/>
              </w:rPr>
              <w:t>4.30% senior notes due January 2043</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348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348</w:t>
            </w:r>
          </w:p>
        </w:tc>
      </w:tr>
      <w:tr>
        <w:trPr>
          <w:trHeight w:val="292"/>
        </w:trPr>
        <w:tc>
          <w:tcPr>
            <w:tcW w:w="7380" w:type="dxa"/>
            <w:vAlign w:val="bottom"/>
            <w:gridSpan w:val="2"/>
          </w:tcPr>
          <w:p>
            <w:pPr>
              <w:ind w:left="180"/>
              <w:spacing w:after="0"/>
              <w:rPr>
                <w:sz w:val="20"/>
                <w:szCs w:val="20"/>
                <w:color w:val="auto"/>
              </w:rPr>
            </w:pPr>
            <w:r>
              <w:rPr>
                <w:rFonts w:ascii="Arial" w:cs="Arial" w:eastAsia="Arial" w:hAnsi="Arial"/>
                <w:sz w:val="19"/>
                <w:szCs w:val="19"/>
                <w:color w:val="auto"/>
              </w:rPr>
              <w:t>4.70% senior notes due June 2044</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687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687</w:t>
            </w:r>
          </w:p>
        </w:tc>
      </w:tr>
      <w:tr>
        <w:trPr>
          <w:trHeight w:val="292"/>
        </w:trPr>
        <w:tc>
          <w:tcPr>
            <w:tcW w:w="7380" w:type="dxa"/>
            <w:vAlign w:val="bottom"/>
            <w:gridSpan w:val="2"/>
          </w:tcPr>
          <w:p>
            <w:pPr>
              <w:ind w:left="180"/>
              <w:spacing w:after="0"/>
              <w:rPr>
                <w:sz w:val="20"/>
                <w:szCs w:val="20"/>
                <w:color w:val="auto"/>
              </w:rPr>
            </w:pPr>
            <w:r>
              <w:rPr>
                <w:rFonts w:ascii="Arial" w:cs="Arial" w:eastAsia="Arial" w:hAnsi="Arial"/>
                <w:sz w:val="19"/>
                <w:szCs w:val="19"/>
                <w:color w:val="auto"/>
              </w:rPr>
              <w:t>4.90% senior notes due February 2045</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649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649</w:t>
            </w:r>
          </w:p>
        </w:tc>
      </w:tr>
      <w:tr>
        <w:trPr>
          <w:trHeight w:val="295"/>
        </w:trPr>
        <w:tc>
          <w:tcPr>
            <w:tcW w:w="7380" w:type="dxa"/>
            <w:vAlign w:val="bottom"/>
            <w:gridSpan w:val="2"/>
          </w:tcPr>
          <w:p>
            <w:pPr>
              <w:ind w:left="180"/>
              <w:spacing w:after="0"/>
              <w:rPr>
                <w:sz w:val="20"/>
                <w:szCs w:val="20"/>
                <w:color w:val="auto"/>
              </w:rPr>
            </w:pPr>
            <w:r>
              <w:rPr>
                <w:rFonts w:ascii="Arial" w:cs="Arial" w:eastAsia="Arial" w:hAnsi="Arial"/>
                <w:sz w:val="19"/>
                <w:szCs w:val="19"/>
                <w:color w:val="auto"/>
              </w:rPr>
              <w:t>Unamortized discounts and debt issuance costs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w:t>
            </w:r>
          </w:p>
        </w:tc>
      </w:tr>
      <w:tr>
        <w:trPr>
          <w:trHeight w:val="270"/>
        </w:trPr>
        <w:tc>
          <w:tcPr>
            <w:tcW w:w="7380" w:type="dxa"/>
            <w:vAlign w:val="bottom"/>
            <w:gridSpan w:val="2"/>
          </w:tcPr>
          <w:p>
            <w:pPr>
              <w:ind w:left="400"/>
              <w:spacing w:after="0"/>
              <w:rPr>
                <w:sz w:val="20"/>
                <w:szCs w:val="20"/>
                <w:color w:val="auto"/>
              </w:rPr>
            </w:pPr>
            <w:r>
              <w:rPr>
                <w:rFonts w:ascii="Arial" w:cs="Arial" w:eastAsia="Arial" w:hAnsi="Arial"/>
                <w:sz w:val="19"/>
                <w:szCs w:val="19"/>
                <w:color w:val="auto"/>
              </w:rPr>
              <w:t>PAA senior notes, net of unamortized discounts and debt issuance costs</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7,242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7,237</w:t>
            </w:r>
          </w:p>
        </w:tc>
      </w:tr>
      <w:tr>
        <w:trPr>
          <w:trHeight w:val="292"/>
        </w:trPr>
        <w:tc>
          <w:tcPr>
            <w:tcW w:w="7380" w:type="dxa"/>
            <w:vAlign w:val="bottom"/>
            <w:gridSpan w:val="2"/>
          </w:tcPr>
          <w:p>
            <w:pPr>
              <w:ind w:left="60"/>
              <w:spacing w:after="0"/>
              <w:rPr>
                <w:sz w:val="20"/>
                <w:szCs w:val="20"/>
                <w:color w:val="auto"/>
              </w:rPr>
            </w:pPr>
            <w:r>
              <w:rPr>
                <w:rFonts w:ascii="Arial" w:cs="Arial" w:eastAsia="Arial" w:hAnsi="Arial"/>
                <w:sz w:val="19"/>
                <w:szCs w:val="19"/>
                <w:color w:val="auto"/>
              </w:rPr>
              <w:t>Other long-term debt:</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5"/>
        </w:trPr>
        <w:tc>
          <w:tcPr>
            <w:tcW w:w="7380" w:type="dxa"/>
            <w:vAlign w:val="bottom"/>
            <w:gridSpan w:val="2"/>
          </w:tcPr>
          <w:p>
            <w:pPr>
              <w:ind w:left="180"/>
              <w:spacing w:after="0"/>
              <w:rPr>
                <w:sz w:val="20"/>
                <w:szCs w:val="20"/>
                <w:color w:val="auto"/>
              </w:rPr>
            </w:pPr>
            <w:r>
              <w:rPr>
                <w:rFonts w:ascii="Arial" w:cs="Arial" w:eastAsia="Arial" w:hAnsi="Arial"/>
                <w:sz w:val="19"/>
                <w:szCs w:val="19"/>
                <w:color w:val="auto"/>
              </w:rPr>
              <w:t>Other</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w:t>
            </w:r>
          </w:p>
        </w:tc>
      </w:tr>
      <w:tr>
        <w:trPr>
          <w:trHeight w:val="272"/>
        </w:trPr>
        <w:tc>
          <w:tcPr>
            <w:tcW w:w="7380" w:type="dxa"/>
            <w:vAlign w:val="bottom"/>
            <w:gridSpan w:val="2"/>
          </w:tcPr>
          <w:p>
            <w:pPr>
              <w:ind w:left="400"/>
              <w:spacing w:after="0"/>
              <w:rPr>
                <w:sz w:val="20"/>
                <w:szCs w:val="20"/>
                <w:color w:val="auto"/>
              </w:rPr>
            </w:pPr>
            <w:r>
              <w:rPr>
                <w:rFonts w:ascii="Arial" w:cs="Arial" w:eastAsia="Arial" w:hAnsi="Arial"/>
                <w:sz w:val="19"/>
                <w:szCs w:val="19"/>
                <w:color w:val="auto"/>
              </w:rPr>
              <w:t>Total long-term debt</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7,305</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7,287</w:t>
            </w:r>
          </w:p>
        </w:tc>
      </w:tr>
      <w:tr>
        <w:trPr>
          <w:trHeight w:val="253"/>
        </w:trPr>
        <w:tc>
          <w:tcPr>
            <w:tcW w:w="7380" w:type="dxa"/>
            <w:vAlign w:val="bottom"/>
            <w:gridSpan w:val="2"/>
          </w:tcPr>
          <w:p>
            <w:pPr>
              <w:ind w:left="540"/>
              <w:spacing w:after="0" w:line="253" w:lineRule="exact"/>
              <w:rPr>
                <w:sz w:val="20"/>
                <w:szCs w:val="20"/>
                <w:color w:val="auto"/>
              </w:rPr>
            </w:pPr>
            <w:r>
              <w:rPr>
                <w:rFonts w:ascii="Arial" w:cs="Arial" w:eastAsia="Arial" w:hAnsi="Arial"/>
                <w:sz w:val="19"/>
                <w:szCs w:val="19"/>
                <w:color w:val="auto"/>
              </w:rPr>
              <w:t xml:space="preserve">Total debt </w:t>
            </w:r>
            <w:r>
              <w:rPr>
                <w:rFonts w:ascii="Arial" w:cs="Arial" w:eastAsia="Arial" w:hAnsi="Arial"/>
                <w:sz w:val="25"/>
                <w:szCs w:val="25"/>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7,751</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8,446</w:t>
            </w:r>
          </w:p>
        </w:tc>
      </w:tr>
      <w:tr>
        <w:trPr>
          <w:trHeight w:val="20"/>
        </w:trPr>
        <w:tc>
          <w:tcPr>
            <w:tcW w:w="34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30"/>
        </w:trPr>
        <w:tc>
          <w:tcPr>
            <w:tcW w:w="3440" w:type="dxa"/>
            <w:vAlign w:val="bottom"/>
            <w:tcBorders>
              <w:bottom w:val="single" w:sz="8" w:color="auto"/>
            </w:tcBorders>
          </w:tcPr>
          <w:p>
            <w:pPr>
              <w:spacing w:after="0"/>
              <w:rPr>
                <w:sz w:val="11"/>
                <w:szCs w:val="11"/>
                <w:color w:val="auto"/>
              </w:rPr>
            </w:pPr>
          </w:p>
        </w:tc>
        <w:tc>
          <w:tcPr>
            <w:tcW w:w="3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-5094605</wp:posOffset>
            </wp:positionV>
            <wp:extent cx="6367145" cy="5005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5">
                      <a:extLst>
                        <a:ext uri="{28A0092B-C50C-407E-A947-70E740481C1C}"/>
                      </a:extLst>
                    </a:blip>
                    <a:srcRect/>
                    <a:stretch>
                      <a:fillRect/>
                    </a:stretch>
                  </pic:blipFill>
                  <pic:spPr bwMode="auto">
                    <a:xfrm>
                      <a:off x="0" y="0"/>
                      <a:ext cx="6367145" cy="5005705"/>
                    </a:xfrm>
                    <a:prstGeom prst="rect">
                      <a:avLst/>
                    </a:prstGeom>
                    <a:noFill/>
                  </pic:spPr>
                </pic:pic>
              </a:graphicData>
            </a:graphic>
          </wp:anchor>
        </w:drawing>
      </w:r>
    </w:p>
    <w:p>
      <w:pPr>
        <w:sectPr>
          <w:pgSz w:w="11880" w:h="15480" w:orient="portrait"/>
          <w:cols w:equalWidth="0" w:num="1">
            <w:col w:w="10000"/>
          </w:cols>
          <w:pgMar w:left="940" w:top="431" w:right="940" w:bottom="0" w:gutter="0" w:footer="0" w:header="0"/>
        </w:sectPr>
      </w:pPr>
    </w:p>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both"/>
        <w:ind w:right="240"/>
        <w:spacing w:after="0" w:line="276" w:lineRule="auto"/>
        <w:rPr>
          <w:sz w:val="20"/>
          <w:szCs w:val="20"/>
          <w:color w:val="auto"/>
        </w:rPr>
      </w:pPr>
      <w:r>
        <w:rPr>
          <w:rFonts w:ascii="Arial" w:cs="Arial" w:eastAsia="Arial" w:hAnsi="Arial"/>
          <w:sz w:val="19"/>
          <w:szCs w:val="19"/>
          <w:color w:val="auto"/>
        </w:rPr>
        <w:t>PAA classified these commercial paper notes as short-term as of December 31, 2023, as these notes were primarily designated as working capital borrowings, were required to be repaid within one year and were primarily for hedged NGL and crude oil inventory and NYMEX and ICE margin deposits.</w:t>
      </w:r>
    </w:p>
    <w:p>
      <w:pPr>
        <w:spacing w:after="0" w:line="65" w:lineRule="exact"/>
        <w:rPr>
          <w:sz w:val="20"/>
          <w:szCs w:val="20"/>
          <w:color w:val="auto"/>
        </w:rPr>
      </w:pPr>
    </w:p>
    <w:p>
      <w:pPr>
        <w:ind w:right="480"/>
        <w:spacing w:after="0" w:line="295" w:lineRule="auto"/>
        <w:rPr>
          <w:sz w:val="20"/>
          <w:szCs w:val="20"/>
          <w:color w:val="auto"/>
        </w:rPr>
      </w:pPr>
      <w:r>
        <w:rPr>
          <w:rFonts w:ascii="Arial" w:cs="Arial" w:eastAsia="Arial" w:hAnsi="Arial"/>
          <w:sz w:val="19"/>
          <w:szCs w:val="19"/>
          <w:color w:val="auto"/>
        </w:rPr>
        <w:t>As of December 31, 2023, PAA classified its 3.60%, $750 million senior notes due November 2024 as long-term based on its ability and intent to refinance these notes on a long-term basis.</w:t>
      </w:r>
    </w:p>
    <w:p>
      <w:pPr>
        <w:spacing w:after="0" w:line="48"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color w:val="auto"/>
        </w:rPr>
        <w:t>PAA’s fixed-rate senior notes had a face value of approximately $7.3 billion and $8.4 billion at December 31, 2023 and 2022, respectively. We estimated the aggregate fair value of these notes to be approximately $6.9 billion and $7.6 billion at December 31, 2023 and 2022,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commercial paper program approximates fair value as interest rates reflect current market rates. The fair value estimates for the PAA senior notes and commercial paper program are based upon observable market data and are classified in Level 2 of the fair value hierarchy.</w:t>
      </w:r>
    </w:p>
    <w:p>
      <w:pPr>
        <w:spacing w:after="0" w:line="200" w:lineRule="exact"/>
        <w:rPr>
          <w:sz w:val="20"/>
          <w:szCs w:val="20"/>
          <w:color w:val="auto"/>
        </w:rPr>
      </w:pPr>
    </w:p>
    <w:p>
      <w:pPr>
        <w:sectPr>
          <w:pgSz w:w="11880" w:h="15480" w:orient="portrait"/>
          <w:cols w:equalWidth="0" w:num="2">
            <w:col w:w="140" w:space="560"/>
            <w:col w:w="9300"/>
          </w:cols>
          <w:pgMar w:left="940" w:top="431"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ectPr>
          <w:pgSz w:w="11880" w:h="15480" w:orient="portrait"/>
          <w:cols w:equalWidth="0" w:num="1">
            <w:col w:w="10000"/>
          </w:cols>
          <w:pgMar w:left="940" w:top="431" w:right="940" w:bottom="0" w:gutter="0" w:footer="0" w:header="0"/>
          <w:type w:val="continuous"/>
        </w:sectPr>
      </w:pPr>
    </w:p>
    <w:bookmarkStart w:id="135" w:name="page136"/>
    <w:bookmarkEnd w:id="135"/>
    <w:p>
      <w:pPr>
        <w:jc w:val="center"/>
        <w:ind w:right="-20"/>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2"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PAA Commercial Paper Program</w:t>
      </w:r>
    </w:p>
    <w:p>
      <w:pPr>
        <w:spacing w:after="0" w:line="257" w:lineRule="exact"/>
        <w:rPr>
          <w:sz w:val="20"/>
          <w:szCs w:val="20"/>
          <w:color w:val="auto"/>
        </w:rPr>
      </w:pPr>
    </w:p>
    <w:p>
      <w:pPr>
        <w:ind w:left="1" w:right="160" w:firstLine="702"/>
        <w:spacing w:after="0" w:line="269" w:lineRule="auto"/>
        <w:rPr>
          <w:sz w:val="20"/>
          <w:szCs w:val="20"/>
          <w:color w:val="auto"/>
        </w:rPr>
      </w:pPr>
      <w:r>
        <w:rPr>
          <w:rFonts w:ascii="Arial" w:cs="Arial" w:eastAsia="Arial" w:hAnsi="Arial"/>
          <w:sz w:val="19"/>
          <w:szCs w:val="19"/>
          <w:color w:val="auto"/>
        </w:rPr>
        <w:t>PAA has a commercial paper program under which it may issue (and have outstanding at any time) up to $2.7 billion in the aggregate of privately placed, unsecured commercial paper notes. Such notes are backstopped by the PAA senior unsecured revolving credit facility and the PAA senior secured hedged inventory facility; as such, any borrowings under the PAA commercial paper program reduce the available capacity under these facilities.</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Credit Agreements</w:t>
      </w:r>
    </w:p>
    <w:p>
      <w:pPr>
        <w:spacing w:after="0" w:line="255" w:lineRule="exact"/>
        <w:rPr>
          <w:sz w:val="20"/>
          <w:szCs w:val="20"/>
          <w:color w:val="auto"/>
        </w:rPr>
      </w:pPr>
    </w:p>
    <w:p>
      <w:pPr>
        <w:ind w:left="1" w:right="20" w:firstLine="702"/>
        <w:spacing w:after="0" w:line="295" w:lineRule="auto"/>
        <w:rPr>
          <w:sz w:val="20"/>
          <w:szCs w:val="20"/>
          <w:color w:val="auto"/>
        </w:rPr>
      </w:pPr>
      <w:r>
        <w:rPr>
          <w:rFonts w:ascii="Arial" w:cs="Arial" w:eastAsia="Arial" w:hAnsi="Arial"/>
          <w:sz w:val="17"/>
          <w:szCs w:val="17"/>
          <w:b w:val="1"/>
          <w:bCs w:val="1"/>
          <w:i w:val="1"/>
          <w:iCs w:val="1"/>
          <w:color w:val="auto"/>
        </w:rPr>
        <w:t>PAA senior secured hedged inventory facility</w:t>
      </w:r>
      <w:r>
        <w:rPr>
          <w:rFonts w:ascii="Arial" w:cs="Arial" w:eastAsia="Arial" w:hAnsi="Arial"/>
          <w:sz w:val="17"/>
          <w:szCs w:val="17"/>
          <w:color w:val="auto"/>
        </w:rPr>
        <w:t>. PAA has a credit agreement that provides for a senior secured hedged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inventory facility with a committed borrowing capacity of $1.35 billion. Subject to obtaining additional or increased lender commitments and other terms and conditions, the committed capacity of the facility may be increased to $1.9 billion. The credit agreement provides for the issuance of letters of credit of up to $400 million.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certain floating rate indices as defined in the credit agreement, in each case plus a margin based on our credit rating at the applicable time. The amended credit agreement also provides for one or more one-year extensions, subject to applicable approval and other terms and conditions. In August 2023, PAA extended the maturity date of the facility to August 2026 for each existing lender.</w:t>
      </w:r>
    </w:p>
    <w:p>
      <w:pPr>
        <w:spacing w:after="0" w:line="171" w:lineRule="exact"/>
        <w:rPr>
          <w:sz w:val="20"/>
          <w:szCs w:val="20"/>
          <w:color w:val="auto"/>
        </w:rPr>
      </w:pPr>
    </w:p>
    <w:p>
      <w:pPr>
        <w:ind w:left="1" w:right="100" w:firstLine="702"/>
        <w:spacing w:after="0" w:line="278" w:lineRule="auto"/>
        <w:rPr>
          <w:sz w:val="20"/>
          <w:szCs w:val="20"/>
          <w:color w:val="auto"/>
        </w:rPr>
      </w:pPr>
      <w:r>
        <w:rPr>
          <w:rFonts w:ascii="Arial" w:cs="Arial" w:eastAsia="Arial" w:hAnsi="Arial"/>
          <w:sz w:val="18"/>
          <w:szCs w:val="18"/>
          <w:b w:val="1"/>
          <w:bCs w:val="1"/>
          <w:i w:val="1"/>
          <w:iCs w:val="1"/>
          <w:color w:val="auto"/>
        </w:rPr>
        <w:t xml:space="preserve">PAA senior unsecured revolving credit facility. </w:t>
      </w:r>
      <w:r>
        <w:rPr>
          <w:rFonts w:ascii="Arial" w:cs="Arial" w:eastAsia="Arial" w:hAnsi="Arial"/>
          <w:sz w:val="18"/>
          <w:szCs w:val="18"/>
          <w:color w:val="auto"/>
        </w:rPr>
        <w:t>PAA has a credit agreement that provides for a senior unsecured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revolving credit facility with a committed borrowing capacity of $1.35 billion, of which $400 million is available for the issuance of letters of credit. Subject to obtaining additional or increased lender commitments and other terms and conditions, the committed capacity may be increased to $2.1 billion. Borrowings accrue interest based, at our election, on certain floating rate indices as defined in the credit agreement, in each case plus a margin based on our credit rating at the applicable time. The credit agreement provides for one or more one-year extensions, subject to applicable approval and other terms and conditions. In August 2023, PAA extended the maturity date of the facility to August 2028 for each extending lender. The maturity date with respect to the non-extending lender (which represents a commitment of approximately $64 million out of total commitments of $1.35 billion from all lenders) remains August 2027.</w:t>
      </w:r>
    </w:p>
    <w:p>
      <w:pPr>
        <w:spacing w:after="0" w:line="182" w:lineRule="exact"/>
        <w:rPr>
          <w:sz w:val="20"/>
          <w:szCs w:val="20"/>
          <w:color w:val="auto"/>
        </w:rPr>
      </w:pPr>
    </w:p>
    <w:p>
      <w:pPr>
        <w:ind w:left="1" w:right="140" w:firstLine="702"/>
        <w:spacing w:after="0" w:line="277" w:lineRule="auto"/>
        <w:rPr>
          <w:sz w:val="20"/>
          <w:szCs w:val="20"/>
          <w:color w:val="auto"/>
        </w:rPr>
      </w:pPr>
      <w:r>
        <w:rPr>
          <w:rFonts w:ascii="Arial" w:cs="Arial" w:eastAsia="Arial" w:hAnsi="Arial"/>
          <w:sz w:val="19"/>
          <w:szCs w:val="19"/>
          <w:b w:val="1"/>
          <w:bCs w:val="1"/>
          <w:i w:val="1"/>
          <w:iCs w:val="1"/>
          <w:color w:val="auto"/>
        </w:rPr>
        <w:t>PAA GO Zone term loans</w:t>
      </w:r>
      <w:r>
        <w:rPr>
          <w:rFonts w:ascii="Arial" w:cs="Arial" w:eastAsia="Arial" w:hAnsi="Arial"/>
          <w:sz w:val="19"/>
          <w:szCs w:val="19"/>
          <w:color w:val="auto"/>
        </w:rPr>
        <w:t>. In August 2021, in connection with the sale of the Southern Pines natural gas storage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facility, PAA repaid $200 million of term loans (the “Go Zone term loans”) that were initially assumed in connection with our acquisition of that facility. See Note 7 for additional information.</w:t>
      </w:r>
    </w:p>
    <w:p>
      <w:pPr>
        <w:spacing w:after="0" w:line="174" w:lineRule="exact"/>
        <w:rPr>
          <w:sz w:val="20"/>
          <w:szCs w:val="20"/>
          <w:color w:val="auto"/>
        </w:rPr>
      </w:pPr>
    </w:p>
    <w:p>
      <w:pPr>
        <w:ind w:left="41"/>
        <w:spacing w:after="0"/>
        <w:rPr>
          <w:sz w:val="20"/>
          <w:szCs w:val="20"/>
          <w:color w:val="auto"/>
        </w:rPr>
      </w:pPr>
      <w:r>
        <w:rPr>
          <w:rFonts w:ascii="Arial" w:cs="Arial" w:eastAsia="Arial" w:hAnsi="Arial"/>
          <w:sz w:val="19"/>
          <w:szCs w:val="19"/>
          <w:b w:val="1"/>
          <w:bCs w:val="1"/>
          <w:i w:val="1"/>
          <w:iCs w:val="1"/>
          <w:color w:val="auto"/>
        </w:rPr>
        <w:t>PAA Senior Notes</w:t>
      </w:r>
    </w:p>
    <w:p>
      <w:pPr>
        <w:spacing w:after="0" w:line="257" w:lineRule="exact"/>
        <w:rPr>
          <w:sz w:val="20"/>
          <w:szCs w:val="20"/>
          <w:color w:val="auto"/>
        </w:rPr>
      </w:pPr>
    </w:p>
    <w:p>
      <w:pPr>
        <w:ind w:left="1" w:firstLine="702"/>
        <w:spacing w:after="0" w:line="305" w:lineRule="auto"/>
        <w:rPr>
          <w:sz w:val="20"/>
          <w:szCs w:val="20"/>
          <w:color w:val="auto"/>
        </w:rPr>
      </w:pPr>
      <w:r>
        <w:rPr>
          <w:rFonts w:ascii="Arial" w:cs="Arial" w:eastAsia="Arial" w:hAnsi="Arial"/>
          <w:sz w:val="17"/>
          <w:szCs w:val="17"/>
          <w:color w:val="auto"/>
        </w:rPr>
        <w:t>PAA’s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PAA may, at its option, redeem any series of senior notes at any time in whole or from time to time in part, prior to maturity, at the redemption prices described in the indentures governing the senior notes. PAA’s senior notes are not guaranteed by any of its subsidiaries.</w:t>
      </w:r>
    </w:p>
    <w:p>
      <w:pPr>
        <w:spacing w:after="0" w:line="160" w:lineRule="exact"/>
        <w:rPr>
          <w:sz w:val="20"/>
          <w:szCs w:val="20"/>
          <w:color w:val="auto"/>
        </w:rPr>
      </w:pPr>
    </w:p>
    <w:p>
      <w:pPr>
        <w:ind w:left="1" w:right="320" w:firstLine="702"/>
        <w:spacing w:after="0" w:line="297" w:lineRule="auto"/>
        <w:rPr>
          <w:sz w:val="20"/>
          <w:szCs w:val="20"/>
          <w:color w:val="auto"/>
        </w:rPr>
      </w:pPr>
      <w:r>
        <w:rPr>
          <w:rFonts w:ascii="Arial" w:cs="Arial" w:eastAsia="Arial" w:hAnsi="Arial"/>
          <w:sz w:val="19"/>
          <w:szCs w:val="19"/>
          <w:b w:val="1"/>
          <w:bCs w:val="1"/>
          <w:i w:val="1"/>
          <w:iCs w:val="1"/>
          <w:color w:val="auto"/>
        </w:rPr>
        <w:t xml:space="preserve">PAA Senior Notes Repayments. </w:t>
      </w:r>
      <w:r>
        <w:rPr>
          <w:rFonts w:ascii="Arial" w:cs="Arial" w:eastAsia="Arial" w:hAnsi="Arial"/>
          <w:sz w:val="19"/>
          <w:szCs w:val="19"/>
          <w:color w:val="auto"/>
        </w:rPr>
        <w:t>During the three years ended December 31, 2023, PAA repaid the following senior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unsecured notes in full (in millions):</w:t>
      </w:r>
    </w:p>
    <w:p>
      <w:pPr>
        <w:spacing w:after="0" w:line="200" w:lineRule="exact"/>
        <w:rPr>
          <w:sz w:val="20"/>
          <w:szCs w:val="20"/>
          <w:color w:val="auto"/>
        </w:rPr>
      </w:pPr>
    </w:p>
    <w:p>
      <w:pPr>
        <w:spacing w:after="0" w:line="211" w:lineRule="exact"/>
        <w:rPr>
          <w:sz w:val="20"/>
          <w:szCs w:val="20"/>
          <w:color w:val="auto"/>
        </w:rPr>
      </w:pPr>
    </w:p>
    <w:p>
      <w:pPr>
        <w:ind w:left="861"/>
        <w:spacing w:after="0"/>
        <w:tabs>
          <w:tab w:leader="none" w:pos="4141" w:val="left"/>
          <w:tab w:leader="none" w:pos="7681" w:val="left"/>
        </w:tabs>
        <w:rPr>
          <w:sz w:val="20"/>
          <w:szCs w:val="20"/>
          <w:color w:val="auto"/>
        </w:rPr>
      </w:pPr>
      <w:r>
        <w:rPr>
          <w:rFonts w:ascii="Arial" w:cs="Arial" w:eastAsia="Arial" w:hAnsi="Arial"/>
          <w:sz w:val="16"/>
          <w:szCs w:val="16"/>
          <w:b w:val="1"/>
          <w:bCs w:val="1"/>
          <w:color w:val="auto"/>
        </w:rPr>
        <w:t>Year</w:t>
      </w:r>
      <w:r>
        <w:rPr>
          <w:sz w:val="20"/>
          <w:szCs w:val="20"/>
          <w:color w:val="auto"/>
        </w:rPr>
        <w:tab/>
      </w: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4"/>
          <w:szCs w:val="14"/>
          <w:b w:val="1"/>
          <w:bCs w:val="1"/>
          <w:color w:val="auto"/>
        </w:rPr>
        <w:t>Repayment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11430</wp:posOffset>
            </wp:positionV>
            <wp:extent cx="6367145" cy="9537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76">
                      <a:extLst>
                        <a:ext uri="{28A0092B-C50C-407E-A947-70E740481C1C}"/>
                      </a:extLst>
                    </a:blip>
                    <a:srcRect/>
                    <a:stretch>
                      <a:fillRect/>
                    </a:stretch>
                  </pic:blipFill>
                  <pic:spPr bwMode="auto">
                    <a:xfrm>
                      <a:off x="0" y="0"/>
                      <a:ext cx="6367145" cy="953770"/>
                    </a:xfrm>
                    <a:prstGeom prst="rect">
                      <a:avLst/>
                    </a:prstGeom>
                    <a:noFill/>
                  </pic:spPr>
                </pic:pic>
              </a:graphicData>
            </a:graphic>
          </wp:anchor>
        </w:drawing>
      </w:r>
    </w:p>
    <w:p>
      <w:pPr>
        <w:sectPr>
          <w:pgSz w:w="11880" w:h="15480" w:orient="portrait"/>
          <w:cols w:equalWidth="0" w:num="1">
            <w:col w:w="9981"/>
          </w:cols>
          <w:pgMar w:left="939" w:top="431" w:right="960" w:bottom="0" w:gutter="0" w:footer="0" w:header="0"/>
        </w:sectPr>
      </w:pPr>
    </w:p>
    <w:p>
      <w:pPr>
        <w:spacing w:after="0" w:line="63" w:lineRule="exact"/>
        <w:rPr>
          <w:sz w:val="20"/>
          <w:szCs w:val="20"/>
          <w:color w:val="auto"/>
        </w:rPr>
      </w:pPr>
    </w:p>
    <w:tbl>
      <w:tblPr>
        <w:tblLayout w:type="fixed"/>
        <w:tblInd w:w="821" w:type="dxa"/>
        <w:tblCellMar>
          <w:top w:w="0" w:type="dxa"/>
          <w:left w:w="0" w:type="dxa"/>
          <w:bottom w:w="0" w:type="dxa"/>
          <w:right w:w="0" w:type="dxa"/>
        </w:tblCellMar>
      </w:tblPr>
      <w:tr>
        <w:trPr>
          <w:trHeight w:val="254"/>
        </w:trPr>
        <w:tc>
          <w:tcPr>
            <w:tcW w:w="1040" w:type="dxa"/>
            <w:vAlign w:val="bottom"/>
          </w:tcPr>
          <w:p>
            <w:pPr>
              <w:jc w:val="right"/>
              <w:ind w:right="543"/>
              <w:spacing w:after="0"/>
              <w:rPr>
                <w:sz w:val="20"/>
                <w:szCs w:val="20"/>
                <w:color w:val="auto"/>
              </w:rPr>
            </w:pPr>
            <w:r>
              <w:rPr>
                <w:rFonts w:ascii="Arial" w:cs="Arial" w:eastAsia="Arial" w:hAnsi="Arial"/>
                <w:sz w:val="19"/>
                <w:szCs w:val="19"/>
                <w:color w:val="auto"/>
                <w:w w:val="89"/>
              </w:rPr>
              <w:t>2023</w:t>
            </w:r>
          </w:p>
        </w:tc>
        <w:tc>
          <w:tcPr>
            <w:tcW w:w="5280" w:type="dxa"/>
            <w:vAlign w:val="bottom"/>
          </w:tcPr>
          <w:p>
            <w:pPr>
              <w:jc w:val="center"/>
              <w:ind w:left="3"/>
              <w:spacing w:after="0"/>
              <w:rPr>
                <w:sz w:val="20"/>
                <w:szCs w:val="20"/>
                <w:color w:val="auto"/>
              </w:rPr>
            </w:pPr>
            <w:r>
              <w:rPr>
                <w:rFonts w:ascii="Arial" w:cs="Arial" w:eastAsia="Arial" w:hAnsi="Arial"/>
                <w:sz w:val="19"/>
                <w:szCs w:val="19"/>
                <w:color w:val="auto"/>
                <w:w w:val="93"/>
              </w:rPr>
              <w:t>$700 million 3.85% Senior Notes due October 2023</w:t>
            </w:r>
          </w:p>
        </w:tc>
        <w:tc>
          <w:tcPr>
            <w:tcW w:w="1640" w:type="dxa"/>
            <w:vAlign w:val="bottom"/>
          </w:tcPr>
          <w:p>
            <w:pPr>
              <w:jc w:val="center"/>
              <w:ind w:left="483"/>
              <w:spacing w:after="0"/>
              <w:rPr>
                <w:sz w:val="20"/>
                <w:szCs w:val="20"/>
                <w:color w:val="auto"/>
              </w:rPr>
            </w:pPr>
            <w:r>
              <w:rPr>
                <w:rFonts w:ascii="Arial" w:cs="Arial" w:eastAsia="Arial" w:hAnsi="Arial"/>
                <w:sz w:val="19"/>
                <w:szCs w:val="19"/>
                <w:color w:val="auto"/>
                <w:w w:val="92"/>
              </w:rPr>
              <w:t>October 2023</w:t>
            </w:r>
          </w:p>
        </w:tc>
      </w:tr>
      <w:tr>
        <w:trPr>
          <w:trHeight w:val="585"/>
        </w:trPr>
        <w:tc>
          <w:tcPr>
            <w:tcW w:w="1040" w:type="dxa"/>
            <w:vAlign w:val="bottom"/>
          </w:tcPr>
          <w:p>
            <w:pPr>
              <w:jc w:val="right"/>
              <w:ind w:right="543"/>
              <w:spacing w:after="0"/>
              <w:rPr>
                <w:sz w:val="20"/>
                <w:szCs w:val="20"/>
                <w:color w:val="auto"/>
              </w:rPr>
            </w:pPr>
            <w:r>
              <w:rPr>
                <w:rFonts w:ascii="Arial" w:cs="Arial" w:eastAsia="Arial" w:hAnsi="Arial"/>
                <w:sz w:val="19"/>
                <w:szCs w:val="19"/>
                <w:color w:val="auto"/>
                <w:w w:val="89"/>
              </w:rPr>
              <w:t>2023</w:t>
            </w:r>
          </w:p>
        </w:tc>
        <w:tc>
          <w:tcPr>
            <w:tcW w:w="5280" w:type="dxa"/>
            <w:vAlign w:val="bottom"/>
          </w:tcPr>
          <w:p>
            <w:pPr>
              <w:jc w:val="center"/>
              <w:spacing w:after="0"/>
              <w:rPr>
                <w:sz w:val="20"/>
                <w:szCs w:val="20"/>
                <w:color w:val="auto"/>
              </w:rPr>
            </w:pPr>
            <w:r>
              <w:rPr>
                <w:rFonts w:ascii="Arial" w:cs="Arial" w:eastAsia="Arial" w:hAnsi="Arial"/>
                <w:sz w:val="19"/>
                <w:szCs w:val="19"/>
                <w:color w:val="auto"/>
                <w:w w:val="93"/>
              </w:rPr>
              <w:t>$400 million 2.85% Senior Notes due January 2023</w:t>
            </w:r>
          </w:p>
        </w:tc>
        <w:tc>
          <w:tcPr>
            <w:tcW w:w="1640" w:type="dxa"/>
            <w:vAlign w:val="bottom"/>
          </w:tcPr>
          <w:p>
            <w:pPr>
              <w:jc w:val="center"/>
              <w:ind w:left="503"/>
              <w:spacing w:after="0"/>
              <w:rPr>
                <w:sz w:val="20"/>
                <w:szCs w:val="20"/>
                <w:color w:val="auto"/>
              </w:rPr>
            </w:pPr>
            <w:r>
              <w:rPr>
                <w:rFonts w:ascii="Arial" w:cs="Arial" w:eastAsia="Arial" w:hAnsi="Arial"/>
                <w:sz w:val="19"/>
                <w:szCs w:val="19"/>
                <w:color w:val="auto"/>
                <w:w w:val="90"/>
              </w:rPr>
              <w:t>January 2023</w:t>
            </w:r>
          </w:p>
        </w:tc>
      </w:tr>
      <w:tr>
        <w:trPr>
          <w:trHeight w:val="585"/>
        </w:trPr>
        <w:tc>
          <w:tcPr>
            <w:tcW w:w="1040" w:type="dxa"/>
            <w:vAlign w:val="bottom"/>
          </w:tcPr>
          <w:p>
            <w:pPr>
              <w:jc w:val="right"/>
              <w:ind w:right="543"/>
              <w:spacing w:after="0"/>
              <w:rPr>
                <w:sz w:val="20"/>
                <w:szCs w:val="20"/>
                <w:color w:val="auto"/>
              </w:rPr>
            </w:pPr>
            <w:r>
              <w:rPr>
                <w:rFonts w:ascii="Arial" w:cs="Arial" w:eastAsia="Arial" w:hAnsi="Arial"/>
                <w:sz w:val="19"/>
                <w:szCs w:val="19"/>
                <w:color w:val="auto"/>
                <w:w w:val="89"/>
              </w:rPr>
              <w:t>2022</w:t>
            </w:r>
          </w:p>
        </w:tc>
        <w:tc>
          <w:tcPr>
            <w:tcW w:w="5280" w:type="dxa"/>
            <w:vAlign w:val="bottom"/>
          </w:tcPr>
          <w:p>
            <w:pPr>
              <w:jc w:val="center"/>
              <w:ind w:left="3"/>
              <w:spacing w:after="0"/>
              <w:rPr>
                <w:sz w:val="20"/>
                <w:szCs w:val="20"/>
                <w:color w:val="auto"/>
              </w:rPr>
            </w:pPr>
            <w:r>
              <w:rPr>
                <w:rFonts w:ascii="Arial" w:cs="Arial" w:eastAsia="Arial" w:hAnsi="Arial"/>
                <w:sz w:val="19"/>
                <w:szCs w:val="19"/>
                <w:color w:val="auto"/>
                <w:w w:val="92"/>
              </w:rPr>
              <w:t>$750 million 3.65% Senior Notes due June 2022</w:t>
            </w:r>
          </w:p>
        </w:tc>
        <w:tc>
          <w:tcPr>
            <w:tcW w:w="1640" w:type="dxa"/>
            <w:vAlign w:val="bottom"/>
          </w:tcPr>
          <w:p>
            <w:pPr>
              <w:jc w:val="center"/>
              <w:ind w:left="483"/>
              <w:spacing w:after="0"/>
              <w:rPr>
                <w:sz w:val="20"/>
                <w:szCs w:val="20"/>
                <w:color w:val="auto"/>
              </w:rPr>
            </w:pPr>
            <w:r>
              <w:rPr>
                <w:rFonts w:ascii="Arial" w:cs="Arial" w:eastAsia="Arial" w:hAnsi="Arial"/>
                <w:sz w:val="19"/>
                <w:szCs w:val="19"/>
                <w:color w:val="auto"/>
                <w:w w:val="93"/>
              </w:rPr>
              <w:t>March 2022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116205</wp:posOffset>
                </wp:positionV>
                <wp:extent cx="219075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07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15pt" to="172.5pt,9.15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45" w:lineRule="exact"/>
        <w:rPr>
          <w:sz w:val="20"/>
          <w:szCs w:val="20"/>
          <w:color w:val="auto"/>
        </w:rPr>
      </w:pPr>
    </w:p>
    <w:p>
      <w:pPr>
        <w:sectPr>
          <w:pgSz w:w="11880" w:h="15480" w:orient="portrait"/>
          <w:cols w:equalWidth="0" w:num="2">
            <w:col w:w="8861" w:space="720"/>
            <w:col w:w="400"/>
          </w:cols>
          <w:pgMar w:left="939" w:top="431" w:right="960" w:bottom="0" w:gutter="0" w:footer="0" w:header="0"/>
          <w:type w:val="continuous"/>
        </w:sectPr>
      </w:pPr>
    </w:p>
    <w:p>
      <w:pPr>
        <w:spacing w:after="0" w:line="79" w:lineRule="exact"/>
        <w:rPr>
          <w:sz w:val="20"/>
          <w:szCs w:val="20"/>
          <w:color w:val="auto"/>
        </w:rPr>
      </w:pPr>
    </w:p>
    <w:p>
      <w:pPr>
        <w:ind w:left="701" w:hanging="701"/>
        <w:spacing w:after="0"/>
        <w:tabs>
          <w:tab w:leader="none" w:pos="701" w:val="left"/>
        </w:tabs>
        <w:numPr>
          <w:ilvl w:val="0"/>
          <w:numId w:val="88"/>
        </w:numPr>
        <w:rPr>
          <w:rFonts w:ascii="Arial" w:cs="Arial" w:eastAsia="Arial" w:hAnsi="Arial"/>
          <w:sz w:val="22"/>
          <w:szCs w:val="22"/>
          <w:color w:val="auto"/>
          <w:vertAlign w:val="superscript"/>
        </w:rPr>
      </w:pPr>
      <w:r>
        <w:rPr>
          <w:rFonts w:ascii="Arial" w:cs="Arial" w:eastAsia="Arial" w:hAnsi="Arial"/>
          <w:sz w:val="17"/>
          <w:szCs w:val="17"/>
          <w:color w:val="auto"/>
        </w:rPr>
        <w:t>PAA repaid these senior notes with cash on hand and borrowings under our commercial paper program.</w:t>
      </w:r>
    </w:p>
    <w:p>
      <w:pPr>
        <w:sectPr>
          <w:pgSz w:w="11880" w:h="15480" w:orient="portrait"/>
          <w:cols w:equalWidth="0" w:num="1">
            <w:col w:w="9981"/>
          </w:cols>
          <w:pgMar w:left="939" w:top="431"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F-33</w:t>
      </w:r>
    </w:p>
    <w:p>
      <w:pPr>
        <w:sectPr>
          <w:pgSz w:w="11880" w:h="15480" w:orient="portrait"/>
          <w:cols w:equalWidth="0" w:num="1">
            <w:col w:w="9981"/>
          </w:cols>
          <w:pgMar w:left="939" w:top="431" w:right="960" w:bottom="0"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Maturities</w:t>
      </w:r>
    </w:p>
    <w:p>
      <w:pPr>
        <w:spacing w:after="0" w:line="257" w:lineRule="exact"/>
        <w:rPr>
          <w:sz w:val="20"/>
          <w:szCs w:val="20"/>
          <w:color w:val="auto"/>
        </w:rPr>
      </w:pPr>
    </w:p>
    <w:p>
      <w:pPr>
        <w:ind w:right="100" w:firstLine="702"/>
        <w:spacing w:after="0" w:line="276" w:lineRule="auto"/>
        <w:rPr>
          <w:sz w:val="20"/>
          <w:szCs w:val="20"/>
          <w:color w:val="auto"/>
        </w:rPr>
      </w:pPr>
      <w:r>
        <w:rPr>
          <w:rFonts w:ascii="Arial" w:cs="Arial" w:eastAsia="Arial" w:hAnsi="Arial"/>
          <w:sz w:val="19"/>
          <w:szCs w:val="19"/>
          <w:color w:val="auto"/>
        </w:rPr>
        <w:t>The weighted average maturity of PAA’s senior notes outstanding at December 31, 2023 was approximately 10 years. The following table presents the aggregate contractually scheduled maturities of such senior notes for the next five years and thereafter. The amounts presented exclude unamortized discounts and debt issuance costs.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Calendar Year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247"/>
              <w:spacing w:after="0"/>
              <w:rPr>
                <w:sz w:val="20"/>
                <w:szCs w:val="20"/>
                <w:color w:val="auto"/>
              </w:rPr>
            </w:pPr>
            <w:r>
              <w:rPr>
                <w:rFonts w:ascii="Arial" w:cs="Arial" w:eastAsia="Arial" w:hAnsi="Arial"/>
                <w:sz w:val="16"/>
                <w:szCs w:val="16"/>
                <w:b w:val="1"/>
                <w:bCs w:val="1"/>
                <w:color w:val="auto"/>
              </w:rPr>
              <w:t>Payment</w:t>
            </w:r>
          </w:p>
        </w:tc>
        <w:tc>
          <w:tcPr>
            <w:tcW w:w="0" w:type="dxa"/>
            <w:vAlign w:val="bottom"/>
          </w:tcPr>
          <w:p>
            <w:pPr>
              <w:spacing w:after="0"/>
              <w:rPr>
                <w:sz w:val="1"/>
                <w:szCs w:val="1"/>
                <w:color w:val="auto"/>
              </w:rPr>
            </w:pPr>
          </w:p>
        </w:tc>
      </w:tr>
      <w:tr>
        <w:trPr>
          <w:trHeight w:val="209"/>
        </w:trPr>
        <w:tc>
          <w:tcPr>
            <w:tcW w:w="86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w w:val="91"/>
              </w:rPr>
              <w:t>(in millions)</w:t>
            </w:r>
          </w:p>
        </w:tc>
        <w:tc>
          <w:tcPr>
            <w:tcW w:w="0" w:type="dxa"/>
            <w:vAlign w:val="bottom"/>
          </w:tcPr>
          <w:p>
            <w:pPr>
              <w:spacing w:after="0"/>
              <w:rPr>
                <w:sz w:val="1"/>
                <w:szCs w:val="1"/>
                <w:color w:val="auto"/>
              </w:rPr>
            </w:pPr>
          </w:p>
        </w:tc>
      </w:tr>
      <w:tr>
        <w:trPr>
          <w:trHeight w:val="269"/>
        </w:trPr>
        <w:tc>
          <w:tcPr>
            <w:tcW w:w="8640" w:type="dxa"/>
            <w:vAlign w:val="bottom"/>
          </w:tcPr>
          <w:p>
            <w:pPr>
              <w:ind w:left="60"/>
              <w:spacing w:after="0"/>
              <w:rPr>
                <w:sz w:val="20"/>
                <w:szCs w:val="20"/>
                <w:color w:val="auto"/>
              </w:rPr>
            </w:pPr>
            <w:r>
              <w:rPr>
                <w:rFonts w:ascii="Arial" w:cs="Arial" w:eastAsia="Arial" w:hAnsi="Arial"/>
                <w:sz w:val="19"/>
                <w:szCs w:val="19"/>
                <w:color w:val="auto"/>
              </w:rPr>
              <w:t>2024</w:t>
            </w:r>
          </w:p>
        </w:tc>
        <w:tc>
          <w:tcPr>
            <w:tcW w:w="2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750</w:t>
            </w:r>
          </w:p>
        </w:tc>
        <w:tc>
          <w:tcPr>
            <w:tcW w:w="0" w:type="dxa"/>
            <w:vAlign w:val="bottom"/>
          </w:tcPr>
          <w:p>
            <w:pPr>
              <w:spacing w:after="0"/>
              <w:rPr>
                <w:sz w:val="1"/>
                <w:szCs w:val="1"/>
                <w:color w:val="auto"/>
              </w:rPr>
            </w:pPr>
          </w:p>
        </w:tc>
      </w:tr>
      <w:tr>
        <w:trPr>
          <w:trHeight w:val="292"/>
        </w:trPr>
        <w:tc>
          <w:tcPr>
            <w:tcW w:w="8640" w:type="dxa"/>
            <w:vAlign w:val="bottom"/>
          </w:tcPr>
          <w:p>
            <w:pPr>
              <w:ind w:left="60"/>
              <w:spacing w:after="0"/>
              <w:rPr>
                <w:sz w:val="20"/>
                <w:szCs w:val="20"/>
                <w:color w:val="auto"/>
              </w:rPr>
            </w:pPr>
            <w:r>
              <w:rPr>
                <w:rFonts w:ascii="Arial" w:cs="Arial" w:eastAsia="Arial" w:hAnsi="Arial"/>
                <w:sz w:val="19"/>
                <w:szCs w:val="19"/>
                <w:color w:val="auto"/>
              </w:rPr>
              <w:t>2025</w:t>
            </w:r>
          </w:p>
        </w:tc>
        <w:tc>
          <w:tcPr>
            <w:tcW w:w="2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1,000</w:t>
            </w:r>
          </w:p>
        </w:tc>
        <w:tc>
          <w:tcPr>
            <w:tcW w:w="0" w:type="dxa"/>
            <w:vAlign w:val="bottom"/>
          </w:tcPr>
          <w:p>
            <w:pPr>
              <w:spacing w:after="0"/>
              <w:rPr>
                <w:sz w:val="1"/>
                <w:szCs w:val="1"/>
                <w:color w:val="auto"/>
              </w:rPr>
            </w:pPr>
          </w:p>
        </w:tc>
      </w:tr>
      <w:tr>
        <w:trPr>
          <w:trHeight w:val="292"/>
        </w:trPr>
        <w:tc>
          <w:tcPr>
            <w:tcW w:w="8640" w:type="dxa"/>
            <w:vAlign w:val="bottom"/>
          </w:tcPr>
          <w:p>
            <w:pPr>
              <w:ind w:left="60"/>
              <w:spacing w:after="0"/>
              <w:rPr>
                <w:sz w:val="20"/>
                <w:szCs w:val="20"/>
                <w:color w:val="auto"/>
              </w:rPr>
            </w:pPr>
            <w:r>
              <w:rPr>
                <w:rFonts w:ascii="Arial" w:cs="Arial" w:eastAsia="Arial" w:hAnsi="Arial"/>
                <w:sz w:val="19"/>
                <w:szCs w:val="19"/>
                <w:color w:val="auto"/>
              </w:rPr>
              <w:t>2026</w:t>
            </w:r>
          </w:p>
        </w:tc>
        <w:tc>
          <w:tcPr>
            <w:tcW w:w="2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750</w:t>
            </w:r>
          </w:p>
        </w:tc>
        <w:tc>
          <w:tcPr>
            <w:tcW w:w="0" w:type="dxa"/>
            <w:vAlign w:val="bottom"/>
          </w:tcPr>
          <w:p>
            <w:pPr>
              <w:spacing w:after="0"/>
              <w:rPr>
                <w:sz w:val="1"/>
                <w:szCs w:val="1"/>
                <w:color w:val="auto"/>
              </w:rPr>
            </w:pPr>
          </w:p>
        </w:tc>
      </w:tr>
      <w:tr>
        <w:trPr>
          <w:trHeight w:val="292"/>
        </w:trPr>
        <w:tc>
          <w:tcPr>
            <w:tcW w:w="8640" w:type="dxa"/>
            <w:vAlign w:val="bottom"/>
          </w:tcPr>
          <w:p>
            <w:pPr>
              <w:ind w:left="60"/>
              <w:spacing w:after="0"/>
              <w:rPr>
                <w:sz w:val="20"/>
                <w:szCs w:val="20"/>
                <w:color w:val="auto"/>
              </w:rPr>
            </w:pPr>
            <w:r>
              <w:rPr>
                <w:rFonts w:ascii="Arial" w:cs="Arial" w:eastAsia="Arial" w:hAnsi="Arial"/>
                <w:sz w:val="19"/>
                <w:szCs w:val="19"/>
                <w:color w:val="auto"/>
              </w:rPr>
              <w:t>2027</w:t>
            </w:r>
          </w:p>
        </w:tc>
        <w:tc>
          <w:tcPr>
            <w:tcW w:w="2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2"/>
        </w:trPr>
        <w:tc>
          <w:tcPr>
            <w:tcW w:w="8640" w:type="dxa"/>
            <w:vAlign w:val="bottom"/>
          </w:tcPr>
          <w:p>
            <w:pPr>
              <w:ind w:left="60"/>
              <w:spacing w:after="0"/>
              <w:rPr>
                <w:sz w:val="20"/>
                <w:szCs w:val="20"/>
                <w:color w:val="auto"/>
              </w:rPr>
            </w:pPr>
            <w:r>
              <w:rPr>
                <w:rFonts w:ascii="Arial" w:cs="Arial" w:eastAsia="Arial" w:hAnsi="Arial"/>
                <w:sz w:val="19"/>
                <w:szCs w:val="19"/>
                <w:color w:val="auto"/>
              </w:rPr>
              <w:t>2028</w:t>
            </w:r>
          </w:p>
        </w:tc>
        <w:tc>
          <w:tcPr>
            <w:tcW w:w="2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2"/>
        </w:trPr>
        <w:tc>
          <w:tcPr>
            <w:tcW w:w="8640" w:type="dxa"/>
            <w:vAlign w:val="bottom"/>
          </w:tcPr>
          <w:p>
            <w:pPr>
              <w:ind w:left="60"/>
              <w:spacing w:after="0"/>
              <w:rPr>
                <w:sz w:val="20"/>
                <w:szCs w:val="20"/>
                <w:color w:val="auto"/>
              </w:rPr>
            </w:pPr>
            <w:r>
              <w:rPr>
                <w:rFonts w:ascii="Arial" w:cs="Arial" w:eastAsia="Arial" w:hAnsi="Arial"/>
                <w:sz w:val="19"/>
                <w:szCs w:val="19"/>
                <w:color w:val="auto"/>
              </w:rPr>
              <w:t>Thereafter</w:t>
            </w:r>
          </w:p>
        </w:tc>
        <w:tc>
          <w:tcPr>
            <w:tcW w:w="2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4,783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-1118235</wp:posOffset>
            </wp:positionV>
            <wp:extent cx="6367145" cy="2108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7">
                      <a:extLst>
                        <a:ext uri="{28A0092B-C50C-407E-A947-70E740481C1C}"/>
                      </a:extLst>
                    </a:blip>
                    <a:srcRect/>
                    <a:stretch>
                      <a:fillRect/>
                    </a:stretch>
                  </pic:blipFill>
                  <pic:spPr bwMode="auto">
                    <a:xfrm>
                      <a:off x="0" y="0"/>
                      <a:ext cx="6367145" cy="2108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-746760</wp:posOffset>
            </wp:positionV>
            <wp:extent cx="6367145" cy="2108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8">
                      <a:extLst>
                        <a:ext uri="{28A0092B-C50C-407E-A947-70E740481C1C}"/>
                      </a:extLst>
                    </a:blip>
                    <a:srcRect/>
                    <a:stretch>
                      <a:fillRect/>
                    </a:stretch>
                  </pic:blipFill>
                  <pic:spPr bwMode="auto">
                    <a:xfrm>
                      <a:off x="0" y="0"/>
                      <a:ext cx="6367145" cy="2108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-375285</wp:posOffset>
            </wp:positionV>
            <wp:extent cx="6367145" cy="2108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79">
                      <a:extLst>
                        <a:ext uri="{28A0092B-C50C-407E-A947-70E740481C1C}"/>
                      </a:extLst>
                    </a:blip>
                    <a:srcRect/>
                    <a:stretch>
                      <a:fillRect/>
                    </a:stretch>
                  </pic:blipFill>
                  <pic:spPr bwMode="auto">
                    <a:xfrm>
                      <a:off x="0" y="0"/>
                      <a:ext cx="6367145" cy="21082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Covenants and Compliance</w:t>
      </w:r>
    </w:p>
    <w:p>
      <w:pPr>
        <w:spacing w:after="0" w:line="257" w:lineRule="exact"/>
        <w:rPr>
          <w:sz w:val="20"/>
          <w:szCs w:val="20"/>
          <w:color w:val="auto"/>
        </w:rPr>
      </w:pPr>
    </w:p>
    <w:p>
      <w:pPr>
        <w:ind w:right="260" w:firstLine="702"/>
        <w:spacing w:after="0" w:line="284" w:lineRule="auto"/>
        <w:rPr>
          <w:sz w:val="20"/>
          <w:szCs w:val="20"/>
          <w:color w:val="auto"/>
        </w:rPr>
      </w:pPr>
      <w:r>
        <w:rPr>
          <w:rFonts w:ascii="Arial" w:cs="Arial" w:eastAsia="Arial" w:hAnsi="Arial"/>
          <w:sz w:val="18"/>
          <w:szCs w:val="18"/>
          <w:color w:val="auto"/>
        </w:rPr>
        <w:t>The credit agreements for PAA’s revolving credit facilities (which impact the ability to access the PAA commercial paper program because they provide the financial backstop that supports PAA’s short-term credit ratings) and the indentures governing PAA’s senior notes contain cross-default provisions. PAA’s credit agreements prohibit declaration or payments of distributions on, or purchases or redemptions of, units if any default or event of default is continuing. In addition, PAA’s agreements contain various covenants limiting PAA’s ability to, among other things:</w:t>
      </w:r>
    </w:p>
    <w:p>
      <w:pPr>
        <w:spacing w:after="0" w:line="62" w:lineRule="exact"/>
        <w:rPr>
          <w:sz w:val="20"/>
          <w:szCs w:val="20"/>
          <w:color w:val="auto"/>
        </w:rPr>
      </w:pPr>
    </w:p>
    <w:p>
      <w:pPr>
        <w:ind w:left="1060" w:hanging="359"/>
        <w:spacing w:after="0"/>
        <w:tabs>
          <w:tab w:leader="none" w:pos="10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grant liens on certain property;</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incur indebtedness, including finance leases;</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sell substantially all of its assets or enter into a merger or consolidation;</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engage in certain transactions with affiliates; and</w:t>
      </w:r>
    </w:p>
    <w:p>
      <w:pPr>
        <w:spacing w:after="0" w:line="132" w:lineRule="exact"/>
        <w:rPr>
          <w:rFonts w:ascii="Arial" w:cs="Arial" w:eastAsia="Arial" w:hAnsi="Arial"/>
          <w:sz w:val="19"/>
          <w:szCs w:val="19"/>
          <w:color w:val="auto"/>
        </w:rPr>
      </w:pPr>
    </w:p>
    <w:p>
      <w:pPr>
        <w:ind w:left="1060" w:hanging="359"/>
        <w:spacing w:after="0"/>
        <w:tabs>
          <w:tab w:leader="none" w:pos="10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enter into certain burdensome agreements.</w:t>
      </w:r>
    </w:p>
    <w:p>
      <w:pPr>
        <w:spacing w:after="0" w:line="249" w:lineRule="exact"/>
        <w:rPr>
          <w:sz w:val="20"/>
          <w:szCs w:val="20"/>
          <w:color w:val="auto"/>
        </w:rPr>
      </w:pPr>
    </w:p>
    <w:p>
      <w:pPr>
        <w:ind w:right="40" w:firstLine="702"/>
        <w:spacing w:after="0" w:line="263" w:lineRule="auto"/>
        <w:rPr>
          <w:sz w:val="20"/>
          <w:szCs w:val="20"/>
          <w:color w:val="auto"/>
        </w:rPr>
      </w:pPr>
      <w:r>
        <w:rPr>
          <w:rFonts w:ascii="Arial" w:cs="Arial" w:eastAsia="Arial" w:hAnsi="Arial"/>
          <w:sz w:val="19"/>
          <w:szCs w:val="19"/>
          <w:color w:val="auto"/>
        </w:rPr>
        <w:t>The credit agreements for the PAA senior unsecured revolving credit facility and senior secured hedged inventory facility treat a change of control as an event of default and also require PAA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spacing w:after="0" w:line="196" w:lineRule="exact"/>
        <w:rPr>
          <w:sz w:val="20"/>
          <w:szCs w:val="20"/>
          <w:color w:val="auto"/>
        </w:rPr>
      </w:pPr>
    </w:p>
    <w:p>
      <w:pPr>
        <w:jc w:val="both"/>
        <w:ind w:right="340" w:firstLine="702"/>
        <w:spacing w:after="0" w:line="269" w:lineRule="auto"/>
        <w:rPr>
          <w:sz w:val="20"/>
          <w:szCs w:val="20"/>
          <w:color w:val="auto"/>
        </w:rPr>
      </w:pPr>
      <w:r>
        <w:rPr>
          <w:rFonts w:ascii="Arial" w:cs="Arial" w:eastAsia="Arial" w:hAnsi="Arial"/>
          <w:sz w:val="19"/>
          <w:szCs w:val="19"/>
          <w:color w:val="auto"/>
        </w:rPr>
        <w:t>A default under PAA’s credit agreements or indentures would permit the lenders to accelerate the maturity of the outstanding debt. As long as PAA is in compliance with the provisions contained in its credit agreements, PAA’s ability to make distributions of available cash is not restricted. As of December 31, 2023, PAA was in compliance with the covenants contained in its credit agreements and indentures.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Borrowings and Repayments</w:t>
      </w:r>
    </w:p>
    <w:p>
      <w:pPr>
        <w:spacing w:after="0" w:line="257" w:lineRule="exact"/>
        <w:rPr>
          <w:sz w:val="20"/>
          <w:szCs w:val="20"/>
          <w:color w:val="auto"/>
        </w:rPr>
      </w:pPr>
    </w:p>
    <w:p>
      <w:pPr>
        <w:ind w:right="20" w:firstLine="702"/>
        <w:spacing w:after="0" w:line="264" w:lineRule="auto"/>
        <w:rPr>
          <w:sz w:val="20"/>
          <w:szCs w:val="20"/>
          <w:color w:val="auto"/>
        </w:rPr>
      </w:pPr>
      <w:r>
        <w:rPr>
          <w:rFonts w:ascii="Arial" w:cs="Arial" w:eastAsia="Arial" w:hAnsi="Arial"/>
          <w:sz w:val="19"/>
          <w:szCs w:val="19"/>
          <w:color w:val="auto"/>
        </w:rPr>
        <w:t>Total borrowings under PAA’s credit facilities and commercial paper program for the years ended December 31, 2023, 2022 and 2021 were approximately $18.1 billion, $25.0 billion and $32.5 billion, respectively. Total repayments under PAA’s credit facilities and commercial paper program were approximately $17.7 billion, $25.0 billion and $33.2 billion for the years ended December 31, 2023, 2022 and 2021, respectively. The variance in total gross borrowings and repayments is impacted by various business and financial factors including, but not limited to, the timing, average term and method of general partnership borrowing activities.</w:t>
      </w:r>
    </w:p>
    <w:p>
      <w:pPr>
        <w:sectPr>
          <w:pgSz w:w="11880" w:h="15480" w:orient="portrait"/>
          <w:cols w:equalWidth="0" w:num="1">
            <w:col w:w="10000"/>
          </w:cols>
          <w:pgMar w:left="940" w:top="43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ectPr>
          <w:pgSz w:w="11880" w:h="15480" w:orient="portrait"/>
          <w:cols w:equalWidth="0" w:num="1">
            <w:col w:w="10000"/>
          </w:cols>
          <w:pgMar w:left="940" w:top="432" w:right="940" w:bottom="0" w:gutter="0" w:footer="0" w:header="0"/>
          <w:type w:val="continuous"/>
        </w:sectPr>
      </w:pPr>
    </w:p>
    <w:bookmarkStart w:id="137" w:name="page138"/>
    <w:bookmarkEnd w:id="137"/>
    <w:p>
      <w:pPr>
        <w:jc w:val="center"/>
        <w:ind w:right="-19"/>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Letters of Credit</w:t>
      </w:r>
    </w:p>
    <w:p>
      <w:pPr>
        <w:spacing w:after="0" w:line="257" w:lineRule="exact"/>
        <w:rPr>
          <w:sz w:val="20"/>
          <w:szCs w:val="20"/>
          <w:color w:val="auto"/>
        </w:rPr>
      </w:pPr>
    </w:p>
    <w:p>
      <w:pPr>
        <w:jc w:val="both"/>
        <w:ind w:right="220" w:firstLine="702"/>
        <w:spacing w:after="0" w:line="293" w:lineRule="auto"/>
        <w:rPr>
          <w:sz w:val="20"/>
          <w:szCs w:val="20"/>
          <w:color w:val="auto"/>
        </w:rPr>
      </w:pPr>
      <w:r>
        <w:rPr>
          <w:rFonts w:ascii="Arial" w:cs="Arial" w:eastAsia="Arial" w:hAnsi="Arial"/>
          <w:sz w:val="17"/>
          <w:szCs w:val="17"/>
          <w:color w:val="auto"/>
        </w:rPr>
        <w:t>In connection with our merchant activities, we provide certain suppliers with irrevocable standby letters of credit to secure our obligation for the purchase and transportation of crude oil and NGL. Our liabilities with respect to these purchase obligations are recorded in accounts payable on our balance sheet in the month the crude oil or NGL is purchased. Generally, these letters of credit are issued for periods of up to seventy days and are terminated upon completion of each transaction.</w:t>
      </w:r>
    </w:p>
    <w:p>
      <w:pPr>
        <w:spacing w:after="0" w:line="1"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Additionally, we issue letters of credit to support insurance programs, derivative transactions, including hedging-related margin obligations, and construction activities. At December 31, 2023 and 2022, we had outstanding letters of credit of $205 million and $102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Debt Issuance Costs</w:t>
      </w:r>
    </w:p>
    <w:p>
      <w:pPr>
        <w:spacing w:after="0" w:line="257" w:lineRule="exact"/>
        <w:rPr>
          <w:sz w:val="20"/>
          <w:szCs w:val="20"/>
          <w:color w:val="auto"/>
        </w:rPr>
      </w:pPr>
    </w:p>
    <w:p>
      <w:pPr>
        <w:jc w:val="both"/>
        <w:ind w:right="80" w:firstLine="702"/>
        <w:spacing w:after="0" w:line="276" w:lineRule="auto"/>
        <w:rPr>
          <w:sz w:val="20"/>
          <w:szCs w:val="20"/>
          <w:color w:val="auto"/>
        </w:rPr>
      </w:pPr>
      <w:r>
        <w:rPr>
          <w:rFonts w:ascii="Arial" w:cs="Arial" w:eastAsia="Arial" w:hAnsi="Arial"/>
          <w:sz w:val="19"/>
          <w:szCs w:val="19"/>
          <w:color w:val="auto"/>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11—Partners’ Capital and Distributions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Shares</w:t>
      </w:r>
    </w:p>
    <w:p>
      <w:pPr>
        <w:spacing w:after="0" w:line="257" w:lineRule="exact"/>
        <w:rPr>
          <w:sz w:val="20"/>
          <w:szCs w:val="20"/>
          <w:color w:val="auto"/>
        </w:rPr>
      </w:pPr>
    </w:p>
    <w:p>
      <w:pPr>
        <w:ind w:right="280" w:firstLine="702"/>
        <w:spacing w:after="0" w:line="298" w:lineRule="auto"/>
        <w:rPr>
          <w:sz w:val="20"/>
          <w:szCs w:val="20"/>
          <w:color w:val="auto"/>
        </w:rPr>
      </w:pPr>
      <w:r>
        <w:rPr>
          <w:rFonts w:ascii="Arial" w:cs="Arial" w:eastAsia="Arial" w:hAnsi="Arial"/>
          <w:sz w:val="18"/>
          <w:szCs w:val="18"/>
          <w:color w:val="auto"/>
        </w:rPr>
        <w:t>Our Class A shares, Class B shares and Class C shares represent limited partner interests in us. The holders of our Class A and Class B shares are entitled to exercise the rights or privileges available to limited partners under our partnership agreement, but only holders of Class A shares are entitled to participate in our distributions.</w:t>
      </w:r>
    </w:p>
    <w:p>
      <w:pPr>
        <w:spacing w:after="0" w:line="165" w:lineRule="exact"/>
        <w:rPr>
          <w:sz w:val="20"/>
          <w:szCs w:val="20"/>
          <w:color w:val="auto"/>
        </w:rPr>
      </w:pPr>
    </w:p>
    <w:p>
      <w:pPr>
        <w:ind w:right="140" w:firstLine="702"/>
        <w:spacing w:after="0" w:line="282" w:lineRule="auto"/>
        <w:rPr>
          <w:sz w:val="20"/>
          <w:szCs w:val="20"/>
          <w:color w:val="auto"/>
        </w:rPr>
      </w:pPr>
      <w:r>
        <w:rPr>
          <w:rFonts w:ascii="Arial" w:cs="Arial" w:eastAsia="Arial" w:hAnsi="Arial"/>
          <w:sz w:val="18"/>
          <w:szCs w:val="18"/>
          <w:color w:val="auto"/>
        </w:rPr>
        <w:t>Our Class C shares are non-economic and provide PAA, as the sole holder of such Class C shares, the right to vote, pro rata with the holders of our Class A and Class B shares, in the election of eligible PAGP GP directors. Pursuant to the Omnibus Agreement entered into on November 15, 2016, the number of Class C shares that PAA owns will at all times equal the number of outstanding PAA common units, excluding common units held by AAP, and Series A preferred units. Thus, the Class C shares function as a “pass-through” voting mechanism through which PAA votes at the direction of and as proxy for the PAA common unitholders (other than AAP) and Series A preferred unitholders in such director elections.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Exchange and Redemption Rights</w:t>
      </w:r>
    </w:p>
    <w:p>
      <w:pPr>
        <w:spacing w:after="0" w:line="257" w:lineRule="exact"/>
        <w:rPr>
          <w:sz w:val="20"/>
          <w:szCs w:val="20"/>
          <w:color w:val="auto"/>
        </w:rPr>
      </w:pPr>
    </w:p>
    <w:p>
      <w:pPr>
        <w:ind w:right="80" w:firstLine="702"/>
        <w:spacing w:after="0" w:line="284" w:lineRule="auto"/>
        <w:rPr>
          <w:sz w:val="20"/>
          <w:szCs w:val="20"/>
          <w:color w:val="auto"/>
        </w:rPr>
      </w:pPr>
      <w:r>
        <w:rPr>
          <w:rFonts w:ascii="Arial" w:cs="Arial" w:eastAsia="Arial" w:hAnsi="Arial"/>
          <w:sz w:val="18"/>
          <w:szCs w:val="18"/>
          <w:color w:val="auto"/>
        </w:rPr>
        <w:t>Holders of AAP units and their permitted transferees each have the right to exchange all or a portion of their AAP units for Class A shares at an exchange ratio of one Class A share for each AAP unit exchanged (referred to herein as the “Exchange Right”). This Exchange Right may be exercised only if, simultaneously therewith, an equal number of our Class B shares and general partner units (if any) are transferred by the exercising party to us. See Note 14 for information regarding the recognition of deferred tax assets associated the transfer of ownership resulting from Exchange Right exercises.</w:t>
      </w:r>
    </w:p>
    <w:p>
      <w:pPr>
        <w:spacing w:after="0" w:line="179" w:lineRule="exact"/>
        <w:rPr>
          <w:sz w:val="20"/>
          <w:szCs w:val="20"/>
          <w:color w:val="auto"/>
        </w:rPr>
      </w:pPr>
    </w:p>
    <w:p>
      <w:pPr>
        <w:ind w:firstLine="702"/>
        <w:spacing w:after="0" w:line="280" w:lineRule="auto"/>
        <w:rPr>
          <w:sz w:val="20"/>
          <w:szCs w:val="20"/>
          <w:color w:val="auto"/>
        </w:rPr>
      </w:pPr>
      <w:r>
        <w:rPr>
          <w:rFonts w:ascii="Arial" w:cs="Arial" w:eastAsia="Arial" w:hAnsi="Arial"/>
          <w:sz w:val="18"/>
          <w:szCs w:val="18"/>
          <w:color w:val="auto"/>
        </w:rPr>
        <w:t>Additionally, subject to certain limitations, a holder of AAP units (other than us) has the right (a “Redemption Right”) to cause AAP to redeem any or all of such holder’s AAP units in exchange for the distribution of an equivalent number of PAA common units held by AAP (“AAP Unit Redemption”). In connection with any AAP Unit Redemption, the redeeming holder will transfer the AAP units to AAP and a corresponding number of our Class B shares and general partner units (if any), in each case, to us. The AAP units transferred to AAP will be canceled, the Class B shares transferred to us will be canceled and any general partner units transferred to us will remain outstanding and increase our ownership percentage in our general partner. Additionally, we will issue a corresponding number of Class C shares to PAA.</w:t>
      </w:r>
    </w:p>
    <w:p>
      <w:pPr>
        <w:sectPr>
          <w:pgSz w:w="11880" w:h="15480" w:orient="portrait"/>
          <w:cols w:equalWidth="0" w:num="1">
            <w:col w:w="9980"/>
          </w:cols>
          <w:pgMar w:left="940" w:top="43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F-35</w:t>
      </w:r>
    </w:p>
    <w:p>
      <w:pPr>
        <w:sectPr>
          <w:pgSz w:w="11880" w:h="15480" w:orient="portrait"/>
          <w:cols w:equalWidth="0" w:num="1">
            <w:col w:w="9980"/>
          </w:cols>
          <w:pgMar w:left="940" w:top="432" w:right="960" w:bottom="0" w:gutter="0" w:footer="0" w:header="0"/>
          <w:type w:val="continuous"/>
        </w:sectPr>
      </w:pPr>
    </w:p>
    <w:bookmarkStart w:id="138" w:name="page139"/>
    <w:bookmarkEnd w:id="138"/>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Shares Outstanding</w:t>
      </w:r>
    </w:p>
    <w:p>
      <w:pPr>
        <w:spacing w:after="0" w:line="25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following table presents the activity for our Class A shares, Class B shares and Class C shares:</w:t>
      </w:r>
    </w:p>
    <w:p>
      <w:pPr>
        <w:spacing w:after="0" w:line="337" w:lineRule="exact"/>
        <w:rPr>
          <w:sz w:val="20"/>
          <w:szCs w:val="20"/>
          <w:color w:val="auto"/>
        </w:rPr>
      </w:pPr>
    </w:p>
    <w:tbl>
      <w:tblPr>
        <w:tblLayout w:type="fixed"/>
        <w:tblInd w:w="140" w:type="dxa"/>
        <w:tblCellMar>
          <w:top w:w="0" w:type="dxa"/>
          <w:left w:w="0" w:type="dxa"/>
          <w:bottom w:w="0" w:type="dxa"/>
          <w:right w:w="0" w:type="dxa"/>
        </w:tblCellMar>
      </w:tblPr>
      <w:tr>
        <w:trPr>
          <w:trHeight w:val="212"/>
        </w:trPr>
        <w:tc>
          <w:tcPr>
            <w:tcW w:w="6120" w:type="dxa"/>
            <w:vAlign w:val="bottom"/>
          </w:tcPr>
          <w:p>
            <w:pPr>
              <w:spacing w:after="0"/>
              <w:rPr>
                <w:sz w:val="18"/>
                <w:szCs w:val="18"/>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w w:val="90"/>
              </w:rPr>
              <w:t>Class A Shares</w:t>
            </w:r>
          </w:p>
        </w:tc>
        <w:tc>
          <w:tcPr>
            <w:tcW w:w="60" w:type="dxa"/>
            <w:vAlign w:val="bottom"/>
          </w:tcPr>
          <w:p>
            <w:pPr>
              <w:spacing w:after="0"/>
              <w:rPr>
                <w:sz w:val="18"/>
                <w:szCs w:val="18"/>
                <w:color w:val="auto"/>
              </w:rPr>
            </w:pP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b w:val="1"/>
                <w:bCs w:val="1"/>
                <w:color w:val="auto"/>
                <w:w w:val="90"/>
              </w:rPr>
              <w:t>Class B Shares</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Class C Shares</w:t>
            </w:r>
          </w:p>
        </w:tc>
        <w:tc>
          <w:tcPr>
            <w:tcW w:w="0" w:type="dxa"/>
            <w:vAlign w:val="bottom"/>
          </w:tcPr>
          <w:p>
            <w:pPr>
              <w:spacing w:after="0"/>
              <w:rPr>
                <w:sz w:val="1"/>
                <w:szCs w:val="1"/>
                <w:color w:val="auto"/>
              </w:rPr>
            </w:pPr>
          </w:p>
        </w:tc>
      </w:tr>
      <w:tr>
        <w:trPr>
          <w:trHeight w:val="253"/>
        </w:trPr>
        <w:tc>
          <w:tcPr>
            <w:tcW w:w="6120" w:type="dxa"/>
            <w:vAlign w:val="bottom"/>
          </w:tcPr>
          <w:p>
            <w:pPr>
              <w:spacing w:after="0"/>
              <w:rPr>
                <w:sz w:val="20"/>
                <w:szCs w:val="20"/>
                <w:color w:val="auto"/>
              </w:rPr>
            </w:pPr>
            <w:r>
              <w:rPr>
                <w:rFonts w:ascii="Arial" w:cs="Arial" w:eastAsia="Arial" w:hAnsi="Arial"/>
                <w:sz w:val="19"/>
                <w:szCs w:val="19"/>
                <w:color w:val="auto"/>
              </w:rPr>
              <w:t>Outstanding at December 31, 2020</w:t>
            </w:r>
          </w:p>
        </w:tc>
        <w:tc>
          <w:tcPr>
            <w:tcW w:w="1180" w:type="dxa"/>
            <w:vAlign w:val="bottom"/>
          </w:tcPr>
          <w:p>
            <w:pPr>
              <w:jc w:val="right"/>
              <w:spacing w:after="0"/>
              <w:rPr>
                <w:sz w:val="20"/>
                <w:szCs w:val="20"/>
                <w:color w:val="auto"/>
              </w:rPr>
            </w:pPr>
            <w:r>
              <w:rPr>
                <w:rFonts w:ascii="Arial" w:cs="Arial" w:eastAsia="Arial" w:hAnsi="Arial"/>
                <w:sz w:val="19"/>
                <w:szCs w:val="19"/>
                <w:color w:val="auto"/>
              </w:rPr>
              <w:t>194,051,436</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50,640,192</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547,717,762</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100"/>
              <w:spacing w:after="0"/>
              <w:rPr>
                <w:sz w:val="20"/>
                <w:szCs w:val="20"/>
                <w:color w:val="auto"/>
              </w:rPr>
            </w:pPr>
            <w:r>
              <w:rPr>
                <w:rFonts w:ascii="Arial" w:cs="Arial" w:eastAsia="Arial" w:hAnsi="Arial"/>
                <w:sz w:val="19"/>
                <w:szCs w:val="19"/>
                <w:color w:val="auto"/>
              </w:rPr>
              <w:t>Conversion of AAP Management Units</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6120" w:type="dxa"/>
            <w:vAlign w:val="bottom"/>
            <w:vMerge w:val="continue"/>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414,608</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89"/>
        </w:trPr>
        <w:tc>
          <w:tcPr>
            <w:tcW w:w="6120" w:type="dxa"/>
            <w:vAlign w:val="bottom"/>
          </w:tcPr>
          <w:p>
            <w:pPr>
              <w:ind w:left="100"/>
              <w:spacing w:after="0"/>
              <w:rPr>
                <w:sz w:val="20"/>
                <w:szCs w:val="20"/>
                <w:color w:val="auto"/>
              </w:rPr>
            </w:pPr>
            <w:r>
              <w:rPr>
                <w:rFonts w:ascii="Arial" w:cs="Arial" w:eastAsia="Arial" w:hAnsi="Arial"/>
                <w:sz w:val="19"/>
                <w:szCs w:val="19"/>
                <w:color w:val="auto"/>
              </w:rPr>
              <w:t>Exchange Right exercises</w:t>
            </w:r>
          </w:p>
        </w:tc>
        <w:tc>
          <w:tcPr>
            <w:tcW w:w="1180" w:type="dxa"/>
            <w:vAlign w:val="bottom"/>
          </w:tcPr>
          <w:p>
            <w:pPr>
              <w:jc w:val="right"/>
              <w:spacing w:after="0"/>
              <w:rPr>
                <w:sz w:val="20"/>
                <w:szCs w:val="20"/>
                <w:color w:val="auto"/>
              </w:rPr>
            </w:pPr>
            <w:r>
              <w:rPr>
                <w:rFonts w:ascii="Arial" w:cs="Arial" w:eastAsia="Arial" w:hAnsi="Arial"/>
                <w:sz w:val="19"/>
                <w:szCs w:val="19"/>
                <w:color w:val="auto"/>
              </w:rPr>
              <w:t>122,795</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(122,795)</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2"/>
        </w:trPr>
        <w:tc>
          <w:tcPr>
            <w:tcW w:w="6120" w:type="dxa"/>
            <w:vAlign w:val="bottom"/>
          </w:tcPr>
          <w:p>
            <w:pPr>
              <w:ind w:left="100"/>
              <w:spacing w:after="0"/>
              <w:rPr>
                <w:sz w:val="20"/>
                <w:szCs w:val="20"/>
                <w:color w:val="auto"/>
              </w:rPr>
            </w:pPr>
            <w:r>
              <w:rPr>
                <w:rFonts w:ascii="Arial" w:cs="Arial" w:eastAsia="Arial" w:hAnsi="Arial"/>
                <w:sz w:val="19"/>
                <w:szCs w:val="19"/>
                <w:color w:val="auto"/>
              </w:rPr>
              <w:t>Redemption Right exercises</w:t>
            </w: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(4,286,491)</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4,286,491</w:t>
            </w:r>
          </w:p>
        </w:tc>
        <w:tc>
          <w:tcPr>
            <w:tcW w:w="0" w:type="dxa"/>
            <w:vAlign w:val="bottom"/>
          </w:tcPr>
          <w:p>
            <w:pPr>
              <w:spacing w:after="0"/>
              <w:rPr>
                <w:sz w:val="1"/>
                <w:szCs w:val="1"/>
                <w:color w:val="auto"/>
              </w:rPr>
            </w:pPr>
          </w:p>
        </w:tc>
      </w:tr>
      <w:tr>
        <w:trPr>
          <w:trHeight w:val="221"/>
        </w:trPr>
        <w:tc>
          <w:tcPr>
            <w:tcW w:w="6120" w:type="dxa"/>
            <w:vAlign w:val="bottom"/>
          </w:tcPr>
          <w:p>
            <w:pPr>
              <w:ind w:left="80"/>
              <w:spacing w:after="0"/>
              <w:rPr>
                <w:sz w:val="20"/>
                <w:szCs w:val="20"/>
                <w:color w:val="auto"/>
              </w:rPr>
            </w:pPr>
            <w:r>
              <w:rPr>
                <w:rFonts w:ascii="Arial" w:cs="Arial" w:eastAsia="Arial" w:hAnsi="Arial"/>
                <w:sz w:val="19"/>
                <w:szCs w:val="19"/>
                <w:color w:val="auto"/>
                <w:w w:val="99"/>
              </w:rPr>
              <w:t>Repurchase and cancellation of common units by a subsidiary under the</w:t>
            </w: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120" w:type="dxa"/>
            <w:vAlign w:val="bottom"/>
          </w:tcPr>
          <w:p>
            <w:pPr>
              <w:ind w:left="340"/>
              <w:spacing w:after="0"/>
              <w:rPr>
                <w:sz w:val="20"/>
                <w:szCs w:val="20"/>
                <w:color w:val="auto"/>
              </w:rPr>
            </w:pPr>
            <w:r>
              <w:rPr>
                <w:rFonts w:ascii="Arial" w:cs="Arial" w:eastAsia="Arial" w:hAnsi="Arial"/>
                <w:sz w:val="19"/>
                <w:szCs w:val="19"/>
                <w:color w:val="auto"/>
              </w:rPr>
              <w:t>Common Equity Repurchase Program</w:t>
            </w: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(18,061,583)</w:t>
            </w:r>
          </w:p>
        </w:tc>
        <w:tc>
          <w:tcPr>
            <w:tcW w:w="0" w:type="dxa"/>
            <w:vAlign w:val="bottom"/>
          </w:tcPr>
          <w:p>
            <w:pPr>
              <w:spacing w:after="0"/>
              <w:rPr>
                <w:sz w:val="1"/>
                <w:szCs w:val="1"/>
                <w:color w:val="auto"/>
              </w:rPr>
            </w:pPr>
          </w:p>
        </w:tc>
      </w:tr>
      <w:tr>
        <w:trPr>
          <w:trHeight w:val="296"/>
        </w:trPr>
        <w:tc>
          <w:tcPr>
            <w:tcW w:w="6120" w:type="dxa"/>
            <w:vAlign w:val="bottom"/>
          </w:tcPr>
          <w:p>
            <w:pPr>
              <w:ind w:left="100"/>
              <w:spacing w:after="0"/>
              <w:rPr>
                <w:sz w:val="20"/>
                <w:szCs w:val="20"/>
                <w:color w:val="auto"/>
              </w:rPr>
            </w:pPr>
            <w:r>
              <w:rPr>
                <w:rFonts w:ascii="Arial" w:cs="Arial" w:eastAsia="Arial" w:hAnsi="Arial"/>
                <w:sz w:val="19"/>
                <w:szCs w:val="19"/>
                <w:color w:val="auto"/>
              </w:rPr>
              <w:t>Other</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18,546</w:t>
            </w:r>
          </w:p>
        </w:tc>
        <w:tc>
          <w:tcPr>
            <w:tcW w:w="6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654,161</w:t>
            </w:r>
          </w:p>
        </w:tc>
        <w:tc>
          <w:tcPr>
            <w:tcW w:w="0" w:type="dxa"/>
            <w:vAlign w:val="bottom"/>
          </w:tcPr>
          <w:p>
            <w:pPr>
              <w:spacing w:after="0"/>
              <w:rPr>
                <w:sz w:val="1"/>
                <w:szCs w:val="1"/>
                <w:color w:val="auto"/>
              </w:rPr>
            </w:pPr>
          </w:p>
        </w:tc>
      </w:tr>
      <w:tr>
        <w:trPr>
          <w:trHeight w:val="253"/>
        </w:trPr>
        <w:tc>
          <w:tcPr>
            <w:tcW w:w="6120" w:type="dxa"/>
            <w:vAlign w:val="bottom"/>
          </w:tcPr>
          <w:p>
            <w:pPr>
              <w:spacing w:after="0"/>
              <w:rPr>
                <w:sz w:val="20"/>
                <w:szCs w:val="20"/>
                <w:color w:val="auto"/>
              </w:rPr>
            </w:pPr>
            <w:r>
              <w:rPr>
                <w:rFonts w:ascii="Arial" w:cs="Arial" w:eastAsia="Arial" w:hAnsi="Arial"/>
                <w:sz w:val="19"/>
                <w:szCs w:val="19"/>
                <w:color w:val="auto"/>
              </w:rPr>
              <w:t>Outstanding at December 31, 2021</w:t>
            </w:r>
          </w:p>
        </w:tc>
        <w:tc>
          <w:tcPr>
            <w:tcW w:w="1180" w:type="dxa"/>
            <w:vAlign w:val="bottom"/>
          </w:tcPr>
          <w:p>
            <w:pPr>
              <w:jc w:val="right"/>
              <w:spacing w:after="0"/>
              <w:rPr>
                <w:sz w:val="20"/>
                <w:szCs w:val="20"/>
                <w:color w:val="auto"/>
              </w:rPr>
            </w:pPr>
            <w:r>
              <w:rPr>
                <w:rFonts w:ascii="Arial" w:cs="Arial" w:eastAsia="Arial" w:hAnsi="Arial"/>
                <w:sz w:val="19"/>
                <w:szCs w:val="19"/>
                <w:color w:val="auto"/>
              </w:rPr>
              <w:t>194,192,777</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46,645,514</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534,596,831</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100"/>
              <w:spacing w:after="0"/>
              <w:rPr>
                <w:sz w:val="20"/>
                <w:szCs w:val="20"/>
                <w:color w:val="auto"/>
              </w:rPr>
            </w:pPr>
            <w:r>
              <w:rPr>
                <w:rFonts w:ascii="Arial" w:cs="Arial" w:eastAsia="Arial" w:hAnsi="Arial"/>
                <w:sz w:val="19"/>
                <w:szCs w:val="19"/>
                <w:color w:val="auto"/>
              </w:rPr>
              <w:t>Conversion of AAP Management Units</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6120" w:type="dxa"/>
            <w:vAlign w:val="bottom"/>
            <w:vMerge w:val="continue"/>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258,047</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89"/>
        </w:trPr>
        <w:tc>
          <w:tcPr>
            <w:tcW w:w="6120" w:type="dxa"/>
            <w:vAlign w:val="bottom"/>
          </w:tcPr>
          <w:p>
            <w:pPr>
              <w:ind w:left="100"/>
              <w:spacing w:after="0"/>
              <w:rPr>
                <w:sz w:val="20"/>
                <w:szCs w:val="20"/>
                <w:color w:val="auto"/>
              </w:rPr>
            </w:pPr>
            <w:r>
              <w:rPr>
                <w:rFonts w:ascii="Arial" w:cs="Arial" w:eastAsia="Arial" w:hAnsi="Arial"/>
                <w:sz w:val="19"/>
                <w:szCs w:val="19"/>
                <w:color w:val="auto"/>
              </w:rPr>
              <w:t>Exchange Right exercises</w:t>
            </w:r>
          </w:p>
        </w:tc>
        <w:tc>
          <w:tcPr>
            <w:tcW w:w="1180" w:type="dxa"/>
            <w:vAlign w:val="bottom"/>
          </w:tcPr>
          <w:p>
            <w:pPr>
              <w:jc w:val="right"/>
              <w:spacing w:after="0"/>
              <w:rPr>
                <w:sz w:val="20"/>
                <w:szCs w:val="20"/>
                <w:color w:val="auto"/>
              </w:rPr>
            </w:pPr>
            <w:r>
              <w:rPr>
                <w:rFonts w:ascii="Arial" w:cs="Arial" w:eastAsia="Arial" w:hAnsi="Arial"/>
                <w:sz w:val="19"/>
                <w:szCs w:val="19"/>
                <w:color w:val="auto"/>
              </w:rPr>
              <w:t>179,150</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(179,150)</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2"/>
        </w:trPr>
        <w:tc>
          <w:tcPr>
            <w:tcW w:w="6120" w:type="dxa"/>
            <w:vAlign w:val="bottom"/>
          </w:tcPr>
          <w:p>
            <w:pPr>
              <w:ind w:left="100"/>
              <w:spacing w:after="0"/>
              <w:rPr>
                <w:sz w:val="20"/>
                <w:szCs w:val="20"/>
                <w:color w:val="auto"/>
              </w:rPr>
            </w:pPr>
            <w:r>
              <w:rPr>
                <w:rFonts w:ascii="Arial" w:cs="Arial" w:eastAsia="Arial" w:hAnsi="Arial"/>
                <w:sz w:val="19"/>
                <w:szCs w:val="19"/>
                <w:color w:val="auto"/>
              </w:rPr>
              <w:t>Redemption Right exercises</w:t>
            </w: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(518,464)</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518,464</w:t>
            </w:r>
          </w:p>
        </w:tc>
        <w:tc>
          <w:tcPr>
            <w:tcW w:w="0" w:type="dxa"/>
            <w:vAlign w:val="bottom"/>
          </w:tcPr>
          <w:p>
            <w:pPr>
              <w:spacing w:after="0"/>
              <w:rPr>
                <w:sz w:val="1"/>
                <w:szCs w:val="1"/>
                <w:color w:val="auto"/>
              </w:rPr>
            </w:pPr>
          </w:p>
        </w:tc>
      </w:tr>
      <w:tr>
        <w:trPr>
          <w:trHeight w:val="221"/>
        </w:trPr>
        <w:tc>
          <w:tcPr>
            <w:tcW w:w="6120" w:type="dxa"/>
            <w:vAlign w:val="bottom"/>
          </w:tcPr>
          <w:p>
            <w:pPr>
              <w:ind w:left="80"/>
              <w:spacing w:after="0"/>
              <w:rPr>
                <w:sz w:val="20"/>
                <w:szCs w:val="20"/>
                <w:color w:val="auto"/>
              </w:rPr>
            </w:pPr>
            <w:r>
              <w:rPr>
                <w:rFonts w:ascii="Arial" w:cs="Arial" w:eastAsia="Arial" w:hAnsi="Arial"/>
                <w:sz w:val="19"/>
                <w:szCs w:val="19"/>
                <w:color w:val="auto"/>
                <w:w w:val="99"/>
              </w:rPr>
              <w:t>Repurchase and cancellation of common units by a subsidiary under the</w:t>
            </w: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120" w:type="dxa"/>
            <w:vAlign w:val="bottom"/>
          </w:tcPr>
          <w:p>
            <w:pPr>
              <w:ind w:left="340"/>
              <w:spacing w:after="0"/>
              <w:rPr>
                <w:sz w:val="20"/>
                <w:szCs w:val="20"/>
                <w:color w:val="auto"/>
              </w:rPr>
            </w:pPr>
            <w:r>
              <w:rPr>
                <w:rFonts w:ascii="Arial" w:cs="Arial" w:eastAsia="Arial" w:hAnsi="Arial"/>
                <w:sz w:val="19"/>
                <w:szCs w:val="19"/>
                <w:color w:val="auto"/>
              </w:rPr>
              <w:t>Common Equity Repurchase Program</w:t>
            </w: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(7,251,361)</w:t>
            </w:r>
          </w:p>
        </w:tc>
        <w:tc>
          <w:tcPr>
            <w:tcW w:w="0" w:type="dxa"/>
            <w:vAlign w:val="bottom"/>
          </w:tcPr>
          <w:p>
            <w:pPr>
              <w:spacing w:after="0"/>
              <w:rPr>
                <w:sz w:val="1"/>
                <w:szCs w:val="1"/>
                <w:color w:val="auto"/>
              </w:rPr>
            </w:pPr>
          </w:p>
        </w:tc>
      </w:tr>
      <w:tr>
        <w:trPr>
          <w:trHeight w:val="295"/>
        </w:trPr>
        <w:tc>
          <w:tcPr>
            <w:tcW w:w="6120" w:type="dxa"/>
            <w:vAlign w:val="bottom"/>
          </w:tcPr>
          <w:p>
            <w:pPr>
              <w:ind w:left="100"/>
              <w:spacing w:after="0"/>
              <w:rPr>
                <w:sz w:val="20"/>
                <w:szCs w:val="20"/>
                <w:color w:val="auto"/>
              </w:rPr>
            </w:pPr>
            <w:r>
              <w:rPr>
                <w:rFonts w:ascii="Arial" w:cs="Arial" w:eastAsia="Arial" w:hAnsi="Arial"/>
                <w:sz w:val="19"/>
                <w:szCs w:val="19"/>
                <w:color w:val="auto"/>
              </w:rPr>
              <w:t>Other</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35,715</w:t>
            </w:r>
          </w:p>
        </w:tc>
        <w:tc>
          <w:tcPr>
            <w:tcW w:w="6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578,604</w:t>
            </w:r>
          </w:p>
        </w:tc>
        <w:tc>
          <w:tcPr>
            <w:tcW w:w="0" w:type="dxa"/>
            <w:vAlign w:val="bottom"/>
          </w:tcPr>
          <w:p>
            <w:pPr>
              <w:spacing w:after="0"/>
              <w:rPr>
                <w:sz w:val="1"/>
                <w:szCs w:val="1"/>
                <w:color w:val="auto"/>
              </w:rPr>
            </w:pPr>
          </w:p>
        </w:tc>
      </w:tr>
      <w:tr>
        <w:trPr>
          <w:trHeight w:val="253"/>
        </w:trPr>
        <w:tc>
          <w:tcPr>
            <w:tcW w:w="6120" w:type="dxa"/>
            <w:vAlign w:val="bottom"/>
          </w:tcPr>
          <w:p>
            <w:pPr>
              <w:spacing w:after="0"/>
              <w:rPr>
                <w:sz w:val="20"/>
                <w:szCs w:val="20"/>
                <w:color w:val="auto"/>
              </w:rPr>
            </w:pPr>
            <w:r>
              <w:rPr>
                <w:rFonts w:ascii="Arial" w:cs="Arial" w:eastAsia="Arial" w:hAnsi="Arial"/>
                <w:sz w:val="19"/>
                <w:szCs w:val="19"/>
                <w:color w:val="auto"/>
              </w:rPr>
              <w:t>Outstanding at December 31, 2022</w:t>
            </w:r>
          </w:p>
        </w:tc>
        <w:tc>
          <w:tcPr>
            <w:tcW w:w="1180" w:type="dxa"/>
            <w:vAlign w:val="bottom"/>
          </w:tcPr>
          <w:p>
            <w:pPr>
              <w:jc w:val="right"/>
              <w:spacing w:after="0"/>
              <w:rPr>
                <w:sz w:val="20"/>
                <w:szCs w:val="20"/>
                <w:color w:val="auto"/>
              </w:rPr>
            </w:pPr>
            <w:r>
              <w:rPr>
                <w:rFonts w:ascii="Arial" w:cs="Arial" w:eastAsia="Arial" w:hAnsi="Arial"/>
                <w:sz w:val="19"/>
                <w:szCs w:val="19"/>
                <w:color w:val="auto"/>
              </w:rPr>
              <w:t>194,407,642</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46,205,947</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528,442,538</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100"/>
              <w:spacing w:after="0"/>
              <w:rPr>
                <w:sz w:val="20"/>
                <w:szCs w:val="20"/>
                <w:color w:val="auto"/>
              </w:rPr>
            </w:pPr>
            <w:r>
              <w:rPr>
                <w:rFonts w:ascii="Arial" w:cs="Arial" w:eastAsia="Arial" w:hAnsi="Arial"/>
                <w:sz w:val="19"/>
                <w:szCs w:val="19"/>
                <w:color w:val="auto"/>
              </w:rPr>
              <w:t>Conversion of AAP Management Units</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6120" w:type="dxa"/>
            <w:vAlign w:val="bottom"/>
            <w:vMerge w:val="continue"/>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388,839</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89"/>
        </w:trPr>
        <w:tc>
          <w:tcPr>
            <w:tcW w:w="6120" w:type="dxa"/>
            <w:vAlign w:val="bottom"/>
          </w:tcPr>
          <w:p>
            <w:pPr>
              <w:ind w:left="100"/>
              <w:spacing w:after="0"/>
              <w:rPr>
                <w:sz w:val="20"/>
                <w:szCs w:val="20"/>
                <w:color w:val="auto"/>
              </w:rPr>
            </w:pPr>
            <w:r>
              <w:rPr>
                <w:rFonts w:ascii="Arial" w:cs="Arial" w:eastAsia="Arial" w:hAnsi="Arial"/>
                <w:sz w:val="19"/>
                <w:szCs w:val="19"/>
                <w:color w:val="auto"/>
              </w:rPr>
              <w:t>Exchange Right exercises</w:t>
            </w:r>
          </w:p>
        </w:tc>
        <w:tc>
          <w:tcPr>
            <w:tcW w:w="1180" w:type="dxa"/>
            <w:vAlign w:val="bottom"/>
          </w:tcPr>
          <w:p>
            <w:pPr>
              <w:jc w:val="right"/>
              <w:spacing w:after="0"/>
              <w:rPr>
                <w:sz w:val="20"/>
                <w:szCs w:val="20"/>
                <w:color w:val="auto"/>
              </w:rPr>
            </w:pPr>
            <w:r>
              <w:rPr>
                <w:rFonts w:ascii="Arial" w:cs="Arial" w:eastAsia="Arial" w:hAnsi="Arial"/>
                <w:sz w:val="19"/>
                <w:szCs w:val="19"/>
                <w:color w:val="auto"/>
              </w:rPr>
              <w:t>1,869,768</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(1,869,768)</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2"/>
        </w:trPr>
        <w:tc>
          <w:tcPr>
            <w:tcW w:w="6120" w:type="dxa"/>
            <w:vAlign w:val="bottom"/>
          </w:tcPr>
          <w:p>
            <w:pPr>
              <w:ind w:left="100"/>
              <w:spacing w:after="0"/>
              <w:rPr>
                <w:sz w:val="20"/>
                <w:szCs w:val="20"/>
                <w:color w:val="auto"/>
              </w:rPr>
            </w:pPr>
            <w:r>
              <w:rPr>
                <w:rFonts w:ascii="Arial" w:cs="Arial" w:eastAsia="Arial" w:hAnsi="Arial"/>
                <w:sz w:val="19"/>
                <w:szCs w:val="19"/>
                <w:color w:val="auto"/>
              </w:rPr>
              <w:t>Redemption Right exercises</w:t>
            </w: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(8,487,850)</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8,487,850</w:t>
            </w:r>
          </w:p>
        </w:tc>
        <w:tc>
          <w:tcPr>
            <w:tcW w:w="0" w:type="dxa"/>
            <w:vAlign w:val="bottom"/>
          </w:tcPr>
          <w:p>
            <w:pPr>
              <w:spacing w:after="0"/>
              <w:rPr>
                <w:sz w:val="1"/>
                <w:szCs w:val="1"/>
                <w:color w:val="auto"/>
              </w:rPr>
            </w:pPr>
          </w:p>
        </w:tc>
      </w:tr>
      <w:tr>
        <w:trPr>
          <w:trHeight w:val="295"/>
        </w:trPr>
        <w:tc>
          <w:tcPr>
            <w:tcW w:w="6120" w:type="dxa"/>
            <w:vAlign w:val="bottom"/>
          </w:tcPr>
          <w:p>
            <w:pPr>
              <w:ind w:left="100"/>
              <w:spacing w:after="0"/>
              <w:rPr>
                <w:sz w:val="20"/>
                <w:szCs w:val="20"/>
                <w:color w:val="auto"/>
              </w:rPr>
            </w:pPr>
            <w:r>
              <w:rPr>
                <w:rFonts w:ascii="Arial" w:cs="Arial" w:eastAsia="Arial" w:hAnsi="Arial"/>
                <w:sz w:val="19"/>
                <w:szCs w:val="19"/>
                <w:color w:val="auto"/>
              </w:rPr>
              <w:t>Other</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139,350</w:t>
            </w:r>
          </w:p>
        </w:tc>
        <w:tc>
          <w:tcPr>
            <w:tcW w:w="6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2,514,901</w:t>
            </w:r>
          </w:p>
        </w:tc>
        <w:tc>
          <w:tcPr>
            <w:tcW w:w="0" w:type="dxa"/>
            <w:vAlign w:val="bottom"/>
          </w:tcPr>
          <w:p>
            <w:pPr>
              <w:spacing w:after="0"/>
              <w:rPr>
                <w:sz w:val="1"/>
                <w:szCs w:val="1"/>
                <w:color w:val="auto"/>
              </w:rPr>
            </w:pPr>
          </w:p>
        </w:tc>
      </w:tr>
      <w:tr>
        <w:trPr>
          <w:trHeight w:val="253"/>
        </w:trPr>
        <w:tc>
          <w:tcPr>
            <w:tcW w:w="6120" w:type="dxa"/>
            <w:vAlign w:val="bottom"/>
          </w:tcPr>
          <w:p>
            <w:pPr>
              <w:spacing w:after="0"/>
              <w:rPr>
                <w:sz w:val="20"/>
                <w:szCs w:val="20"/>
                <w:color w:val="auto"/>
              </w:rPr>
            </w:pPr>
            <w:r>
              <w:rPr>
                <w:rFonts w:ascii="Arial" w:cs="Arial" w:eastAsia="Arial" w:hAnsi="Arial"/>
                <w:sz w:val="19"/>
                <w:szCs w:val="19"/>
                <w:color w:val="auto"/>
              </w:rPr>
              <w:t>Outstanding at December 31, 2023</w:t>
            </w:r>
          </w:p>
        </w:tc>
        <w:tc>
          <w:tcPr>
            <w:tcW w:w="1180" w:type="dxa"/>
            <w:vAlign w:val="bottom"/>
          </w:tcPr>
          <w:p>
            <w:pPr>
              <w:jc w:val="right"/>
              <w:spacing w:after="0"/>
              <w:rPr>
                <w:sz w:val="20"/>
                <w:szCs w:val="20"/>
                <w:color w:val="auto"/>
              </w:rPr>
            </w:pPr>
            <w:r>
              <w:rPr>
                <w:rFonts w:ascii="Arial" w:cs="Arial" w:eastAsia="Arial" w:hAnsi="Arial"/>
                <w:sz w:val="19"/>
                <w:szCs w:val="19"/>
                <w:color w:val="auto"/>
              </w:rPr>
              <w:t>196,416,760</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36,237,168</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539,445,289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-3615055</wp:posOffset>
            </wp:positionV>
            <wp:extent cx="6274435" cy="36220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0">
                      <a:extLst>
                        <a:ext uri="{28A0092B-C50C-407E-A947-70E740481C1C}"/>
                      </a:extLst>
                    </a:blip>
                    <a:srcRect/>
                    <a:stretch>
                      <a:fillRect/>
                    </a:stretch>
                  </pic:blipFill>
                  <pic:spPr bwMode="auto">
                    <a:xfrm>
                      <a:off x="0" y="0"/>
                      <a:ext cx="6274435" cy="362204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Distributions to Our Shareholders</w:t>
      </w:r>
    </w:p>
    <w:p>
      <w:pPr>
        <w:spacing w:after="0" w:line="257" w:lineRule="exact"/>
        <w:rPr>
          <w:sz w:val="20"/>
          <w:szCs w:val="20"/>
          <w:color w:val="auto"/>
        </w:rPr>
      </w:pPr>
    </w:p>
    <w:p>
      <w:pPr>
        <w:ind w:right="100" w:firstLine="702"/>
        <w:spacing w:after="0" w:line="269" w:lineRule="auto"/>
        <w:rPr>
          <w:sz w:val="20"/>
          <w:szCs w:val="20"/>
          <w:color w:val="auto"/>
        </w:rPr>
      </w:pPr>
      <w:r>
        <w:rPr>
          <w:rFonts w:ascii="Arial" w:cs="Arial" w:eastAsia="Arial" w:hAnsi="Arial"/>
          <w:sz w:val="19"/>
          <w:szCs w:val="19"/>
          <w:color w:val="auto"/>
        </w:rPr>
        <w:t>We distribute 100% of our available cash within 55 days following the end of each quarter to Class A shareholders of record. Available cash is generally defined as all cash on hand at the date of determination of available cash for the distribution in respect to such quarter (including expected distributions from AAP in respect of such quarter), less reserves established by our general partner for future requirements.</w:t>
      </w:r>
    </w:p>
    <w:p>
      <w:pPr>
        <w:spacing w:after="0" w:line="190" w:lineRule="exact"/>
        <w:rPr>
          <w:sz w:val="20"/>
          <w:szCs w:val="20"/>
          <w:color w:val="auto"/>
        </w:rPr>
      </w:pPr>
    </w:p>
    <w:p>
      <w:pPr>
        <w:ind w:right="500" w:firstLine="702"/>
        <w:spacing w:after="0" w:line="295" w:lineRule="auto"/>
        <w:rPr>
          <w:sz w:val="20"/>
          <w:szCs w:val="20"/>
          <w:color w:val="auto"/>
        </w:rPr>
      </w:pPr>
      <w:r>
        <w:rPr>
          <w:rFonts w:ascii="Arial" w:cs="Arial" w:eastAsia="Arial" w:hAnsi="Arial"/>
          <w:sz w:val="19"/>
          <w:szCs w:val="19"/>
          <w:color w:val="auto"/>
        </w:rPr>
        <w:t>The following table details distributions paid to our Class A shareholders during the years presented (in millions,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w:t>
            </w:r>
          </w:p>
        </w:tc>
        <w:tc>
          <w:tcPr>
            <w:tcW w:w="60" w:type="dxa"/>
            <w:vAlign w:val="bottom"/>
          </w:tcPr>
          <w:p>
            <w:pPr>
              <w:spacing w:after="0"/>
              <w:rPr>
                <w:sz w:val="18"/>
                <w:szCs w:val="18"/>
                <w:color w:val="auto"/>
              </w:rPr>
            </w:pP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Distributions to Class A Shareholders</w:t>
            </w: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jc w:val="right"/>
              <w:ind w:right="487"/>
              <w:spacing w:after="0"/>
              <w:rPr>
                <w:sz w:val="20"/>
                <w:szCs w:val="20"/>
                <w:color w:val="auto"/>
              </w:rPr>
            </w:pPr>
            <w:r>
              <w:rPr>
                <w:rFonts w:ascii="Arial" w:cs="Arial" w:eastAsia="Arial" w:hAnsi="Arial"/>
                <w:sz w:val="16"/>
                <w:szCs w:val="16"/>
                <w:b w:val="1"/>
                <w:bCs w:val="1"/>
                <w:color w:val="auto"/>
                <w:w w:val="96"/>
              </w:rPr>
              <w:t>Distributions per Class A Share</w:t>
            </w:r>
          </w:p>
        </w:tc>
      </w:tr>
      <w:tr>
        <w:trPr>
          <w:trHeight w:val="269"/>
        </w:trPr>
        <w:tc>
          <w:tcPr>
            <w:tcW w:w="3300" w:type="dxa"/>
            <w:vAlign w:val="bottom"/>
          </w:tcPr>
          <w:p>
            <w:pPr>
              <w:ind w:left="60"/>
              <w:spacing w:after="0"/>
              <w:rPr>
                <w:sz w:val="20"/>
                <w:szCs w:val="20"/>
                <w:color w:val="auto"/>
              </w:rPr>
            </w:pPr>
            <w:r>
              <w:rPr>
                <w:rFonts w:ascii="Arial" w:cs="Arial" w:eastAsia="Arial" w:hAnsi="Arial"/>
                <w:sz w:val="19"/>
                <w:szCs w:val="19"/>
                <w:color w:val="auto"/>
              </w:rPr>
              <w:t>2023</w:t>
            </w:r>
          </w:p>
        </w:tc>
        <w:tc>
          <w:tcPr>
            <w:tcW w:w="2960" w:type="dxa"/>
            <w:vAlign w:val="bottom"/>
            <w:gridSpan w:val="2"/>
          </w:tcPr>
          <w:p>
            <w:pPr>
              <w:jc w:val="right"/>
              <w:ind w:right="2662"/>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w w:val="88"/>
              </w:rPr>
              <w:t>209</w:t>
            </w:r>
          </w:p>
        </w:tc>
        <w:tc>
          <w:tcPr>
            <w:tcW w:w="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2920" w:type="dxa"/>
            <w:vAlign w:val="bottom"/>
          </w:tcPr>
          <w:p>
            <w:pPr>
              <w:jc w:val="right"/>
              <w:spacing w:after="0"/>
              <w:rPr>
                <w:sz w:val="20"/>
                <w:szCs w:val="20"/>
                <w:color w:val="auto"/>
              </w:rPr>
            </w:pPr>
            <w:r>
              <w:rPr>
                <w:rFonts w:ascii="Arial" w:cs="Arial" w:eastAsia="Arial" w:hAnsi="Arial"/>
                <w:sz w:val="19"/>
                <w:szCs w:val="19"/>
                <w:color w:val="auto"/>
              </w:rPr>
              <w:t>1.0700</w:t>
            </w:r>
          </w:p>
        </w:tc>
      </w:tr>
      <w:tr>
        <w:trPr>
          <w:trHeight w:val="292"/>
        </w:trPr>
        <w:tc>
          <w:tcPr>
            <w:tcW w:w="3300" w:type="dxa"/>
            <w:vAlign w:val="bottom"/>
          </w:tcPr>
          <w:p>
            <w:pPr>
              <w:ind w:left="60"/>
              <w:spacing w:after="0"/>
              <w:rPr>
                <w:sz w:val="20"/>
                <w:szCs w:val="20"/>
                <w:color w:val="auto"/>
              </w:rPr>
            </w:pPr>
            <w:r>
              <w:rPr>
                <w:rFonts w:ascii="Arial" w:cs="Arial" w:eastAsia="Arial" w:hAnsi="Arial"/>
                <w:sz w:val="19"/>
                <w:szCs w:val="19"/>
                <w:color w:val="auto"/>
              </w:rPr>
              <w:t>2022</w:t>
            </w:r>
          </w:p>
        </w:tc>
        <w:tc>
          <w:tcPr>
            <w:tcW w:w="2960" w:type="dxa"/>
            <w:vAlign w:val="bottom"/>
            <w:gridSpan w:val="2"/>
          </w:tcPr>
          <w:p>
            <w:pPr>
              <w:jc w:val="right"/>
              <w:ind w:right="2662"/>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w w:val="88"/>
              </w:rPr>
              <w:t>162</w:t>
            </w:r>
          </w:p>
        </w:tc>
        <w:tc>
          <w:tcPr>
            <w:tcW w:w="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2920" w:type="dxa"/>
            <w:vAlign w:val="bottom"/>
          </w:tcPr>
          <w:p>
            <w:pPr>
              <w:jc w:val="right"/>
              <w:spacing w:after="0"/>
              <w:rPr>
                <w:sz w:val="20"/>
                <w:szCs w:val="20"/>
                <w:color w:val="auto"/>
              </w:rPr>
            </w:pPr>
            <w:r>
              <w:rPr>
                <w:rFonts w:ascii="Arial" w:cs="Arial" w:eastAsia="Arial" w:hAnsi="Arial"/>
                <w:sz w:val="19"/>
                <w:szCs w:val="19"/>
                <w:color w:val="auto"/>
              </w:rPr>
              <w:t>0.8325</w:t>
            </w:r>
          </w:p>
        </w:tc>
      </w:tr>
      <w:tr>
        <w:trPr>
          <w:trHeight w:val="292"/>
        </w:trPr>
        <w:tc>
          <w:tcPr>
            <w:tcW w:w="3300" w:type="dxa"/>
            <w:vAlign w:val="bottom"/>
          </w:tcPr>
          <w:p>
            <w:pPr>
              <w:ind w:left="60"/>
              <w:spacing w:after="0"/>
              <w:rPr>
                <w:sz w:val="20"/>
                <w:szCs w:val="20"/>
                <w:color w:val="auto"/>
              </w:rPr>
            </w:pPr>
            <w:r>
              <w:rPr>
                <w:rFonts w:ascii="Arial" w:cs="Arial" w:eastAsia="Arial" w:hAnsi="Arial"/>
                <w:sz w:val="19"/>
                <w:szCs w:val="19"/>
                <w:color w:val="auto"/>
              </w:rPr>
              <w:t>2021</w:t>
            </w:r>
          </w:p>
        </w:tc>
        <w:tc>
          <w:tcPr>
            <w:tcW w:w="2960" w:type="dxa"/>
            <w:vAlign w:val="bottom"/>
            <w:gridSpan w:val="2"/>
          </w:tcPr>
          <w:p>
            <w:pPr>
              <w:jc w:val="right"/>
              <w:ind w:right="2662"/>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w w:val="88"/>
              </w:rPr>
              <w:t>140</w:t>
            </w:r>
          </w:p>
        </w:tc>
        <w:tc>
          <w:tcPr>
            <w:tcW w:w="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2920" w:type="dxa"/>
            <w:vAlign w:val="bottom"/>
          </w:tcPr>
          <w:p>
            <w:pPr>
              <w:jc w:val="right"/>
              <w:spacing w:after="0"/>
              <w:rPr>
                <w:sz w:val="20"/>
                <w:szCs w:val="20"/>
                <w:color w:val="auto"/>
              </w:rPr>
            </w:pPr>
            <w:r>
              <w:rPr>
                <w:rFonts w:ascii="Arial" w:cs="Arial" w:eastAsia="Arial" w:hAnsi="Arial"/>
                <w:sz w:val="19"/>
                <w:szCs w:val="19"/>
                <w:color w:val="auto"/>
              </w:rPr>
              <w:t>0.7200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-560705</wp:posOffset>
            </wp:positionV>
            <wp:extent cx="6367145" cy="5822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1">
                      <a:extLst>
                        <a:ext uri="{28A0092B-C50C-407E-A947-70E740481C1C}"/>
                      </a:extLst>
                    </a:blip>
                    <a:srcRect/>
                    <a:stretch>
                      <a:fillRect/>
                    </a:stretch>
                  </pic:blipFill>
                  <pic:spPr bwMode="auto">
                    <a:xfrm>
                      <a:off x="0" y="0"/>
                      <a:ext cx="6367145" cy="582295"/>
                    </a:xfrm>
                    <a:prstGeom prst="rect">
                      <a:avLst/>
                    </a:prstGeom>
                    <a:noFill/>
                  </pic:spPr>
                </pic:pic>
              </a:graphicData>
            </a:graphic>
          </wp:anchor>
        </w:drawing>
      </w:r>
    </w:p>
    <w:p>
      <w:pPr>
        <w:spacing w:after="0" w:line="2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January 8, 2024, we declared a cash distribution of $0.3175 per outstanding Class A share. This distribution of</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$63 million was paid on February 14, 2024 to shareholders of record at the close of business on January 31, 2024, for the period</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October 1, 2023 through December 31, 2023.</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Comprehensive Income/(Loss)</w:t>
      </w:r>
    </w:p>
    <w:p>
      <w:pPr>
        <w:spacing w:after="0" w:line="257" w:lineRule="exact"/>
        <w:rPr>
          <w:sz w:val="20"/>
          <w:szCs w:val="20"/>
          <w:color w:val="auto"/>
        </w:rPr>
      </w:pPr>
    </w:p>
    <w:p>
      <w:pPr>
        <w:ind w:right="120" w:firstLine="702"/>
        <w:spacing w:after="0" w:line="358" w:lineRule="auto"/>
        <w:rPr>
          <w:sz w:val="20"/>
          <w:szCs w:val="20"/>
          <w:color w:val="auto"/>
        </w:rPr>
      </w:pPr>
      <w:r>
        <w:rPr>
          <w:rFonts w:ascii="Arial" w:cs="Arial" w:eastAsia="Arial" w:hAnsi="Arial"/>
          <w:sz w:val="17"/>
          <w:szCs w:val="17"/>
          <w:color w:val="auto"/>
        </w:rPr>
        <w:t>Other comprehensive income/(loss) attributable to our Class A shareholders is comprised solely of their proportionate share of PAA’s other comprehensive income/(loss) based on our indirect ownership interest in PAA during the period.</w:t>
      </w:r>
    </w:p>
    <w:p>
      <w:pPr>
        <w:sectPr>
          <w:pgSz w:w="11880" w:h="15480" w:orient="portrait"/>
          <w:cols w:equalWidth="0" w:num="1">
            <w:col w:w="10000"/>
          </w:cols>
          <w:pgMar w:left="940" w:top="43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ectPr>
          <w:pgSz w:w="11880" w:h="15480" w:orient="portrait"/>
          <w:cols w:equalWidth="0" w:num="1">
            <w:col w:w="10000"/>
          </w:cols>
          <w:pgMar w:left="940" w:top="431" w:right="940" w:bottom="0"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Consolidated Subsidiaries</w:t>
      </w:r>
    </w:p>
    <w:p>
      <w:pPr>
        <w:spacing w:after="0" w:line="249"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Noncontrolling Interests in Subsidiaries</w:t>
      </w:r>
    </w:p>
    <w:p>
      <w:pPr>
        <w:spacing w:after="0" w:line="257" w:lineRule="exact"/>
        <w:rPr>
          <w:sz w:val="20"/>
          <w:szCs w:val="20"/>
          <w:color w:val="auto"/>
        </w:rPr>
      </w:pPr>
    </w:p>
    <w:p>
      <w:pPr>
        <w:ind w:firstLine="702"/>
        <w:spacing w:after="0" w:line="284" w:lineRule="auto"/>
        <w:rPr>
          <w:sz w:val="20"/>
          <w:szCs w:val="20"/>
          <w:color w:val="auto"/>
        </w:rPr>
      </w:pPr>
      <w:r>
        <w:rPr>
          <w:rFonts w:ascii="Arial" w:cs="Arial" w:eastAsia="Arial" w:hAnsi="Arial"/>
          <w:sz w:val="18"/>
          <w:szCs w:val="18"/>
          <w:color w:val="auto"/>
        </w:rPr>
        <w:t>As of December 31, 2023, noncontrolling interests in our subsidiaries consisted of (i) limited partner interests in PAA including a 70% interest in PAA’s common units and PAA’s Series A preferred units combined and 100% of PAA’s Series B preferred units, (ii) an approximate 16% limited partner interest in AAP, (iii) a 35% interest in the Permian JV, (iv) a 30% interest in Cactus II and (v) a 33% interest in Red River Pipeline Company LLC (“Red River”). The transactions resulting in the recognition of noncontrolling interests in the Permian JV and Cactus II are described below.</w:t>
      </w:r>
    </w:p>
    <w:p>
      <w:pPr>
        <w:spacing w:after="0" w:line="179" w:lineRule="exact"/>
        <w:rPr>
          <w:sz w:val="20"/>
          <w:szCs w:val="20"/>
          <w:color w:val="auto"/>
        </w:rPr>
      </w:pPr>
    </w:p>
    <w:p>
      <w:pPr>
        <w:ind w:right="20" w:firstLine="702"/>
        <w:spacing w:after="0" w:line="266" w:lineRule="auto"/>
        <w:rPr>
          <w:sz w:val="20"/>
          <w:szCs w:val="20"/>
          <w:color w:val="auto"/>
        </w:rPr>
      </w:pPr>
      <w:r>
        <w:rPr>
          <w:rFonts w:ascii="Arial" w:cs="Arial" w:eastAsia="Arial" w:hAnsi="Arial"/>
          <w:sz w:val="19"/>
          <w:szCs w:val="19"/>
          <w:color w:val="auto"/>
        </w:rPr>
        <w:t>In November 2022, we acquired an additional 5% interest in Cactus II which, combined with changes in governance, resulted in our obtaining control of the entity. We own 70% of Cactus II and reflect the entity as a consolidated subsidiary in our Consolidated Financial Statements, with Enbridge’s 30% interest accounted for as a noncontrolling interest. This transaction resulted in the recognition of partners’ capital attributable to noncontrolling interests of approximately $526 million. See Note 7 for more details regarding this transaction.</w:t>
      </w:r>
    </w:p>
    <w:p>
      <w:pPr>
        <w:spacing w:after="0" w:line="193" w:lineRule="exact"/>
        <w:rPr>
          <w:sz w:val="20"/>
          <w:szCs w:val="20"/>
          <w:color w:val="auto"/>
        </w:rPr>
      </w:pPr>
    </w:p>
    <w:p>
      <w:pPr>
        <w:ind w:right="180" w:firstLine="702"/>
        <w:spacing w:after="0" w:line="266" w:lineRule="auto"/>
        <w:rPr>
          <w:sz w:val="20"/>
          <w:szCs w:val="20"/>
          <w:color w:val="auto"/>
        </w:rPr>
      </w:pPr>
      <w:r>
        <w:rPr>
          <w:rFonts w:ascii="Arial" w:cs="Arial" w:eastAsia="Arial" w:hAnsi="Arial"/>
          <w:sz w:val="19"/>
          <w:szCs w:val="19"/>
          <w:color w:val="auto"/>
        </w:rPr>
        <w:t>In October 2021, we formed a joint venture, the Permian JV, with Oryx Midstream. We own 65% of the Permian JV and consolidate based on control, with Oryx Midstream’s 35% interest accounted for as a noncontrolling interest. This transaction resulted in the recognition of partners’ capital attributable to noncontrolling interests of approximately $3.1 billion and an increase to partners’ capital attributable to our Class A shareholders of $163 million. See Note 7 for more details regarding this transaction.</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Common Equity Repurchase Program</w:t>
      </w:r>
    </w:p>
    <w:p>
      <w:pPr>
        <w:spacing w:after="0" w:line="257" w:lineRule="exact"/>
        <w:rPr>
          <w:sz w:val="20"/>
          <w:szCs w:val="20"/>
          <w:color w:val="auto"/>
        </w:rPr>
      </w:pPr>
    </w:p>
    <w:p>
      <w:pPr>
        <w:ind w:right="60" w:firstLine="702"/>
        <w:spacing w:after="0" w:line="262" w:lineRule="auto"/>
        <w:rPr>
          <w:sz w:val="20"/>
          <w:szCs w:val="20"/>
          <w:color w:val="auto"/>
        </w:rPr>
      </w:pPr>
      <w:r>
        <w:rPr>
          <w:rFonts w:ascii="Arial" w:cs="Arial" w:eastAsia="Arial" w:hAnsi="Arial"/>
          <w:sz w:val="19"/>
          <w:szCs w:val="19"/>
          <w:color w:val="auto"/>
        </w:rPr>
        <w:t>In November 2020, the board of directors of our general partner approved a $500 million common equity repurchase program (the “Program”) to be utilized as an additional method of returning capital to investors. The Program authorizes the repurchase from time to time of up to $500 million of PAA common units and/or our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PAA or us to acquire a particular number of PAA common units or Class A shares. Any PAA common units or Class A shares that are repurchased will be canceled. Class C shares held by PAA associated with any publicly held common units that are repurchased will also be canceled.</w:t>
      </w:r>
    </w:p>
    <w:p>
      <w:pPr>
        <w:spacing w:after="0" w:line="198" w:lineRule="exact"/>
        <w:rPr>
          <w:sz w:val="20"/>
          <w:szCs w:val="20"/>
          <w:color w:val="auto"/>
        </w:rPr>
      </w:pPr>
    </w:p>
    <w:p>
      <w:pPr>
        <w:ind w:right="60" w:firstLine="702"/>
        <w:spacing w:after="0" w:line="284" w:lineRule="auto"/>
        <w:rPr>
          <w:sz w:val="20"/>
          <w:szCs w:val="20"/>
          <w:color w:val="auto"/>
        </w:rPr>
      </w:pPr>
      <w:r>
        <w:rPr>
          <w:rFonts w:ascii="Arial" w:cs="Arial" w:eastAsia="Arial" w:hAnsi="Arial"/>
          <w:sz w:val="18"/>
          <w:szCs w:val="18"/>
          <w:color w:val="auto"/>
        </w:rPr>
        <w:t>There were no repurchases under the Program during the year ended December 31, 2023. During the years ended December 31, 2022 and 2021, PAA repurchased common units under the Program through open market purchases for a total purchase price of $74 million and $178 million, respectively, including commissions and fees. The repurchased common units were canceled immediately upon acquisition, as were the Class C shares held by PAA associated with the repurchased common units. At December 31, 2023, the remaining available capacity under the Program was $198 million.</w:t>
      </w:r>
    </w:p>
    <w:p>
      <w:pPr>
        <w:spacing w:after="0" w:line="169" w:lineRule="exact"/>
        <w:rPr>
          <w:sz w:val="20"/>
          <w:szCs w:val="20"/>
          <w:color w:val="auto"/>
        </w:rPr>
      </w:pPr>
    </w:p>
    <w:p>
      <w:pPr>
        <w:ind w:right="40" w:firstLine="790"/>
        <w:spacing w:after="0" w:line="269" w:lineRule="auto"/>
        <w:rPr>
          <w:sz w:val="20"/>
          <w:szCs w:val="20"/>
          <w:color w:val="auto"/>
        </w:rPr>
      </w:pPr>
      <w:r>
        <w:rPr>
          <w:rFonts w:ascii="Arial" w:cs="Arial" w:eastAsia="Arial" w:hAnsi="Arial"/>
          <w:sz w:val="19"/>
          <w:szCs w:val="19"/>
          <w:color w:val="auto"/>
        </w:rPr>
        <w:t>PAA’s capital attributable to AAP was adjusted, in accordance with ASC 810, to reflect the accretion of its interest in PAA as a result of the repurchase of common units from public unitholders. Such adjustment is recognized by PAGP in proportion to its ownership interest in AAP, which results in a net increase in partners’ capital attributable to PAGP. See Note 14 for additional information regarding the associated impact to the deferred tax asset.</w:t>
      </w:r>
    </w:p>
    <w:p>
      <w:pPr>
        <w:sectPr>
          <w:pgSz w:w="11880" w:h="15480" w:orient="portrait"/>
          <w:cols w:equalWidth="0" w:num="1">
            <w:col w:w="10000"/>
          </w:cols>
          <w:pgMar w:left="940" w:top="43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ectPr>
          <w:pgSz w:w="11880" w:h="15480" w:orient="portrait"/>
          <w:cols w:equalWidth="0" w:num="1">
            <w:col w:w="10000"/>
          </w:cols>
          <w:pgMar w:left="940" w:top="432" w:right="940" w:bottom="0" w:gutter="0" w:footer="0" w:header="0"/>
          <w:type w:val="continuous"/>
        </w:sectPr>
      </w:pPr>
    </w:p>
    <w:bookmarkStart w:id="140" w:name="page141"/>
    <w:bookmarkEnd w:id="140"/>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Subsidiary Distributions</w:t>
      </w:r>
    </w:p>
    <w:p>
      <w:pPr>
        <w:spacing w:after="0" w:line="255" w:lineRule="exact"/>
        <w:rPr>
          <w:sz w:val="20"/>
          <w:szCs w:val="20"/>
          <w:color w:val="auto"/>
        </w:rPr>
      </w:pPr>
    </w:p>
    <w:p>
      <w:pPr>
        <w:ind w:right="80" w:firstLine="702"/>
        <w:spacing w:after="0" w:line="279" w:lineRule="auto"/>
        <w:rPr>
          <w:sz w:val="20"/>
          <w:szCs w:val="20"/>
          <w:color w:val="auto"/>
        </w:rPr>
      </w:pPr>
      <w:r>
        <w:rPr>
          <w:rFonts w:ascii="Arial" w:cs="Arial" w:eastAsia="Arial" w:hAnsi="Arial"/>
          <w:sz w:val="18"/>
          <w:szCs w:val="18"/>
          <w:b w:val="1"/>
          <w:bCs w:val="1"/>
          <w:i w:val="1"/>
          <w:iCs w:val="1"/>
          <w:color w:val="auto"/>
        </w:rPr>
        <w:t xml:space="preserve">PAA Series A Preferred Unit Distributions. </w:t>
      </w:r>
      <w:r>
        <w:rPr>
          <w:rFonts w:ascii="Arial" w:cs="Arial" w:eastAsia="Arial" w:hAnsi="Arial"/>
          <w:sz w:val="18"/>
          <w:szCs w:val="18"/>
          <w:color w:val="auto"/>
        </w:rPr>
        <w:t>After the fifth anniversary of the January 28, 2016 issuance date of PAA’s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A preferred units, the holders of PAA’s Series A preferred units, acting by majority vote, had the option to make a one-time election to reset the Series A preferred unit distribution rate to equal the then applicable rate of ten-year U.S. Treasury Securities plus 5.85% (the “Preferred Distribution Rate Reset Option”). The Preferred Distribution Rate Reset Option was accounted for as an embedded derivative. See Note 12 for additional information. In January 2023, the Series A preferred unitholders elected the Preferred Distribution Rate Reset Option which resulted in an increase in the quarterly distribution rate to approximately $0.615 per unit. This new distribution rate was effective on January 31, 2023. The quarterly distribution paid in May 2023 reflected a pro-rated amount of approximately $0.585 per unit.</w:t>
      </w:r>
    </w:p>
    <w:p>
      <w:pPr>
        <w:spacing w:after="0" w:line="183" w:lineRule="exact"/>
        <w:rPr>
          <w:sz w:val="20"/>
          <w:szCs w:val="20"/>
          <w:color w:val="auto"/>
        </w:rPr>
      </w:pPr>
    </w:p>
    <w:p>
      <w:pPr>
        <w:ind w:right="260" w:firstLine="702"/>
        <w:spacing w:after="0" w:line="295" w:lineRule="auto"/>
        <w:rPr>
          <w:sz w:val="20"/>
          <w:szCs w:val="20"/>
          <w:color w:val="auto"/>
        </w:rPr>
      </w:pPr>
      <w:r>
        <w:rPr>
          <w:rFonts w:ascii="Arial" w:cs="Arial" w:eastAsia="Arial" w:hAnsi="Arial"/>
          <w:sz w:val="19"/>
          <w:szCs w:val="19"/>
          <w:color w:val="auto"/>
        </w:rPr>
        <w:t>The following table details distributions paid to PAA’s Series A preferred unitholders during the years presented (in millions, except unit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20" w:type="dxa"/>
            <w:vAlign w:val="bottom"/>
            <w:tcBorders>
              <w:bottom w:val="single" w:sz="8" w:color="auto"/>
            </w:tcBorders>
            <w:gridSpan w:val="5"/>
          </w:tcPr>
          <w:p>
            <w:pPr>
              <w:jc w:val="right"/>
              <w:ind w:right="882"/>
              <w:spacing w:after="0"/>
              <w:rPr>
                <w:sz w:val="20"/>
                <w:szCs w:val="20"/>
                <w:color w:val="auto"/>
              </w:rPr>
            </w:pPr>
            <w:r>
              <w:rPr>
                <w:rFonts w:ascii="Arial" w:cs="Arial" w:eastAsia="Arial" w:hAnsi="Arial"/>
                <w:sz w:val="16"/>
                <w:szCs w:val="16"/>
                <w:b w:val="1"/>
                <w:bCs w:val="1"/>
                <w:color w:val="auto"/>
              </w:rPr>
              <w:t>Series A Preferred Unitholders</w:t>
            </w:r>
          </w:p>
        </w:tc>
        <w:tc>
          <w:tcPr>
            <w:tcW w:w="440" w:type="dxa"/>
            <w:vAlign w:val="bottom"/>
            <w:tcBorders>
              <w:bottom w:val="single" w:sz="8" w:color="auto"/>
            </w:tcBorders>
          </w:tcPr>
          <w:p>
            <w:pPr>
              <w:spacing w:after="0"/>
              <w:rPr>
                <w:sz w:val="18"/>
                <w:szCs w:val="18"/>
                <w:color w:val="auto"/>
              </w:rPr>
            </w:pPr>
          </w:p>
        </w:tc>
      </w:tr>
      <w:tr>
        <w:trPr>
          <w:trHeight w:val="229"/>
        </w:trPr>
        <w:tc>
          <w:tcPr>
            <w:tcW w:w="50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w:t>
            </w:r>
          </w:p>
        </w:tc>
        <w:tc>
          <w:tcPr>
            <w:tcW w:w="60" w:type="dxa"/>
            <w:vAlign w:val="bottom"/>
          </w:tcPr>
          <w:p>
            <w:pPr>
              <w:spacing w:after="0"/>
              <w:rPr>
                <w:sz w:val="19"/>
                <w:szCs w:val="19"/>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6"/>
                <w:szCs w:val="16"/>
                <w:b w:val="1"/>
                <w:bCs w:val="1"/>
                <w:color w:val="auto"/>
              </w:rPr>
              <w:t>Cash Distribution</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Distribution per Unit</w:t>
            </w:r>
          </w:p>
        </w:tc>
        <w:tc>
          <w:tcPr>
            <w:tcW w:w="440" w:type="dxa"/>
            <w:vAlign w:val="bottom"/>
            <w:tcBorders>
              <w:bottom w:val="single" w:sz="8" w:color="auto"/>
            </w:tcBorders>
          </w:tcPr>
          <w:p>
            <w:pPr>
              <w:spacing w:after="0"/>
              <w:rPr>
                <w:sz w:val="19"/>
                <w:szCs w:val="19"/>
                <w:color w:val="auto"/>
              </w:rPr>
            </w:pPr>
          </w:p>
        </w:tc>
      </w:tr>
      <w:tr>
        <w:trPr>
          <w:trHeight w:val="269"/>
        </w:trPr>
        <w:tc>
          <w:tcPr>
            <w:tcW w:w="5080" w:type="dxa"/>
            <w:vAlign w:val="bottom"/>
          </w:tcPr>
          <w:p>
            <w:pPr>
              <w:ind w:left="60"/>
              <w:spacing w:after="0"/>
              <w:rPr>
                <w:sz w:val="20"/>
                <w:szCs w:val="20"/>
                <w:color w:val="auto"/>
              </w:rPr>
            </w:pPr>
            <w:r>
              <w:rPr>
                <w:rFonts w:ascii="Arial" w:cs="Arial" w:eastAsia="Arial" w:hAnsi="Arial"/>
                <w:sz w:val="19"/>
                <w:szCs w:val="19"/>
                <w:color w:val="auto"/>
              </w:rPr>
              <w:t>2023</w:t>
            </w:r>
          </w:p>
        </w:tc>
        <w:tc>
          <w:tcPr>
            <w:tcW w:w="60" w:type="dxa"/>
            <w:vAlign w:val="bottom"/>
          </w:tcPr>
          <w:p>
            <w:pPr>
              <w:spacing w:after="0"/>
              <w:rPr>
                <w:sz w:val="23"/>
                <w:szCs w:val="23"/>
                <w:color w:val="auto"/>
              </w:rPr>
            </w:pPr>
          </w:p>
        </w:tc>
        <w:tc>
          <w:tcPr>
            <w:tcW w:w="1880" w:type="dxa"/>
            <w:vAlign w:val="bottom"/>
          </w:tcPr>
          <w:p>
            <w:pPr>
              <w:jc w:val="right"/>
              <w:ind w:right="1630"/>
              <w:spacing w:after="0"/>
              <w:rPr>
                <w:sz w:val="20"/>
                <w:szCs w:val="20"/>
                <w:color w:val="auto"/>
              </w:rPr>
            </w:pPr>
            <w:r>
              <w:rPr>
                <w:rFonts w:ascii="Arial" w:cs="Arial" w:eastAsia="Arial" w:hAnsi="Arial"/>
                <w:sz w:val="19"/>
                <w:szCs w:val="19"/>
                <w:color w:val="auto"/>
              </w:rPr>
              <w:t>$</w:t>
            </w:r>
          </w:p>
        </w:tc>
        <w:tc>
          <w:tcPr>
            <w:tcW w:w="480" w:type="dxa"/>
            <w:vAlign w:val="bottom"/>
          </w:tcPr>
          <w:p>
            <w:pPr>
              <w:jc w:val="right"/>
              <w:spacing w:after="0"/>
              <w:rPr>
                <w:sz w:val="20"/>
                <w:szCs w:val="20"/>
                <w:color w:val="auto"/>
              </w:rPr>
            </w:pPr>
            <w:r>
              <w:rPr>
                <w:rFonts w:ascii="Arial" w:cs="Arial" w:eastAsia="Arial" w:hAnsi="Arial"/>
                <w:sz w:val="19"/>
                <w:szCs w:val="19"/>
                <w:color w:val="auto"/>
              </w:rPr>
              <w:t>166</w:t>
            </w:r>
          </w:p>
        </w:tc>
        <w:tc>
          <w:tcPr>
            <w:tcW w:w="80" w:type="dxa"/>
            <w:vAlign w:val="bottom"/>
            <w:tcBorders>
              <w:right w:val="single" w:sz="8" w:color="auto"/>
            </w:tcBorders>
          </w:tcPr>
          <w:p>
            <w:pPr>
              <w:spacing w:after="0"/>
              <w:rPr>
                <w:sz w:val="23"/>
                <w:szCs w:val="23"/>
                <w:color w:val="auto"/>
              </w:rPr>
            </w:pPr>
          </w:p>
        </w:tc>
        <w:tc>
          <w:tcPr>
            <w:tcW w:w="1980" w:type="dxa"/>
            <w:vAlign w:val="bottom"/>
            <w:gridSpan w:val="2"/>
          </w:tcPr>
          <w:p>
            <w:pPr>
              <w:jc w:val="right"/>
              <w:ind w:right="1682"/>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w w:val="91"/>
              </w:rPr>
              <w:t>2.34</w:t>
            </w:r>
          </w:p>
        </w:tc>
      </w:tr>
      <w:tr>
        <w:trPr>
          <w:trHeight w:val="292"/>
        </w:trPr>
        <w:tc>
          <w:tcPr>
            <w:tcW w:w="5080" w:type="dxa"/>
            <w:vAlign w:val="bottom"/>
          </w:tcPr>
          <w:p>
            <w:pPr>
              <w:ind w:left="60"/>
              <w:spacing w:after="0"/>
              <w:rPr>
                <w:sz w:val="20"/>
                <w:szCs w:val="20"/>
                <w:color w:val="auto"/>
              </w:rPr>
            </w:pPr>
            <w:r>
              <w:rPr>
                <w:rFonts w:ascii="Arial" w:cs="Arial" w:eastAsia="Arial" w:hAnsi="Arial"/>
                <w:sz w:val="19"/>
                <w:szCs w:val="19"/>
                <w:color w:val="auto"/>
              </w:rPr>
              <w:t>2022</w:t>
            </w:r>
          </w:p>
        </w:tc>
        <w:tc>
          <w:tcPr>
            <w:tcW w:w="60" w:type="dxa"/>
            <w:vAlign w:val="bottom"/>
          </w:tcPr>
          <w:p>
            <w:pPr>
              <w:spacing w:after="0"/>
              <w:rPr>
                <w:sz w:val="24"/>
                <w:szCs w:val="24"/>
                <w:color w:val="auto"/>
              </w:rPr>
            </w:pPr>
          </w:p>
        </w:tc>
        <w:tc>
          <w:tcPr>
            <w:tcW w:w="1880" w:type="dxa"/>
            <w:vAlign w:val="bottom"/>
          </w:tcPr>
          <w:p>
            <w:pPr>
              <w:jc w:val="right"/>
              <w:ind w:right="1630"/>
              <w:spacing w:after="0"/>
              <w:rPr>
                <w:sz w:val="20"/>
                <w:szCs w:val="20"/>
                <w:color w:val="auto"/>
              </w:rPr>
            </w:pPr>
            <w:r>
              <w:rPr>
                <w:rFonts w:ascii="Arial" w:cs="Arial" w:eastAsia="Arial" w:hAnsi="Arial"/>
                <w:sz w:val="19"/>
                <w:szCs w:val="19"/>
                <w:color w:val="auto"/>
              </w:rPr>
              <w:t>$</w:t>
            </w:r>
          </w:p>
        </w:tc>
        <w:tc>
          <w:tcPr>
            <w:tcW w:w="480" w:type="dxa"/>
            <w:vAlign w:val="bottom"/>
          </w:tcPr>
          <w:p>
            <w:pPr>
              <w:jc w:val="right"/>
              <w:spacing w:after="0"/>
              <w:rPr>
                <w:sz w:val="20"/>
                <w:szCs w:val="20"/>
                <w:color w:val="auto"/>
              </w:rPr>
            </w:pPr>
            <w:r>
              <w:rPr>
                <w:rFonts w:ascii="Arial" w:cs="Arial" w:eastAsia="Arial" w:hAnsi="Arial"/>
                <w:sz w:val="19"/>
                <w:szCs w:val="19"/>
                <w:color w:val="auto"/>
              </w:rPr>
              <w:t>149</w:t>
            </w:r>
          </w:p>
        </w:tc>
        <w:tc>
          <w:tcPr>
            <w:tcW w:w="80" w:type="dxa"/>
            <w:vAlign w:val="bottom"/>
            <w:tcBorders>
              <w:right w:val="single" w:sz="8" w:color="auto"/>
            </w:tcBorders>
          </w:tcPr>
          <w:p>
            <w:pPr>
              <w:spacing w:after="0"/>
              <w:rPr>
                <w:sz w:val="24"/>
                <w:szCs w:val="24"/>
                <w:color w:val="auto"/>
              </w:rPr>
            </w:pPr>
          </w:p>
        </w:tc>
        <w:tc>
          <w:tcPr>
            <w:tcW w:w="1980" w:type="dxa"/>
            <w:vAlign w:val="bottom"/>
            <w:gridSpan w:val="2"/>
          </w:tcPr>
          <w:p>
            <w:pPr>
              <w:jc w:val="right"/>
              <w:ind w:right="1682"/>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w w:val="91"/>
              </w:rPr>
              <w:t>2.10</w:t>
            </w:r>
          </w:p>
        </w:tc>
      </w:tr>
      <w:tr>
        <w:trPr>
          <w:trHeight w:val="306"/>
        </w:trPr>
        <w:tc>
          <w:tcPr>
            <w:tcW w:w="5080" w:type="dxa"/>
            <w:vAlign w:val="bottom"/>
          </w:tcPr>
          <w:p>
            <w:pPr>
              <w:ind w:left="60"/>
              <w:spacing w:after="0"/>
              <w:rPr>
                <w:sz w:val="20"/>
                <w:szCs w:val="20"/>
                <w:color w:val="auto"/>
              </w:rPr>
            </w:pPr>
            <w:r>
              <w:rPr>
                <w:rFonts w:ascii="Arial" w:cs="Arial" w:eastAsia="Arial" w:hAnsi="Arial"/>
                <w:sz w:val="19"/>
                <w:szCs w:val="19"/>
                <w:color w:val="auto"/>
              </w:rPr>
              <w:t>2021</w:t>
            </w:r>
          </w:p>
        </w:tc>
        <w:tc>
          <w:tcPr>
            <w:tcW w:w="60" w:type="dxa"/>
            <w:vAlign w:val="bottom"/>
          </w:tcPr>
          <w:p>
            <w:pPr>
              <w:spacing w:after="0"/>
              <w:rPr>
                <w:sz w:val="24"/>
                <w:szCs w:val="24"/>
                <w:color w:val="auto"/>
              </w:rPr>
            </w:pPr>
          </w:p>
        </w:tc>
        <w:tc>
          <w:tcPr>
            <w:tcW w:w="1880" w:type="dxa"/>
            <w:vAlign w:val="bottom"/>
          </w:tcPr>
          <w:p>
            <w:pPr>
              <w:jc w:val="right"/>
              <w:ind w:right="1630"/>
              <w:spacing w:after="0"/>
              <w:rPr>
                <w:sz w:val="20"/>
                <w:szCs w:val="20"/>
                <w:color w:val="auto"/>
              </w:rPr>
            </w:pPr>
            <w:r>
              <w:rPr>
                <w:rFonts w:ascii="Arial" w:cs="Arial" w:eastAsia="Arial" w:hAnsi="Arial"/>
                <w:sz w:val="19"/>
                <w:szCs w:val="19"/>
                <w:color w:val="auto"/>
              </w:rPr>
              <w:t>$</w:t>
            </w:r>
          </w:p>
        </w:tc>
        <w:tc>
          <w:tcPr>
            <w:tcW w:w="480" w:type="dxa"/>
            <w:vAlign w:val="bottom"/>
          </w:tcPr>
          <w:p>
            <w:pPr>
              <w:jc w:val="right"/>
              <w:spacing w:after="0"/>
              <w:rPr>
                <w:sz w:val="20"/>
                <w:szCs w:val="20"/>
                <w:color w:val="auto"/>
              </w:rPr>
            </w:pPr>
            <w:r>
              <w:rPr>
                <w:rFonts w:ascii="Arial" w:cs="Arial" w:eastAsia="Arial" w:hAnsi="Arial"/>
                <w:sz w:val="19"/>
                <w:szCs w:val="19"/>
                <w:color w:val="auto"/>
              </w:rPr>
              <w:t>149</w:t>
            </w:r>
          </w:p>
        </w:tc>
        <w:tc>
          <w:tcPr>
            <w:tcW w:w="80" w:type="dxa"/>
            <w:vAlign w:val="bottom"/>
            <w:tcBorders>
              <w:right w:val="single" w:sz="8" w:color="auto"/>
            </w:tcBorders>
          </w:tcPr>
          <w:p>
            <w:pPr>
              <w:spacing w:after="0"/>
              <w:rPr>
                <w:sz w:val="24"/>
                <w:szCs w:val="24"/>
                <w:color w:val="auto"/>
              </w:rPr>
            </w:pPr>
          </w:p>
        </w:tc>
        <w:tc>
          <w:tcPr>
            <w:tcW w:w="1980" w:type="dxa"/>
            <w:vAlign w:val="bottom"/>
            <w:gridSpan w:val="2"/>
          </w:tcPr>
          <w:p>
            <w:pPr>
              <w:jc w:val="right"/>
              <w:ind w:right="1682"/>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w w:val="91"/>
              </w:rPr>
              <w:t>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-568960</wp:posOffset>
            </wp:positionV>
            <wp:extent cx="6376670" cy="5822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2">
                      <a:extLst>
                        <a:ext uri="{28A0092B-C50C-407E-A947-70E740481C1C}"/>
                      </a:extLst>
                    </a:blip>
                    <a:srcRect/>
                    <a:stretch>
                      <a:fillRect/>
                    </a:stretch>
                  </pic:blipFill>
                  <pic:spPr bwMode="auto">
                    <a:xfrm>
                      <a:off x="0" y="0"/>
                      <a:ext cx="6376670" cy="58229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4808855</wp:posOffset>
                </wp:positionH>
                <wp:positionV relativeFrom="paragraph">
                  <wp:posOffset>-556895</wp:posOffset>
                </wp:positionV>
                <wp:extent cx="0" cy="556895"/>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56895"/>
                        </a:xfrm>
                        <a:prstGeom prst="line">
                          <a:avLst/>
                        </a:prstGeom>
                        <a:solidFill>
                          <a:srgbClr val="FFFFFF"/>
                        </a:solidFill>
                        <a:ln w="0">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65pt,-43.8499pt" to="378.6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3267710</wp:posOffset>
                </wp:positionH>
                <wp:positionV relativeFrom="paragraph">
                  <wp:posOffset>-714375</wp:posOffset>
                </wp:positionV>
                <wp:extent cx="149479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47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3pt,-56.2499pt" to="375pt,-56.2499pt" o:allowincell="f" strokecolor="#000000" strokeweight="0pt"/>
            </w:pict>
          </mc:Fallback>
        </mc:AlternateContent>
      </w:r>
    </w:p>
    <w:p>
      <w:pPr>
        <w:spacing w:after="0" w:line="251" w:lineRule="exact"/>
        <w:rPr>
          <w:sz w:val="20"/>
          <w:szCs w:val="20"/>
          <w:color w:val="auto"/>
        </w:rPr>
      </w:pPr>
    </w:p>
    <w:p>
      <w:pPr>
        <w:ind w:right="620" w:firstLine="702"/>
        <w:spacing w:after="0" w:line="276" w:lineRule="auto"/>
        <w:rPr>
          <w:sz w:val="20"/>
          <w:szCs w:val="20"/>
          <w:color w:val="auto"/>
        </w:rPr>
      </w:pPr>
      <w:r>
        <w:rPr>
          <w:rFonts w:ascii="Arial" w:cs="Arial" w:eastAsia="Arial" w:hAnsi="Arial"/>
          <w:sz w:val="19"/>
          <w:szCs w:val="19"/>
          <w:color w:val="auto"/>
        </w:rPr>
        <w:t>On February 14, 2024, PAA paid a cash distribution of $44 million to its Series A preferred unitholders. At December 31, 2023, such amount was accrued as distributions payable in “Other current liabilities” on our Consolidated Balance Sheet.</w:t>
      </w:r>
    </w:p>
    <w:p>
      <w:pPr>
        <w:spacing w:after="0" w:line="180" w:lineRule="exact"/>
        <w:rPr>
          <w:sz w:val="20"/>
          <w:szCs w:val="20"/>
          <w:color w:val="auto"/>
        </w:rPr>
      </w:pPr>
    </w:p>
    <w:p>
      <w:pPr>
        <w:ind w:right="340" w:firstLine="702"/>
        <w:spacing w:after="0" w:line="263" w:lineRule="auto"/>
        <w:rPr>
          <w:sz w:val="20"/>
          <w:szCs w:val="20"/>
          <w:color w:val="auto"/>
        </w:rPr>
      </w:pPr>
      <w:r>
        <w:rPr>
          <w:rFonts w:ascii="Arial" w:cs="Arial" w:eastAsia="Arial" w:hAnsi="Arial"/>
          <w:sz w:val="19"/>
          <w:szCs w:val="19"/>
          <w:b w:val="1"/>
          <w:bCs w:val="1"/>
          <w:i w:val="1"/>
          <w:iCs w:val="1"/>
          <w:color w:val="auto"/>
        </w:rPr>
        <w:t xml:space="preserve">PAA Series B Preferred Unit Distributions. </w:t>
      </w:r>
      <w:r>
        <w:rPr>
          <w:rFonts w:ascii="Arial" w:cs="Arial" w:eastAsia="Arial" w:hAnsi="Arial"/>
          <w:sz w:val="19"/>
          <w:szCs w:val="19"/>
          <w:color w:val="auto"/>
        </w:rPr>
        <w:t>The initial distribution rate for the Series B preferred units from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including October 10, 2017 to, but not including, November 15, 2022 was 6.125% per year of the liquidation preference per unit (equal to $61.25 per unit per year). From November 15, 2022 through August 14, 2023, distributions on the Series B preferred units accumulated for each distribution period at a percentage of the liquidation preference equal to the applicable three-month LIBOR plus a spread of 4.11% per annum. Beginning August 15, 2023, distributions on the Series B preferred units accumulate based on the applicable three-month SOFR, plus a credit spread adjustment of 0.26121%, plus 4.11% per annum.</w:t>
      </w:r>
    </w:p>
    <w:p>
      <w:pPr>
        <w:spacing w:after="0" w:line="198" w:lineRule="exact"/>
        <w:rPr>
          <w:sz w:val="20"/>
          <w:szCs w:val="20"/>
          <w:color w:val="auto"/>
        </w:rPr>
      </w:pPr>
    </w:p>
    <w:p>
      <w:pPr>
        <w:ind w:right="260" w:firstLine="702"/>
        <w:spacing w:after="0" w:line="295" w:lineRule="auto"/>
        <w:rPr>
          <w:sz w:val="20"/>
          <w:szCs w:val="20"/>
          <w:color w:val="auto"/>
        </w:rPr>
      </w:pPr>
      <w:r>
        <w:rPr>
          <w:rFonts w:ascii="Arial" w:cs="Arial" w:eastAsia="Arial" w:hAnsi="Arial"/>
          <w:sz w:val="19"/>
          <w:szCs w:val="19"/>
          <w:color w:val="auto"/>
        </w:rPr>
        <w:t>The following table details distributions paid to PAA’s Series B preferred unitholders during the years presented (in millions, except unit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60" w:type="dxa"/>
            <w:vAlign w:val="bottom"/>
            <w:tcBorders>
              <w:bottom w:val="single" w:sz="8" w:color="auto"/>
            </w:tcBorders>
            <w:gridSpan w:val="6"/>
          </w:tcPr>
          <w:p>
            <w:pPr>
              <w:jc w:val="right"/>
              <w:ind w:right="1307"/>
              <w:spacing w:after="0"/>
              <w:rPr>
                <w:sz w:val="20"/>
                <w:szCs w:val="20"/>
                <w:color w:val="auto"/>
              </w:rPr>
            </w:pPr>
            <w:r>
              <w:rPr>
                <w:rFonts w:ascii="Arial" w:cs="Arial" w:eastAsia="Arial" w:hAnsi="Arial"/>
                <w:sz w:val="16"/>
                <w:szCs w:val="16"/>
                <w:b w:val="1"/>
                <w:bCs w:val="1"/>
                <w:color w:val="auto"/>
              </w:rPr>
              <w:t>Series B Preferred Unitholders</w:t>
            </w:r>
          </w:p>
        </w:tc>
      </w:tr>
      <w:tr>
        <w:trPr>
          <w:trHeight w:val="229"/>
        </w:trPr>
        <w:tc>
          <w:tcPr>
            <w:tcW w:w="50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w:t>
            </w:r>
          </w:p>
        </w:tc>
        <w:tc>
          <w:tcPr>
            <w:tcW w:w="60" w:type="dxa"/>
            <w:vAlign w:val="bottom"/>
          </w:tcPr>
          <w:p>
            <w:pPr>
              <w:spacing w:after="0"/>
              <w:rPr>
                <w:sz w:val="19"/>
                <w:szCs w:val="19"/>
                <w:color w:val="auto"/>
              </w:rPr>
            </w:pPr>
          </w:p>
        </w:tc>
        <w:tc>
          <w:tcPr>
            <w:tcW w:w="1940" w:type="dxa"/>
            <w:vAlign w:val="bottom"/>
            <w:tcBorders>
              <w:bottom w:val="single" w:sz="8" w:color="auto"/>
            </w:tcBorders>
          </w:tcPr>
          <w:p>
            <w:pPr>
              <w:jc w:val="right"/>
              <w:ind w:right="70"/>
              <w:spacing w:after="0"/>
              <w:rPr>
                <w:sz w:val="20"/>
                <w:szCs w:val="20"/>
                <w:color w:val="auto"/>
              </w:rPr>
            </w:pPr>
            <w:r>
              <w:rPr>
                <w:rFonts w:ascii="Arial" w:cs="Arial" w:eastAsia="Arial" w:hAnsi="Arial"/>
                <w:sz w:val="16"/>
                <w:szCs w:val="16"/>
                <w:b w:val="1"/>
                <w:bCs w:val="1"/>
                <w:color w:val="auto"/>
              </w:rPr>
              <w:t>Cash Distribution</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Distribution per Unit</w:t>
            </w:r>
          </w:p>
        </w:tc>
      </w:tr>
      <w:tr>
        <w:trPr>
          <w:trHeight w:val="269"/>
        </w:trPr>
        <w:tc>
          <w:tcPr>
            <w:tcW w:w="5080" w:type="dxa"/>
            <w:vAlign w:val="bottom"/>
          </w:tcPr>
          <w:p>
            <w:pPr>
              <w:ind w:left="60"/>
              <w:spacing w:after="0"/>
              <w:rPr>
                <w:sz w:val="20"/>
                <w:szCs w:val="20"/>
                <w:color w:val="auto"/>
              </w:rPr>
            </w:pPr>
            <w:r>
              <w:rPr>
                <w:rFonts w:ascii="Arial" w:cs="Arial" w:eastAsia="Arial" w:hAnsi="Arial"/>
                <w:sz w:val="19"/>
                <w:szCs w:val="19"/>
                <w:color w:val="auto"/>
              </w:rPr>
              <w:t>2023</w:t>
            </w:r>
          </w:p>
        </w:tc>
        <w:tc>
          <w:tcPr>
            <w:tcW w:w="60" w:type="dxa"/>
            <w:vAlign w:val="bottom"/>
          </w:tcPr>
          <w:p>
            <w:pPr>
              <w:spacing w:after="0"/>
              <w:rPr>
                <w:sz w:val="23"/>
                <w:szCs w:val="23"/>
                <w:color w:val="auto"/>
              </w:rPr>
            </w:pPr>
          </w:p>
        </w:tc>
        <w:tc>
          <w:tcPr>
            <w:tcW w:w="1940" w:type="dxa"/>
            <w:vAlign w:val="bottom"/>
          </w:tcPr>
          <w:p>
            <w:pPr>
              <w:jc w:val="right"/>
              <w:ind w:right="1690"/>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75</w:t>
            </w:r>
          </w:p>
        </w:tc>
        <w:tc>
          <w:tcPr>
            <w:tcW w:w="80" w:type="dxa"/>
            <w:vAlign w:val="bottom"/>
            <w:tcBorders>
              <w:right w:val="single" w:sz="8" w:color="auto"/>
            </w:tcBorders>
          </w:tcPr>
          <w:p>
            <w:pPr>
              <w:spacing w:after="0"/>
              <w:rPr>
                <w:sz w:val="23"/>
                <w:szCs w:val="23"/>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2040" w:type="dxa"/>
            <w:vAlign w:val="bottom"/>
          </w:tcPr>
          <w:p>
            <w:pPr>
              <w:jc w:val="right"/>
              <w:spacing w:after="0"/>
              <w:rPr>
                <w:sz w:val="20"/>
                <w:szCs w:val="20"/>
                <w:color w:val="auto"/>
              </w:rPr>
            </w:pPr>
            <w:r>
              <w:rPr>
                <w:rFonts w:ascii="Arial" w:cs="Arial" w:eastAsia="Arial" w:hAnsi="Arial"/>
                <w:sz w:val="19"/>
                <w:szCs w:val="19"/>
                <w:color w:val="auto"/>
              </w:rPr>
              <w:t>93.43</w:t>
            </w:r>
          </w:p>
        </w:tc>
      </w:tr>
      <w:tr>
        <w:trPr>
          <w:trHeight w:val="292"/>
        </w:trPr>
        <w:tc>
          <w:tcPr>
            <w:tcW w:w="5080" w:type="dxa"/>
            <w:vAlign w:val="bottom"/>
          </w:tcPr>
          <w:p>
            <w:pPr>
              <w:ind w:left="60"/>
              <w:spacing w:after="0"/>
              <w:rPr>
                <w:sz w:val="20"/>
                <w:szCs w:val="20"/>
                <w:color w:val="auto"/>
              </w:rPr>
            </w:pPr>
            <w:r>
              <w:rPr>
                <w:rFonts w:ascii="Arial" w:cs="Arial" w:eastAsia="Arial" w:hAnsi="Arial"/>
                <w:sz w:val="19"/>
                <w:szCs w:val="19"/>
                <w:color w:val="auto"/>
              </w:rPr>
              <w:t>2022</w:t>
            </w:r>
          </w:p>
        </w:tc>
        <w:tc>
          <w:tcPr>
            <w:tcW w:w="60" w:type="dxa"/>
            <w:vAlign w:val="bottom"/>
          </w:tcPr>
          <w:p>
            <w:pPr>
              <w:spacing w:after="0"/>
              <w:rPr>
                <w:sz w:val="24"/>
                <w:szCs w:val="24"/>
                <w:color w:val="auto"/>
              </w:rPr>
            </w:pPr>
          </w:p>
        </w:tc>
        <w:tc>
          <w:tcPr>
            <w:tcW w:w="1940" w:type="dxa"/>
            <w:vAlign w:val="bottom"/>
          </w:tcPr>
          <w:p>
            <w:pPr>
              <w:jc w:val="right"/>
              <w:ind w:right="1690"/>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49</w:t>
            </w:r>
          </w:p>
        </w:tc>
        <w:tc>
          <w:tcPr>
            <w:tcW w:w="80" w:type="dxa"/>
            <w:vAlign w:val="bottom"/>
            <w:tcBorders>
              <w:right w:val="single" w:sz="8" w:color="auto"/>
            </w:tcBorders>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2040" w:type="dxa"/>
            <w:vAlign w:val="bottom"/>
          </w:tcPr>
          <w:p>
            <w:pPr>
              <w:jc w:val="right"/>
              <w:spacing w:after="0"/>
              <w:rPr>
                <w:sz w:val="20"/>
                <w:szCs w:val="20"/>
                <w:color w:val="auto"/>
              </w:rPr>
            </w:pPr>
            <w:r>
              <w:rPr>
                <w:rFonts w:ascii="Arial" w:cs="Arial" w:eastAsia="Arial" w:hAnsi="Arial"/>
                <w:sz w:val="19"/>
                <w:szCs w:val="19"/>
                <w:color w:val="auto"/>
              </w:rPr>
              <w:t>61.25</w:t>
            </w:r>
          </w:p>
        </w:tc>
      </w:tr>
      <w:tr>
        <w:trPr>
          <w:trHeight w:val="306"/>
        </w:trPr>
        <w:tc>
          <w:tcPr>
            <w:tcW w:w="5080" w:type="dxa"/>
            <w:vAlign w:val="bottom"/>
          </w:tcPr>
          <w:p>
            <w:pPr>
              <w:ind w:left="60"/>
              <w:spacing w:after="0"/>
              <w:rPr>
                <w:sz w:val="20"/>
                <w:szCs w:val="20"/>
                <w:color w:val="auto"/>
              </w:rPr>
            </w:pPr>
            <w:r>
              <w:rPr>
                <w:rFonts w:ascii="Arial" w:cs="Arial" w:eastAsia="Arial" w:hAnsi="Arial"/>
                <w:sz w:val="19"/>
                <w:szCs w:val="19"/>
                <w:color w:val="auto"/>
              </w:rPr>
              <w:t>2021</w:t>
            </w:r>
          </w:p>
        </w:tc>
        <w:tc>
          <w:tcPr>
            <w:tcW w:w="60" w:type="dxa"/>
            <w:vAlign w:val="bottom"/>
          </w:tcPr>
          <w:p>
            <w:pPr>
              <w:spacing w:after="0"/>
              <w:rPr>
                <w:sz w:val="24"/>
                <w:szCs w:val="24"/>
                <w:color w:val="auto"/>
              </w:rPr>
            </w:pPr>
          </w:p>
        </w:tc>
        <w:tc>
          <w:tcPr>
            <w:tcW w:w="1940" w:type="dxa"/>
            <w:vAlign w:val="bottom"/>
          </w:tcPr>
          <w:p>
            <w:pPr>
              <w:jc w:val="right"/>
              <w:ind w:right="1690"/>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49</w:t>
            </w:r>
          </w:p>
        </w:tc>
        <w:tc>
          <w:tcPr>
            <w:tcW w:w="80" w:type="dxa"/>
            <w:vAlign w:val="bottom"/>
            <w:tcBorders>
              <w:right w:val="single" w:sz="8" w:color="auto"/>
            </w:tcBorders>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2040" w:type="dxa"/>
            <w:vAlign w:val="bottom"/>
          </w:tcPr>
          <w:p>
            <w:pPr>
              <w:jc w:val="right"/>
              <w:spacing w:after="0"/>
              <w:rPr>
                <w:sz w:val="20"/>
                <w:szCs w:val="20"/>
                <w:color w:val="auto"/>
              </w:rPr>
            </w:pPr>
            <w:r>
              <w:rPr>
                <w:rFonts w:ascii="Arial" w:cs="Arial" w:eastAsia="Arial" w:hAnsi="Arial"/>
                <w:sz w:val="19"/>
                <w:szCs w:val="19"/>
                <w:color w:val="auto"/>
              </w:rPr>
              <w:t>61.25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-568960</wp:posOffset>
            </wp:positionV>
            <wp:extent cx="6376670" cy="5822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3">
                      <a:extLst>
                        <a:ext uri="{28A0092B-C50C-407E-A947-70E740481C1C}"/>
                      </a:extLst>
                    </a:blip>
                    <a:srcRect/>
                    <a:stretch>
                      <a:fillRect/>
                    </a:stretch>
                  </pic:blipFill>
                  <pic:spPr bwMode="auto">
                    <a:xfrm>
                      <a:off x="0" y="0"/>
                      <a:ext cx="6376670" cy="58229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4808855</wp:posOffset>
                </wp:positionH>
                <wp:positionV relativeFrom="paragraph">
                  <wp:posOffset>-556895</wp:posOffset>
                </wp:positionV>
                <wp:extent cx="0" cy="556895"/>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56895"/>
                        </a:xfrm>
                        <a:prstGeom prst="line">
                          <a:avLst/>
                        </a:prstGeom>
                        <a:solidFill>
                          <a:srgbClr val="FFFFFF"/>
                        </a:solidFill>
                        <a:ln w="0">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65pt,-43.8499pt" to="378.6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3267710</wp:posOffset>
                </wp:positionH>
                <wp:positionV relativeFrom="paragraph">
                  <wp:posOffset>-714375</wp:posOffset>
                </wp:positionV>
                <wp:extent cx="149479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47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3pt,-56.2499pt" to="375pt,-56.2499pt" o:allowincell="f" strokecolor="#000000" strokeweight="0pt"/>
            </w:pict>
          </mc:Fallback>
        </mc:AlternateContent>
      </w:r>
    </w:p>
    <w:p>
      <w:pPr>
        <w:spacing w:after="0" w:line="251" w:lineRule="exact"/>
        <w:rPr>
          <w:sz w:val="20"/>
          <w:szCs w:val="20"/>
          <w:color w:val="auto"/>
        </w:rPr>
      </w:pPr>
    </w:p>
    <w:p>
      <w:pPr>
        <w:ind w:right="280" w:firstLine="702"/>
        <w:spacing w:after="0" w:line="276" w:lineRule="auto"/>
        <w:rPr>
          <w:sz w:val="20"/>
          <w:szCs w:val="20"/>
          <w:color w:val="auto"/>
        </w:rPr>
      </w:pPr>
      <w:r>
        <w:rPr>
          <w:rFonts w:ascii="Arial" w:cs="Arial" w:eastAsia="Arial" w:hAnsi="Arial"/>
          <w:sz w:val="19"/>
          <w:szCs w:val="19"/>
          <w:color w:val="auto"/>
        </w:rPr>
        <w:t>On February 15, 2024, PAA paid a cash distribution of $20 million ($24.92 per unit) to its Series B preferred unitholders. At December 31, 2023, approximately $10 million of accrued distributions payable to PAA’s Series B preferred unitholders was included in “Other current liabilities” on our Consolidated Balance Sheet.</w:t>
      </w:r>
    </w:p>
    <w:p>
      <w:pPr>
        <w:spacing w:after="0" w:line="180" w:lineRule="exact"/>
        <w:rPr>
          <w:sz w:val="20"/>
          <w:szCs w:val="20"/>
          <w:color w:val="auto"/>
        </w:rPr>
      </w:pPr>
    </w:p>
    <w:p>
      <w:pPr>
        <w:ind w:right="160" w:firstLine="702"/>
        <w:spacing w:after="0" w:line="285" w:lineRule="auto"/>
        <w:rPr>
          <w:sz w:val="20"/>
          <w:szCs w:val="20"/>
          <w:color w:val="auto"/>
        </w:rPr>
      </w:pPr>
      <w:r>
        <w:rPr>
          <w:rFonts w:ascii="Arial" w:cs="Arial" w:eastAsia="Arial" w:hAnsi="Arial"/>
          <w:sz w:val="18"/>
          <w:szCs w:val="18"/>
          <w:b w:val="1"/>
          <w:bCs w:val="1"/>
          <w:i w:val="1"/>
          <w:iCs w:val="1"/>
          <w:color w:val="auto"/>
        </w:rPr>
        <w:t xml:space="preserve">PAA Common Unit Distributions. </w:t>
      </w:r>
      <w:r>
        <w:rPr>
          <w:rFonts w:ascii="Arial" w:cs="Arial" w:eastAsia="Arial" w:hAnsi="Arial"/>
          <w:sz w:val="18"/>
          <w:szCs w:val="18"/>
          <w:color w:val="auto"/>
        </w:rPr>
        <w:t>After making distributions to its outstanding preferred units, PAA distributes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remainder of its available cash within 45 days following the end of each quarter to common unitholders of record, including AAP. Available cash is generally defined as all of PAA’s cash and cash equivalents on hand at the end of each quarter, less reserves established in the discretion of its general partner for future requirements. PAA’s available cash also includes cash on hand resulting from borrowings made after the end of the quarter.</w:t>
      </w:r>
    </w:p>
    <w:p>
      <w:pPr>
        <w:sectPr>
          <w:pgSz w:w="11880" w:h="15480" w:orient="portrait"/>
          <w:cols w:equalWidth="0" w:num="1">
            <w:col w:w="10000"/>
          </w:cols>
          <w:pgMar w:left="940" w:top="43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ectPr>
          <w:pgSz w:w="11880" w:h="15480" w:orient="portrait"/>
          <w:cols w:equalWidth="0" w:num="1">
            <w:col w:w="10000"/>
          </w:cols>
          <w:pgMar w:left="940" w:top="431" w:right="940" w:bottom="0" w:gutter="0" w:footer="0" w:header="0"/>
          <w:type w:val="continuous"/>
        </w:sectPr>
      </w:pPr>
    </w:p>
    <w:bookmarkStart w:id="141" w:name="page142"/>
    <w:bookmarkEnd w:id="141"/>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left="1" w:right="660" w:firstLine="702"/>
        <w:spacing w:after="0" w:line="295" w:lineRule="auto"/>
        <w:rPr>
          <w:sz w:val="20"/>
          <w:szCs w:val="20"/>
          <w:color w:val="auto"/>
        </w:rPr>
      </w:pPr>
      <w:r>
        <w:rPr>
          <w:rFonts w:ascii="Arial" w:cs="Arial" w:eastAsia="Arial" w:hAnsi="Arial"/>
          <w:sz w:val="19"/>
          <w:szCs w:val="19"/>
          <w:color w:val="auto"/>
        </w:rPr>
        <w:t>The following table details distributions paid by PAA to its common unitholders during the years presented (in millions, except per unit data):</w:t>
      </w:r>
    </w:p>
    <w:p>
      <w:pPr>
        <w:spacing w:after="0" w:line="238" w:lineRule="exact"/>
        <w:rPr>
          <w:sz w:val="20"/>
          <w:szCs w:val="20"/>
          <w:color w:val="auto"/>
        </w:rPr>
      </w:pPr>
    </w:p>
    <w:tbl>
      <w:tblPr>
        <w:tblLayout w:type="fixed"/>
        <w:tblInd w:w="21"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6"/>
                <w:szCs w:val="16"/>
                <w:b w:val="1"/>
                <w:bCs w:val="1"/>
                <w:color w:val="auto"/>
                <w:w w:val="91"/>
              </w:rPr>
              <w:t>Distributions Paid</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6"/>
                <w:szCs w:val="16"/>
                <w:b w:val="1"/>
                <w:bCs w:val="1"/>
                <w:color w:val="auto"/>
                <w:w w:val="87"/>
              </w:rPr>
              <w:t>Distributions per</w:t>
            </w:r>
          </w:p>
        </w:tc>
      </w:tr>
      <w:tr>
        <w:trPr>
          <w:trHeight w:val="214"/>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Year</w:t>
            </w:r>
          </w:p>
        </w:tc>
        <w:tc>
          <w:tcPr>
            <w:tcW w:w="80" w:type="dxa"/>
            <w:vAlign w:val="bottom"/>
          </w:tcPr>
          <w:p>
            <w:pPr>
              <w:spacing w:after="0"/>
              <w:rPr>
                <w:sz w:val="18"/>
                <w:szCs w:val="18"/>
                <w:color w:val="auto"/>
              </w:rPr>
            </w:pPr>
          </w:p>
        </w:tc>
        <w:tc>
          <w:tcPr>
            <w:tcW w:w="122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Public</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7"/>
              <w:spacing w:after="0"/>
              <w:rPr>
                <w:sz w:val="20"/>
                <w:szCs w:val="20"/>
                <w:color w:val="auto"/>
              </w:rPr>
            </w:pPr>
            <w:r>
              <w:rPr>
                <w:rFonts w:ascii="Arial" w:cs="Arial" w:eastAsia="Arial" w:hAnsi="Arial"/>
                <w:sz w:val="16"/>
                <w:szCs w:val="16"/>
                <w:b w:val="1"/>
                <w:bCs w:val="1"/>
                <w:color w:val="auto"/>
              </w:rPr>
              <w:t>AAP</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67"/>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6"/>
                <w:szCs w:val="16"/>
                <w:b w:val="1"/>
                <w:bCs w:val="1"/>
                <w:color w:val="auto"/>
                <w:w w:val="99"/>
              </w:rPr>
              <w:t>common unit</w:t>
            </w:r>
          </w:p>
        </w:tc>
      </w:tr>
      <w:tr>
        <w:trPr>
          <w:trHeight w:val="256"/>
        </w:trPr>
        <w:tc>
          <w:tcPr>
            <w:tcW w:w="3460" w:type="dxa"/>
            <w:vAlign w:val="bottom"/>
          </w:tcPr>
          <w:p>
            <w:pPr>
              <w:ind w:left="40"/>
              <w:spacing w:after="0"/>
              <w:rPr>
                <w:sz w:val="20"/>
                <w:szCs w:val="20"/>
                <w:color w:val="auto"/>
              </w:rPr>
            </w:pPr>
            <w:r>
              <w:rPr>
                <w:rFonts w:ascii="Arial" w:cs="Arial" w:eastAsia="Arial" w:hAnsi="Arial"/>
                <w:sz w:val="19"/>
                <w:szCs w:val="19"/>
                <w:color w:val="auto"/>
              </w:rPr>
              <w:t>2023</w:t>
            </w:r>
          </w:p>
        </w:tc>
        <w:tc>
          <w:tcPr>
            <w:tcW w:w="80" w:type="dxa"/>
            <w:vAlign w:val="bottom"/>
          </w:tcPr>
          <w:p>
            <w:pPr>
              <w:spacing w:after="0"/>
              <w:rPr>
                <w:sz w:val="22"/>
                <w:szCs w:val="22"/>
                <w:color w:val="auto"/>
              </w:rPr>
            </w:pPr>
          </w:p>
        </w:tc>
        <w:tc>
          <w:tcPr>
            <w:tcW w:w="1220" w:type="dxa"/>
            <w:vAlign w:val="bottom"/>
          </w:tcPr>
          <w:p>
            <w:pPr>
              <w:jc w:val="right"/>
              <w:ind w:right="987"/>
              <w:spacing w:after="0"/>
              <w:rPr>
                <w:sz w:val="20"/>
                <w:szCs w:val="20"/>
                <w:color w:val="auto"/>
              </w:rPr>
            </w:pPr>
            <w:r>
              <w:rPr>
                <w:rFonts w:ascii="Arial" w:cs="Arial" w:eastAsia="Arial" w:hAnsi="Arial"/>
                <w:sz w:val="19"/>
                <w:szCs w:val="19"/>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492</w:t>
            </w:r>
          </w:p>
        </w:tc>
        <w:tc>
          <w:tcPr>
            <w:tcW w:w="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256</w:t>
            </w:r>
          </w:p>
        </w:tc>
        <w:tc>
          <w:tcPr>
            <w:tcW w:w="42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748</w:t>
            </w:r>
          </w:p>
        </w:tc>
        <w:tc>
          <w:tcPr>
            <w:tcW w:w="80" w:type="dxa"/>
            <w:vAlign w:val="bottom"/>
            <w:tcBorders>
              <w:right w:val="single" w:sz="8" w:color="auto"/>
            </w:tcBorders>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1.0700</w:t>
            </w:r>
          </w:p>
        </w:tc>
      </w:tr>
      <w:tr>
        <w:trPr>
          <w:trHeight w:val="278"/>
        </w:trPr>
        <w:tc>
          <w:tcPr>
            <w:tcW w:w="3460" w:type="dxa"/>
            <w:vAlign w:val="bottom"/>
          </w:tcPr>
          <w:p>
            <w:pPr>
              <w:ind w:left="40"/>
              <w:spacing w:after="0"/>
              <w:rPr>
                <w:sz w:val="20"/>
                <w:szCs w:val="20"/>
                <w:color w:val="auto"/>
              </w:rPr>
            </w:pPr>
            <w:r>
              <w:rPr>
                <w:rFonts w:ascii="Arial" w:cs="Arial" w:eastAsia="Arial" w:hAnsi="Arial"/>
                <w:sz w:val="19"/>
                <w:szCs w:val="19"/>
                <w:color w:val="auto"/>
              </w:rPr>
              <w:t>2022</w:t>
            </w:r>
          </w:p>
        </w:tc>
        <w:tc>
          <w:tcPr>
            <w:tcW w:w="80" w:type="dxa"/>
            <w:vAlign w:val="bottom"/>
          </w:tcPr>
          <w:p>
            <w:pPr>
              <w:spacing w:after="0"/>
              <w:rPr>
                <w:sz w:val="24"/>
                <w:szCs w:val="24"/>
                <w:color w:val="auto"/>
              </w:rPr>
            </w:pPr>
          </w:p>
        </w:tc>
        <w:tc>
          <w:tcPr>
            <w:tcW w:w="1220" w:type="dxa"/>
            <w:vAlign w:val="bottom"/>
          </w:tcPr>
          <w:p>
            <w:pPr>
              <w:jc w:val="right"/>
              <w:ind w:right="987"/>
              <w:spacing w:after="0"/>
              <w:rPr>
                <w:sz w:val="20"/>
                <w:szCs w:val="20"/>
                <w:color w:val="auto"/>
              </w:rPr>
            </w:pPr>
            <w:r>
              <w:rPr>
                <w:rFonts w:ascii="Arial" w:cs="Arial" w:eastAsia="Arial" w:hAnsi="Arial"/>
                <w:sz w:val="19"/>
                <w:szCs w:val="19"/>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383</w:t>
            </w:r>
          </w:p>
        </w:tc>
        <w:tc>
          <w:tcPr>
            <w:tcW w:w="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201</w:t>
            </w:r>
          </w:p>
        </w:tc>
        <w:tc>
          <w:tcPr>
            <w:tcW w:w="42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584</w:t>
            </w:r>
          </w:p>
        </w:tc>
        <w:tc>
          <w:tcPr>
            <w:tcW w:w="80" w:type="dxa"/>
            <w:vAlign w:val="bottom"/>
            <w:tcBorders>
              <w:right w:val="single" w:sz="8" w:color="auto"/>
            </w:tcBorders>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0.8325</w:t>
            </w:r>
          </w:p>
        </w:tc>
      </w:tr>
      <w:tr>
        <w:trPr>
          <w:trHeight w:val="289"/>
        </w:trPr>
        <w:tc>
          <w:tcPr>
            <w:tcW w:w="3460" w:type="dxa"/>
            <w:vAlign w:val="bottom"/>
          </w:tcPr>
          <w:p>
            <w:pPr>
              <w:ind w:left="40"/>
              <w:spacing w:after="0"/>
              <w:rPr>
                <w:sz w:val="20"/>
                <w:szCs w:val="20"/>
                <w:color w:val="auto"/>
              </w:rPr>
            </w:pPr>
            <w:r>
              <w:rPr>
                <w:rFonts w:ascii="Arial" w:cs="Arial" w:eastAsia="Arial" w:hAnsi="Arial"/>
                <w:sz w:val="19"/>
                <w:szCs w:val="19"/>
                <w:color w:val="auto"/>
              </w:rPr>
              <w:t>2021</w:t>
            </w:r>
          </w:p>
        </w:tc>
        <w:tc>
          <w:tcPr>
            <w:tcW w:w="80" w:type="dxa"/>
            <w:vAlign w:val="bottom"/>
          </w:tcPr>
          <w:p>
            <w:pPr>
              <w:spacing w:after="0"/>
              <w:rPr>
                <w:sz w:val="24"/>
                <w:szCs w:val="24"/>
                <w:color w:val="auto"/>
              </w:rPr>
            </w:pPr>
          </w:p>
        </w:tc>
        <w:tc>
          <w:tcPr>
            <w:tcW w:w="1220" w:type="dxa"/>
            <w:vAlign w:val="bottom"/>
          </w:tcPr>
          <w:p>
            <w:pPr>
              <w:jc w:val="right"/>
              <w:ind w:right="987"/>
              <w:spacing w:after="0"/>
              <w:rPr>
                <w:sz w:val="20"/>
                <w:szCs w:val="20"/>
                <w:color w:val="auto"/>
              </w:rPr>
            </w:pPr>
            <w:r>
              <w:rPr>
                <w:rFonts w:ascii="Arial" w:cs="Arial" w:eastAsia="Arial" w:hAnsi="Arial"/>
                <w:sz w:val="19"/>
                <w:szCs w:val="19"/>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341</w:t>
            </w:r>
          </w:p>
        </w:tc>
        <w:tc>
          <w:tcPr>
            <w:tcW w:w="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176</w:t>
            </w:r>
          </w:p>
        </w:tc>
        <w:tc>
          <w:tcPr>
            <w:tcW w:w="42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517</w:t>
            </w:r>
          </w:p>
        </w:tc>
        <w:tc>
          <w:tcPr>
            <w:tcW w:w="80" w:type="dxa"/>
            <w:vAlign w:val="bottom"/>
            <w:tcBorders>
              <w:right w:val="single" w:sz="8" w:color="auto"/>
            </w:tcBorders>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0.7200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-541020</wp:posOffset>
            </wp:positionV>
            <wp:extent cx="6358255" cy="2019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4">
                      <a:extLst>
                        <a:ext uri="{28A0092B-C50C-407E-A947-70E740481C1C}"/>
                      </a:extLst>
                    </a:blip>
                    <a:srcRect/>
                    <a:stretch>
                      <a:fillRect/>
                    </a:stretch>
                  </pic:blipFill>
                  <pic:spPr bwMode="auto">
                    <a:xfrm>
                      <a:off x="0" y="0"/>
                      <a:ext cx="6358255" cy="2019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-188595</wp:posOffset>
            </wp:positionV>
            <wp:extent cx="6358255" cy="2019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85">
                      <a:extLst>
                        <a:ext uri="{28A0092B-C50C-407E-A947-70E740481C1C}"/>
                      </a:extLst>
                    </a:blip>
                    <a:srcRect/>
                    <a:stretch>
                      <a:fillRect/>
                    </a:stretch>
                  </pic:blipFill>
                  <pic:spPr bwMode="auto">
                    <a:xfrm>
                      <a:off x="0" y="0"/>
                      <a:ext cx="6358255" cy="2019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5366385</wp:posOffset>
                </wp:positionH>
                <wp:positionV relativeFrom="paragraph">
                  <wp:posOffset>-528955</wp:posOffset>
                </wp:positionV>
                <wp:extent cx="0" cy="528955"/>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28955"/>
                        </a:xfrm>
                        <a:prstGeom prst="line">
                          <a:avLst/>
                        </a:prstGeom>
                        <a:solidFill>
                          <a:srgbClr val="FFFFFF"/>
                        </a:solidFill>
                        <a:ln w="0">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2.55pt,-41.6499pt" to="422.55pt,0pt" o:allowincell="f" strokecolor="#000000" strokeweight="0pt"/>
            </w:pict>
          </mc:Fallback>
        </mc:AlternateContent>
      </w:r>
    </w:p>
    <w:p>
      <w:pPr>
        <w:spacing w:after="0" w:line="251" w:lineRule="exact"/>
        <w:rPr>
          <w:sz w:val="20"/>
          <w:szCs w:val="20"/>
          <w:color w:val="auto"/>
        </w:rPr>
      </w:pPr>
    </w:p>
    <w:p>
      <w:pPr>
        <w:ind w:left="1" w:right="100" w:firstLine="702"/>
        <w:spacing w:after="0" w:line="269" w:lineRule="auto"/>
        <w:rPr>
          <w:sz w:val="20"/>
          <w:szCs w:val="20"/>
          <w:color w:val="auto"/>
        </w:rPr>
      </w:pPr>
      <w:r>
        <w:rPr>
          <w:rFonts w:ascii="Arial" w:cs="Arial" w:eastAsia="Arial" w:hAnsi="Arial"/>
          <w:sz w:val="19"/>
          <w:szCs w:val="19"/>
          <w:color w:val="auto"/>
        </w:rPr>
        <w:t>On January 8, 2024, PAA declared a cash distribution of $0.3175 per unit on its outstanding common units. The total distribution of $223 million was paid on February 14, 2024 to unitholders of record at the close of business on January 31, 2024, for the period from October 1, 2023 through December 31, 2023. Of this amount, approximately $74 million was paid to AAP.</w:t>
      </w:r>
    </w:p>
    <w:p>
      <w:pPr>
        <w:spacing w:after="0" w:line="189" w:lineRule="exact"/>
        <w:rPr>
          <w:sz w:val="20"/>
          <w:szCs w:val="20"/>
          <w:color w:val="auto"/>
        </w:rPr>
      </w:pPr>
    </w:p>
    <w:p>
      <w:pPr>
        <w:ind w:left="1" w:right="140" w:firstLine="702"/>
        <w:spacing w:after="0" w:line="270" w:lineRule="auto"/>
        <w:rPr>
          <w:sz w:val="20"/>
          <w:szCs w:val="20"/>
          <w:color w:val="auto"/>
        </w:rPr>
      </w:pPr>
      <w:r>
        <w:rPr>
          <w:rFonts w:ascii="Arial" w:cs="Arial" w:eastAsia="Arial" w:hAnsi="Arial"/>
          <w:sz w:val="19"/>
          <w:szCs w:val="19"/>
          <w:b w:val="1"/>
          <w:bCs w:val="1"/>
          <w:i w:val="1"/>
          <w:iCs w:val="1"/>
          <w:color w:val="auto"/>
        </w:rPr>
        <w:t xml:space="preserve">AAP Distributions. </w:t>
      </w:r>
      <w:r>
        <w:rPr>
          <w:rFonts w:ascii="Arial" w:cs="Arial" w:eastAsia="Arial" w:hAnsi="Arial"/>
          <w:sz w:val="19"/>
          <w:szCs w:val="19"/>
          <w:color w:val="auto"/>
        </w:rPr>
        <w:t>AAP distributes all of the cash received from PAA distributions on a quarterly basis, less reserves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established in the discretion of its general partner for future requirements. Generally, distributions are paid to its partners in proportion to their percentage interest in AAP. The following table details the distributions to AAP’s partners paid during the years presented from distributions received from PAA (in millions):</w:t>
      </w:r>
    </w:p>
    <w:p>
      <w:pPr>
        <w:spacing w:after="0" w:line="276" w:lineRule="exact"/>
        <w:rPr>
          <w:sz w:val="20"/>
          <w:szCs w:val="20"/>
          <w:color w:val="auto"/>
        </w:rPr>
      </w:pPr>
    </w:p>
    <w:tbl>
      <w:tblPr>
        <w:tblLayout w:type="fixed"/>
        <w:tblInd w:w="21" w:type="dxa"/>
        <w:tblCellMar>
          <w:top w:w="0" w:type="dxa"/>
          <w:left w:w="0" w:type="dxa"/>
          <w:bottom w:w="0" w:type="dxa"/>
          <w:right w:w="0" w:type="dxa"/>
        </w:tblCellMar>
      </w:tblPr>
      <w:tr>
        <w:trPr>
          <w:trHeight w:val="212"/>
        </w:trPr>
        <w:tc>
          <w:tcPr>
            <w:tcW w:w="5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6"/>
                <w:szCs w:val="16"/>
                <w:b w:val="1"/>
                <w:bCs w:val="1"/>
                <w:color w:val="auto"/>
                <w:w w:val="91"/>
              </w:rPr>
              <w:t>Distributions to AAP’s Partners</w:t>
            </w: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0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Year</w:t>
            </w:r>
          </w:p>
        </w:tc>
        <w:tc>
          <w:tcPr>
            <w:tcW w:w="60" w:type="dxa"/>
            <w:vAlign w:val="bottom"/>
            <w:vMerge w:val="restart"/>
          </w:tcPr>
          <w:p>
            <w:pPr>
              <w:spacing w:after="0"/>
              <w:rPr>
                <w:sz w:val="15"/>
                <w:szCs w:val="15"/>
                <w:color w:val="auto"/>
              </w:rPr>
            </w:pPr>
          </w:p>
        </w:tc>
        <w:tc>
          <w:tcPr>
            <w:tcW w:w="132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Noncontrolling</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restart"/>
          </w:tcPr>
          <w:p>
            <w:pPr>
              <w:jc w:val="right"/>
              <w:ind w:right="507"/>
              <w:spacing w:after="0"/>
              <w:rPr>
                <w:sz w:val="20"/>
                <w:szCs w:val="20"/>
                <w:color w:val="auto"/>
              </w:rPr>
            </w:pPr>
            <w:r>
              <w:rPr>
                <w:rFonts w:ascii="Arial" w:cs="Arial" w:eastAsia="Arial" w:hAnsi="Arial"/>
                <w:sz w:val="16"/>
                <w:szCs w:val="16"/>
                <w:b w:val="1"/>
                <w:bCs w:val="1"/>
                <w:color w:val="auto"/>
              </w:rPr>
              <w:t>PAGP</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330"/>
              <w:spacing w:after="0" w:line="181" w:lineRule="exact"/>
              <w:rPr>
                <w:sz w:val="20"/>
                <w:szCs w:val="20"/>
                <w:color w:val="auto"/>
              </w:rPr>
            </w:pPr>
            <w:r>
              <w:rPr>
                <w:rFonts w:ascii="Arial" w:cs="Arial" w:eastAsia="Arial" w:hAnsi="Arial"/>
                <w:sz w:val="16"/>
                <w:szCs w:val="16"/>
                <w:b w:val="1"/>
                <w:bCs w:val="1"/>
                <w:color w:val="auto"/>
              </w:rPr>
              <w:t>Total Cash</w:t>
            </w:r>
          </w:p>
        </w:tc>
        <w:tc>
          <w:tcPr>
            <w:tcW w:w="0" w:type="dxa"/>
            <w:vAlign w:val="bottom"/>
          </w:tcPr>
          <w:p>
            <w:pPr>
              <w:spacing w:after="0"/>
              <w:rPr>
                <w:sz w:val="1"/>
                <w:szCs w:val="1"/>
                <w:color w:val="auto"/>
              </w:rPr>
            </w:pPr>
          </w:p>
        </w:tc>
      </w:tr>
      <w:tr>
        <w:trPr>
          <w:trHeight w:val="209"/>
        </w:trPr>
        <w:tc>
          <w:tcPr>
            <w:tcW w:w="500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6"/>
                <w:szCs w:val="16"/>
                <w:b w:val="1"/>
                <w:bCs w:val="1"/>
                <w:color w:val="auto"/>
              </w:rPr>
              <w:t>Interests</w:t>
            </w:r>
          </w:p>
        </w:tc>
        <w:tc>
          <w:tcPr>
            <w:tcW w:w="2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w w:val="93"/>
              </w:rPr>
              <w:t>Distributions</w:t>
            </w:r>
          </w:p>
        </w:tc>
        <w:tc>
          <w:tcPr>
            <w:tcW w:w="0" w:type="dxa"/>
            <w:vAlign w:val="bottom"/>
          </w:tcPr>
          <w:p>
            <w:pPr>
              <w:spacing w:after="0"/>
              <w:rPr>
                <w:sz w:val="1"/>
                <w:szCs w:val="1"/>
                <w:color w:val="auto"/>
              </w:rPr>
            </w:pPr>
          </w:p>
        </w:tc>
      </w:tr>
      <w:tr>
        <w:trPr>
          <w:trHeight w:val="269"/>
        </w:trPr>
        <w:tc>
          <w:tcPr>
            <w:tcW w:w="5000" w:type="dxa"/>
            <w:vAlign w:val="bottom"/>
          </w:tcPr>
          <w:p>
            <w:pPr>
              <w:ind w:left="40"/>
              <w:spacing w:after="0"/>
              <w:rPr>
                <w:sz w:val="20"/>
                <w:szCs w:val="20"/>
                <w:color w:val="auto"/>
              </w:rPr>
            </w:pPr>
            <w:r>
              <w:rPr>
                <w:rFonts w:ascii="Arial" w:cs="Arial" w:eastAsia="Arial" w:hAnsi="Arial"/>
                <w:sz w:val="19"/>
                <w:szCs w:val="19"/>
                <w:color w:val="auto"/>
              </w:rPr>
              <w:t>2023</w:t>
            </w:r>
          </w:p>
        </w:tc>
        <w:tc>
          <w:tcPr>
            <w:tcW w:w="60" w:type="dxa"/>
            <w:vAlign w:val="bottom"/>
          </w:tcPr>
          <w:p>
            <w:pPr>
              <w:spacing w:after="0"/>
              <w:rPr>
                <w:sz w:val="23"/>
                <w:szCs w:val="23"/>
                <w:color w:val="auto"/>
              </w:rPr>
            </w:pPr>
          </w:p>
        </w:tc>
        <w:tc>
          <w:tcPr>
            <w:tcW w:w="1320" w:type="dxa"/>
            <w:vAlign w:val="bottom"/>
          </w:tcPr>
          <w:p>
            <w:pPr>
              <w:jc w:val="right"/>
              <w:ind w:right="1070"/>
              <w:spacing w:after="0"/>
              <w:rPr>
                <w:sz w:val="20"/>
                <w:szCs w:val="20"/>
                <w:color w:val="auto"/>
              </w:rPr>
            </w:pPr>
            <w:r>
              <w:rPr>
                <w:rFonts w:ascii="Arial" w:cs="Arial" w:eastAsia="Arial" w:hAnsi="Arial"/>
                <w:sz w:val="19"/>
                <w:szCs w:val="19"/>
                <w:color w:val="auto"/>
              </w:rPr>
              <w:t>$</w:t>
            </w:r>
          </w:p>
        </w:tc>
        <w:tc>
          <w:tcPr>
            <w:tcW w:w="280" w:type="dxa"/>
            <w:vAlign w:val="bottom"/>
          </w:tcPr>
          <w:p>
            <w:pPr>
              <w:jc w:val="right"/>
              <w:spacing w:after="0"/>
              <w:rPr>
                <w:sz w:val="20"/>
                <w:szCs w:val="20"/>
                <w:color w:val="auto"/>
              </w:rPr>
            </w:pPr>
            <w:r>
              <w:rPr>
                <w:rFonts w:ascii="Arial" w:cs="Arial" w:eastAsia="Arial" w:hAnsi="Arial"/>
                <w:sz w:val="19"/>
                <w:szCs w:val="19"/>
                <w:color w:val="auto"/>
                <w:w w:val="84"/>
              </w:rPr>
              <w:t>47</w:t>
            </w:r>
          </w:p>
        </w:tc>
        <w:tc>
          <w:tcPr>
            <w:tcW w:w="42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209</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256</w:t>
            </w:r>
          </w:p>
        </w:tc>
        <w:tc>
          <w:tcPr>
            <w:tcW w:w="0" w:type="dxa"/>
            <w:vAlign w:val="bottom"/>
          </w:tcPr>
          <w:p>
            <w:pPr>
              <w:spacing w:after="0"/>
              <w:rPr>
                <w:sz w:val="1"/>
                <w:szCs w:val="1"/>
                <w:color w:val="auto"/>
              </w:rPr>
            </w:pPr>
          </w:p>
        </w:tc>
      </w:tr>
      <w:tr>
        <w:trPr>
          <w:trHeight w:val="292"/>
        </w:trPr>
        <w:tc>
          <w:tcPr>
            <w:tcW w:w="5000" w:type="dxa"/>
            <w:vAlign w:val="bottom"/>
          </w:tcPr>
          <w:p>
            <w:pPr>
              <w:ind w:left="40"/>
              <w:spacing w:after="0"/>
              <w:rPr>
                <w:sz w:val="20"/>
                <w:szCs w:val="20"/>
                <w:color w:val="auto"/>
              </w:rPr>
            </w:pPr>
            <w:r>
              <w:rPr>
                <w:rFonts w:ascii="Arial" w:cs="Arial" w:eastAsia="Arial" w:hAnsi="Arial"/>
                <w:sz w:val="19"/>
                <w:szCs w:val="19"/>
                <w:color w:val="auto"/>
              </w:rPr>
              <w:t>2022</w:t>
            </w:r>
          </w:p>
        </w:tc>
        <w:tc>
          <w:tcPr>
            <w:tcW w:w="60" w:type="dxa"/>
            <w:vAlign w:val="bottom"/>
          </w:tcPr>
          <w:p>
            <w:pPr>
              <w:spacing w:after="0"/>
              <w:rPr>
                <w:sz w:val="24"/>
                <w:szCs w:val="24"/>
                <w:color w:val="auto"/>
              </w:rPr>
            </w:pPr>
          </w:p>
        </w:tc>
        <w:tc>
          <w:tcPr>
            <w:tcW w:w="1320" w:type="dxa"/>
            <w:vAlign w:val="bottom"/>
          </w:tcPr>
          <w:p>
            <w:pPr>
              <w:jc w:val="right"/>
              <w:ind w:right="1070"/>
              <w:spacing w:after="0"/>
              <w:rPr>
                <w:sz w:val="20"/>
                <w:szCs w:val="20"/>
                <w:color w:val="auto"/>
              </w:rPr>
            </w:pPr>
            <w:r>
              <w:rPr>
                <w:rFonts w:ascii="Arial" w:cs="Arial" w:eastAsia="Arial" w:hAnsi="Arial"/>
                <w:sz w:val="19"/>
                <w:szCs w:val="19"/>
                <w:color w:val="auto"/>
              </w:rPr>
              <w:t>$</w:t>
            </w:r>
          </w:p>
        </w:tc>
        <w:tc>
          <w:tcPr>
            <w:tcW w:w="280" w:type="dxa"/>
            <w:vAlign w:val="bottom"/>
          </w:tcPr>
          <w:p>
            <w:pPr>
              <w:jc w:val="right"/>
              <w:spacing w:after="0"/>
              <w:rPr>
                <w:sz w:val="20"/>
                <w:szCs w:val="20"/>
                <w:color w:val="auto"/>
              </w:rPr>
            </w:pPr>
            <w:r>
              <w:rPr>
                <w:rFonts w:ascii="Arial" w:cs="Arial" w:eastAsia="Arial" w:hAnsi="Arial"/>
                <w:sz w:val="19"/>
                <w:szCs w:val="19"/>
                <w:color w:val="auto"/>
                <w:w w:val="84"/>
              </w:rPr>
              <w:t>39</w:t>
            </w:r>
          </w:p>
        </w:tc>
        <w:tc>
          <w:tcPr>
            <w:tcW w:w="42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162</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201</w:t>
            </w:r>
          </w:p>
        </w:tc>
        <w:tc>
          <w:tcPr>
            <w:tcW w:w="0" w:type="dxa"/>
            <w:vAlign w:val="bottom"/>
          </w:tcPr>
          <w:p>
            <w:pPr>
              <w:spacing w:after="0"/>
              <w:rPr>
                <w:sz w:val="1"/>
                <w:szCs w:val="1"/>
                <w:color w:val="auto"/>
              </w:rPr>
            </w:pPr>
          </w:p>
        </w:tc>
      </w:tr>
      <w:tr>
        <w:trPr>
          <w:trHeight w:val="292"/>
        </w:trPr>
        <w:tc>
          <w:tcPr>
            <w:tcW w:w="5000" w:type="dxa"/>
            <w:vAlign w:val="bottom"/>
          </w:tcPr>
          <w:p>
            <w:pPr>
              <w:ind w:left="40"/>
              <w:spacing w:after="0"/>
              <w:rPr>
                <w:sz w:val="20"/>
                <w:szCs w:val="20"/>
                <w:color w:val="auto"/>
              </w:rPr>
            </w:pPr>
            <w:r>
              <w:rPr>
                <w:rFonts w:ascii="Arial" w:cs="Arial" w:eastAsia="Arial" w:hAnsi="Arial"/>
                <w:sz w:val="19"/>
                <w:szCs w:val="19"/>
                <w:color w:val="auto"/>
              </w:rPr>
              <w:t>2021</w:t>
            </w:r>
          </w:p>
        </w:tc>
        <w:tc>
          <w:tcPr>
            <w:tcW w:w="60" w:type="dxa"/>
            <w:vAlign w:val="bottom"/>
          </w:tcPr>
          <w:p>
            <w:pPr>
              <w:spacing w:after="0"/>
              <w:rPr>
                <w:sz w:val="24"/>
                <w:szCs w:val="24"/>
                <w:color w:val="auto"/>
              </w:rPr>
            </w:pPr>
          </w:p>
        </w:tc>
        <w:tc>
          <w:tcPr>
            <w:tcW w:w="1320" w:type="dxa"/>
            <w:vAlign w:val="bottom"/>
          </w:tcPr>
          <w:p>
            <w:pPr>
              <w:jc w:val="right"/>
              <w:ind w:right="1070"/>
              <w:spacing w:after="0"/>
              <w:rPr>
                <w:sz w:val="20"/>
                <w:szCs w:val="20"/>
                <w:color w:val="auto"/>
              </w:rPr>
            </w:pPr>
            <w:r>
              <w:rPr>
                <w:rFonts w:ascii="Arial" w:cs="Arial" w:eastAsia="Arial" w:hAnsi="Arial"/>
                <w:sz w:val="19"/>
                <w:szCs w:val="19"/>
                <w:color w:val="auto"/>
              </w:rPr>
              <w:t>$</w:t>
            </w:r>
          </w:p>
        </w:tc>
        <w:tc>
          <w:tcPr>
            <w:tcW w:w="280" w:type="dxa"/>
            <w:vAlign w:val="bottom"/>
          </w:tcPr>
          <w:p>
            <w:pPr>
              <w:jc w:val="right"/>
              <w:spacing w:after="0"/>
              <w:rPr>
                <w:sz w:val="20"/>
                <w:szCs w:val="20"/>
                <w:color w:val="auto"/>
              </w:rPr>
            </w:pPr>
            <w:r>
              <w:rPr>
                <w:rFonts w:ascii="Arial" w:cs="Arial" w:eastAsia="Arial" w:hAnsi="Arial"/>
                <w:sz w:val="19"/>
                <w:szCs w:val="19"/>
                <w:color w:val="auto"/>
                <w:w w:val="84"/>
              </w:rPr>
              <w:t>36</w:t>
            </w:r>
          </w:p>
        </w:tc>
        <w:tc>
          <w:tcPr>
            <w:tcW w:w="42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140</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176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-560705</wp:posOffset>
            </wp:positionV>
            <wp:extent cx="6358255" cy="5822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86">
                      <a:extLst>
                        <a:ext uri="{28A0092B-C50C-407E-A947-70E740481C1C}"/>
                      </a:extLst>
                    </a:blip>
                    <a:srcRect/>
                    <a:stretch>
                      <a:fillRect/>
                    </a:stretch>
                  </pic:blipFill>
                  <pic:spPr bwMode="auto">
                    <a:xfrm>
                      <a:off x="0" y="0"/>
                      <a:ext cx="6358255" cy="582295"/>
                    </a:xfrm>
                    <a:prstGeom prst="rect">
                      <a:avLst/>
                    </a:prstGeom>
                    <a:noFill/>
                  </pic:spPr>
                </pic:pic>
              </a:graphicData>
            </a:graphic>
          </wp:anchor>
        </w:drawing>
      </w:r>
    </w:p>
    <w:p>
      <w:pPr>
        <w:spacing w:after="0" w:line="264" w:lineRule="exact"/>
        <w:rPr>
          <w:sz w:val="20"/>
          <w:szCs w:val="20"/>
          <w:color w:val="auto"/>
        </w:rPr>
      </w:pPr>
    </w:p>
    <w:p>
      <w:pPr>
        <w:ind w:left="1" w:right="480" w:firstLine="702"/>
        <w:spacing w:after="0" w:line="295" w:lineRule="auto"/>
        <w:rPr>
          <w:sz w:val="20"/>
          <w:szCs w:val="20"/>
          <w:color w:val="auto"/>
        </w:rPr>
      </w:pPr>
      <w:r>
        <w:rPr>
          <w:rFonts w:ascii="Arial" w:cs="Arial" w:eastAsia="Arial" w:hAnsi="Arial"/>
          <w:sz w:val="19"/>
          <w:szCs w:val="19"/>
          <w:color w:val="auto"/>
        </w:rPr>
        <w:t>On February 14, 2024, AAP distributed $74 million to its partners from distributions received from PAA. Of this amount, $11 million was distributed to noncontrolling interests and $63 million was distributed to us.</w:t>
      </w:r>
    </w:p>
    <w:p>
      <w:pPr>
        <w:spacing w:after="0" w:line="163" w:lineRule="exact"/>
        <w:rPr>
          <w:sz w:val="20"/>
          <w:szCs w:val="20"/>
          <w:color w:val="auto"/>
        </w:rPr>
      </w:pPr>
    </w:p>
    <w:p>
      <w:pPr>
        <w:ind w:left="1" w:right="20" w:firstLine="702"/>
        <w:spacing w:after="0" w:line="282" w:lineRule="auto"/>
        <w:rPr>
          <w:sz w:val="20"/>
          <w:szCs w:val="20"/>
          <w:color w:val="auto"/>
        </w:rPr>
      </w:pPr>
      <w:r>
        <w:rPr>
          <w:rFonts w:ascii="Arial" w:cs="Arial" w:eastAsia="Arial" w:hAnsi="Arial"/>
          <w:sz w:val="18"/>
          <w:szCs w:val="18"/>
          <w:b w:val="1"/>
          <w:bCs w:val="1"/>
          <w:i w:val="1"/>
          <w:iCs w:val="1"/>
          <w:color w:val="auto"/>
        </w:rPr>
        <w:t xml:space="preserve">Consolidated Joint Venture Distributions. </w:t>
      </w:r>
      <w:r>
        <w:rPr>
          <w:rFonts w:ascii="Arial" w:cs="Arial" w:eastAsia="Arial" w:hAnsi="Arial"/>
          <w:sz w:val="18"/>
          <w:szCs w:val="18"/>
          <w:color w:val="auto"/>
        </w:rPr>
        <w:t>Pursuant to the terms of the governing documents for the Permian JV,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exception of the initial distribution paid in the first quarter of 2022, distributions of available cash from the Permian JV are subject to a tiered modified sharing arrangement. See Note 7 for additional information. Cash available for distribution is cash on hand less the amount of cash required to fund normal operations and capital projects. Distributions from Cactus II and Red River are paid in proportion to each owners interest in the entity. The following table details distributions paid to noncontrolling interests in consolidated joint venture entities during the years presented (in millions):</w:t>
      </w:r>
    </w:p>
    <w:p>
      <w:pPr>
        <w:spacing w:after="0" w:line="268"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3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Borders>
              <w:bottom w:val="single" w:sz="8" w:color="auto"/>
            </w:tcBorders>
          </w:tcPr>
          <w:p>
            <w:pPr>
              <w:jc w:val="right"/>
              <w:ind w:right="149"/>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46"/>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2021</w:t>
            </w:r>
          </w:p>
        </w:tc>
      </w:tr>
      <w:tr>
        <w:trPr>
          <w:trHeight w:val="308"/>
        </w:trPr>
        <w:tc>
          <w:tcPr>
            <w:tcW w:w="3920" w:type="dxa"/>
            <w:vAlign w:val="bottom"/>
            <w:gridSpan w:val="2"/>
          </w:tcPr>
          <w:p>
            <w:pPr>
              <w:ind w:left="60"/>
              <w:spacing w:after="0"/>
              <w:rPr>
                <w:sz w:val="20"/>
                <w:szCs w:val="20"/>
                <w:color w:val="auto"/>
              </w:rPr>
            </w:pPr>
            <w:r>
              <w:rPr>
                <w:rFonts w:ascii="Arial" w:cs="Arial" w:eastAsia="Arial" w:hAnsi="Arial"/>
                <w:sz w:val="19"/>
                <w:szCs w:val="19"/>
                <w:color w:val="auto"/>
              </w:rPr>
              <w:t xml:space="preserve">Permian JV </w:t>
            </w:r>
            <w:r>
              <w:rPr>
                <w:rFonts w:ascii="Arial" w:cs="Arial" w:eastAsia="Arial" w:hAnsi="Arial"/>
                <w:sz w:val="25"/>
                <w:szCs w:val="25"/>
                <w:color w:val="auto"/>
                <w:vertAlign w:val="superscript"/>
              </w:rPr>
              <w:t>(1)</w:t>
            </w:r>
          </w:p>
        </w:tc>
        <w:tc>
          <w:tcPr>
            <w:tcW w:w="1380" w:type="dxa"/>
            <w:vAlign w:val="bottom"/>
          </w:tcPr>
          <w:p>
            <w:pPr>
              <w:jc w:val="right"/>
              <w:ind w:right="1149"/>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249</w:t>
            </w:r>
          </w:p>
        </w:tc>
        <w:tc>
          <w:tcPr>
            <w:tcW w:w="56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1500" w:type="dxa"/>
            <w:vAlign w:val="bottom"/>
          </w:tcPr>
          <w:p>
            <w:pPr>
              <w:jc w:val="right"/>
              <w:spacing w:after="0"/>
              <w:rPr>
                <w:sz w:val="20"/>
                <w:szCs w:val="20"/>
                <w:color w:val="auto"/>
              </w:rPr>
            </w:pPr>
            <w:r>
              <w:rPr>
                <w:rFonts w:ascii="Arial" w:cs="Arial" w:eastAsia="Arial" w:hAnsi="Arial"/>
                <w:sz w:val="19"/>
                <w:szCs w:val="19"/>
                <w:color w:val="auto"/>
              </w:rPr>
              <w:t>273</w:t>
            </w:r>
          </w:p>
        </w:tc>
        <w:tc>
          <w:tcPr>
            <w:tcW w:w="54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1500" w:type="dxa"/>
            <w:vAlign w:val="bottom"/>
          </w:tcPr>
          <w:p>
            <w:pPr>
              <w:ind w:left="1220"/>
              <w:spacing w:after="0"/>
              <w:rPr>
                <w:sz w:val="20"/>
                <w:szCs w:val="20"/>
                <w:color w:val="auto"/>
              </w:rPr>
            </w:pPr>
            <w:r>
              <w:rPr>
                <w:rFonts w:ascii="Arial" w:cs="Arial" w:eastAsia="Arial" w:hAnsi="Arial"/>
                <w:sz w:val="19"/>
                <w:szCs w:val="19"/>
                <w:color w:val="auto"/>
              </w:rPr>
              <w:t>—</w:t>
            </w:r>
          </w:p>
        </w:tc>
      </w:tr>
      <w:tr>
        <w:trPr>
          <w:trHeight w:val="254"/>
        </w:trPr>
        <w:tc>
          <w:tcPr>
            <w:tcW w:w="3920" w:type="dxa"/>
            <w:vAlign w:val="bottom"/>
            <w:gridSpan w:val="2"/>
          </w:tcPr>
          <w:p>
            <w:pPr>
              <w:ind w:left="60"/>
              <w:spacing w:after="0"/>
              <w:rPr>
                <w:sz w:val="20"/>
                <w:szCs w:val="20"/>
                <w:color w:val="auto"/>
              </w:rPr>
            </w:pPr>
            <w:r>
              <w:rPr>
                <w:rFonts w:ascii="Arial" w:cs="Arial" w:eastAsia="Arial" w:hAnsi="Arial"/>
                <w:sz w:val="19"/>
                <w:szCs w:val="19"/>
                <w:color w:val="auto"/>
              </w:rPr>
              <w:t>Cactus II</w:t>
            </w:r>
          </w:p>
        </w:tc>
        <w:tc>
          <w:tcPr>
            <w:tcW w:w="13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63</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4</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00" w:type="dxa"/>
            <w:vAlign w:val="bottom"/>
          </w:tcPr>
          <w:p>
            <w:pPr>
              <w:ind w:left="1220"/>
              <w:spacing w:after="0"/>
              <w:rPr>
                <w:sz w:val="20"/>
                <w:szCs w:val="20"/>
                <w:color w:val="auto"/>
              </w:rPr>
            </w:pPr>
            <w:r>
              <w:rPr>
                <w:rFonts w:ascii="Arial" w:cs="Arial" w:eastAsia="Arial" w:hAnsi="Arial"/>
                <w:sz w:val="19"/>
                <w:szCs w:val="19"/>
                <w:color w:val="auto"/>
              </w:rPr>
              <w:t>—</w:t>
            </w:r>
          </w:p>
        </w:tc>
      </w:tr>
      <w:tr>
        <w:trPr>
          <w:trHeight w:val="296"/>
        </w:trPr>
        <w:tc>
          <w:tcPr>
            <w:tcW w:w="3920" w:type="dxa"/>
            <w:vAlign w:val="bottom"/>
            <w:gridSpan w:val="2"/>
          </w:tcPr>
          <w:p>
            <w:pPr>
              <w:ind w:left="60"/>
              <w:spacing w:after="0"/>
              <w:rPr>
                <w:sz w:val="20"/>
                <w:szCs w:val="20"/>
                <w:color w:val="auto"/>
              </w:rPr>
            </w:pPr>
            <w:r>
              <w:rPr>
                <w:rFonts w:ascii="Arial" w:cs="Arial" w:eastAsia="Arial" w:hAnsi="Arial"/>
                <w:sz w:val="19"/>
                <w:szCs w:val="19"/>
                <w:color w:val="auto"/>
              </w:rPr>
              <w:t>Red River</w:t>
            </w:r>
          </w:p>
        </w:tc>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w:t>
            </w: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ind w:left="1220"/>
              <w:spacing w:after="0"/>
              <w:rPr>
                <w:sz w:val="20"/>
                <w:szCs w:val="20"/>
                <w:color w:val="auto"/>
              </w:rPr>
            </w:pPr>
            <w:r>
              <w:rPr>
                <w:rFonts w:ascii="Arial" w:cs="Arial" w:eastAsia="Arial" w:hAnsi="Arial"/>
                <w:sz w:val="19"/>
                <w:szCs w:val="19"/>
                <w:color w:val="auto"/>
              </w:rPr>
              <w:t>14</w:t>
            </w:r>
          </w:p>
        </w:tc>
      </w:tr>
      <w:tr>
        <w:trPr>
          <w:trHeight w:val="253"/>
        </w:trPr>
        <w:tc>
          <w:tcPr>
            <w:tcW w:w="3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ind w:right="1149"/>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333</w:t>
            </w:r>
          </w:p>
        </w:tc>
        <w:tc>
          <w:tcPr>
            <w:tcW w:w="56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1500" w:type="dxa"/>
            <w:vAlign w:val="bottom"/>
          </w:tcPr>
          <w:p>
            <w:pPr>
              <w:jc w:val="right"/>
              <w:spacing w:after="0"/>
              <w:rPr>
                <w:sz w:val="20"/>
                <w:szCs w:val="20"/>
                <w:color w:val="auto"/>
              </w:rPr>
            </w:pPr>
            <w:r>
              <w:rPr>
                <w:rFonts w:ascii="Arial" w:cs="Arial" w:eastAsia="Arial" w:hAnsi="Arial"/>
                <w:sz w:val="19"/>
                <w:szCs w:val="19"/>
                <w:color w:val="auto"/>
              </w:rPr>
              <w:t>298</w:t>
            </w:r>
          </w:p>
        </w:tc>
        <w:tc>
          <w:tcPr>
            <w:tcW w:w="54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1500" w:type="dxa"/>
            <w:vAlign w:val="bottom"/>
          </w:tcPr>
          <w:p>
            <w:pPr>
              <w:ind w:left="1220"/>
              <w:spacing w:after="0"/>
              <w:rPr>
                <w:sz w:val="20"/>
                <w:szCs w:val="20"/>
                <w:color w:val="auto"/>
              </w:rPr>
            </w:pPr>
            <w:r>
              <w:rPr>
                <w:rFonts w:ascii="Arial" w:cs="Arial" w:eastAsia="Arial" w:hAnsi="Arial"/>
                <w:sz w:val="19"/>
                <w:szCs w:val="19"/>
                <w:color w:val="auto"/>
              </w:rPr>
              <w:t>14</w:t>
            </w:r>
          </w:p>
        </w:tc>
      </w:tr>
      <w:tr>
        <w:trPr>
          <w:trHeight w:val="20"/>
        </w:trPr>
        <w:tc>
          <w:tcPr>
            <w:tcW w:w="3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130"/>
        </w:trPr>
        <w:tc>
          <w:tcPr>
            <w:tcW w:w="34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-869315</wp:posOffset>
            </wp:positionV>
            <wp:extent cx="6376670" cy="780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7">
                      <a:extLst>
                        <a:ext uri="{28A0092B-C50C-407E-A947-70E740481C1C}"/>
                      </a:extLst>
                    </a:blip>
                    <a:srcRect/>
                    <a:stretch>
                      <a:fillRect/>
                    </a:stretch>
                  </pic:blipFill>
                  <pic:spPr bwMode="auto">
                    <a:xfrm>
                      <a:off x="0" y="0"/>
                      <a:ext cx="6376670" cy="780415"/>
                    </a:xfrm>
                    <a:prstGeom prst="rect">
                      <a:avLst/>
                    </a:prstGeom>
                    <a:noFill/>
                  </pic:spPr>
                </pic:pic>
              </a:graphicData>
            </a:graphic>
          </wp:anchor>
        </w:drawing>
      </w:r>
    </w:p>
    <w:p>
      <w:pPr>
        <w:spacing w:after="0" w:line="65" w:lineRule="exact"/>
        <w:rPr>
          <w:sz w:val="20"/>
          <w:szCs w:val="20"/>
          <w:color w:val="auto"/>
        </w:rPr>
      </w:pPr>
    </w:p>
    <w:p>
      <w:pPr>
        <w:ind w:left="701" w:right="100" w:hanging="701"/>
        <w:spacing w:after="0" w:line="231" w:lineRule="auto"/>
        <w:tabs>
          <w:tab w:leader="none" w:pos="701" w:val="left"/>
        </w:tabs>
        <w:numPr>
          <w:ilvl w:val="0"/>
          <w:numId w:val="90"/>
        </w:numPr>
        <w:rPr>
          <w:rFonts w:ascii="Arial" w:cs="Arial" w:eastAsia="Arial" w:hAnsi="Arial"/>
          <w:sz w:val="25"/>
          <w:szCs w:val="25"/>
          <w:color w:val="auto"/>
          <w:vertAlign w:val="superscript"/>
        </w:rPr>
      </w:pPr>
      <w:r>
        <w:rPr>
          <w:rFonts w:ascii="Arial" w:cs="Arial" w:eastAsia="Arial" w:hAnsi="Arial"/>
          <w:sz w:val="19"/>
          <w:szCs w:val="19"/>
          <w:color w:val="auto"/>
        </w:rPr>
        <w:t>The initial distribution from the Permian JV was paid during the first quarter of 2022, with approximately $54 million paid to noncontrolling interests.</w:t>
      </w:r>
    </w:p>
    <w:p>
      <w:pPr>
        <w:sectPr>
          <w:pgSz w:w="11880" w:h="15480" w:orient="portrait"/>
          <w:cols w:equalWidth="0" w:num="1">
            <w:col w:w="10001"/>
          </w:cols>
          <w:pgMar w:left="939" w:top="43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ectPr>
          <w:pgSz w:w="11880" w:h="15480" w:orient="portrait"/>
          <w:cols w:equalWidth="0" w:num="1">
            <w:col w:w="10001"/>
          </w:cols>
          <w:pgMar w:left="939" w:top="431" w:right="940" w:bottom="0" w:gutter="0" w:footer="0" w:header="0"/>
          <w:type w:val="continuous"/>
        </w:sectPr>
      </w:pPr>
    </w:p>
    <w:bookmarkStart w:id="142" w:name="page143"/>
    <w:bookmarkEnd w:id="142"/>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2"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Note 12—Derivatives and Risk Management Activities</w:t>
      </w:r>
    </w:p>
    <w:p>
      <w:pPr>
        <w:spacing w:after="0" w:line="257" w:lineRule="exact"/>
        <w:rPr>
          <w:sz w:val="20"/>
          <w:szCs w:val="20"/>
          <w:color w:val="auto"/>
        </w:rPr>
      </w:pPr>
    </w:p>
    <w:p>
      <w:pPr>
        <w:ind w:left="1" w:right="60" w:firstLine="702"/>
        <w:spacing w:after="0" w:line="275" w:lineRule="auto"/>
        <w:rPr>
          <w:sz w:val="20"/>
          <w:szCs w:val="20"/>
          <w:color w:val="auto"/>
        </w:rPr>
      </w:pPr>
      <w:r>
        <w:rPr>
          <w:rFonts w:ascii="Arial" w:cs="Arial" w:eastAsia="Arial" w:hAnsi="Arial"/>
          <w:sz w:val="18"/>
          <w:szCs w:val="18"/>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89" w:lineRule="exact"/>
        <w:rPr>
          <w:sz w:val="20"/>
          <w:szCs w:val="20"/>
          <w:color w:val="auto"/>
        </w:rPr>
      </w:pPr>
    </w:p>
    <w:p>
      <w:pPr>
        <w:ind w:left="1" w:right="60" w:firstLine="702"/>
        <w:spacing w:after="0" w:line="301" w:lineRule="auto"/>
        <w:rPr>
          <w:sz w:val="20"/>
          <w:szCs w:val="20"/>
          <w:color w:val="auto"/>
        </w:rPr>
      </w:pPr>
      <w:r>
        <w:rPr>
          <w:rFonts w:ascii="Arial" w:cs="Arial" w:eastAsia="Arial" w:hAnsi="Arial"/>
          <w:sz w:val="17"/>
          <w:szCs w:val="17"/>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Consolidated Statements of Cash Flows.</w:t>
      </w:r>
    </w:p>
    <w:p>
      <w:pPr>
        <w:spacing w:after="0" w:line="167" w:lineRule="exact"/>
        <w:rPr>
          <w:sz w:val="20"/>
          <w:szCs w:val="20"/>
          <w:color w:val="auto"/>
        </w:rPr>
      </w:pPr>
    </w:p>
    <w:p>
      <w:pPr>
        <w:ind w:left="1" w:firstLine="702"/>
        <w:spacing w:after="0" w:line="269" w:lineRule="auto"/>
        <w:rPr>
          <w:sz w:val="20"/>
          <w:szCs w:val="20"/>
          <w:color w:val="auto"/>
        </w:rPr>
      </w:pPr>
      <w:r>
        <w:rPr>
          <w:rFonts w:ascii="Arial" w:cs="Arial" w:eastAsia="Arial" w:hAnsi="Arial"/>
          <w:sz w:val="19"/>
          <w:szCs w:val="19"/>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0" w:lineRule="exact"/>
        <w:rPr>
          <w:sz w:val="20"/>
          <w:szCs w:val="20"/>
          <w:color w:val="auto"/>
        </w:rPr>
      </w:pPr>
    </w:p>
    <w:p>
      <w:pPr>
        <w:ind w:left="1" w:right="80" w:firstLine="658"/>
        <w:spacing w:after="0" w:line="269" w:lineRule="auto"/>
        <w:rPr>
          <w:sz w:val="20"/>
          <w:szCs w:val="20"/>
          <w:color w:val="auto"/>
        </w:rPr>
      </w:pPr>
      <w:r>
        <w:rPr>
          <w:rFonts w:ascii="Arial" w:cs="Arial" w:eastAsia="Arial" w:hAnsi="Arial"/>
          <w:sz w:val="19"/>
          <w:szCs w:val="19"/>
          <w:color w:val="auto"/>
        </w:rPr>
        <w:t>At December 31, 2023 and 2022,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Commodity Price Risk Hedging</w:t>
      </w:r>
    </w:p>
    <w:p>
      <w:pPr>
        <w:spacing w:after="0" w:line="257" w:lineRule="exact"/>
        <w:rPr>
          <w:sz w:val="20"/>
          <w:szCs w:val="20"/>
          <w:color w:val="auto"/>
        </w:rPr>
      </w:pPr>
    </w:p>
    <w:p>
      <w:pPr>
        <w:ind w:left="1" w:right="180" w:firstLine="702"/>
        <w:spacing w:after="0" w:line="299" w:lineRule="auto"/>
        <w:rPr>
          <w:sz w:val="20"/>
          <w:szCs w:val="20"/>
          <w:color w:val="auto"/>
        </w:rPr>
      </w:pPr>
      <w:r>
        <w:rPr>
          <w:rFonts w:ascii="Arial" w:cs="Arial" w:eastAsia="Arial" w:hAnsi="Arial"/>
          <w:sz w:val="17"/>
          <w:szCs w:val="17"/>
          <w:color w:val="auto"/>
        </w:rPr>
        <w:t>Our core business activities involve certain commodity price-related risks that we manage in various ways, including through the use of derivative instruments. Our policy is to (i) only purchase inventory for which we have a sales market,</w:t>
      </w:r>
    </w:p>
    <w:p>
      <w:pPr>
        <w:spacing w:after="0" w:line="1" w:lineRule="exact"/>
        <w:rPr>
          <w:sz w:val="20"/>
          <w:szCs w:val="20"/>
          <w:color w:val="auto"/>
        </w:rPr>
      </w:pPr>
    </w:p>
    <w:p>
      <w:pPr>
        <w:ind w:left="1" w:right="60" w:hanging="1"/>
        <w:spacing w:after="0" w:line="265" w:lineRule="auto"/>
        <w:tabs>
          <w:tab w:leader="none" w:pos="288" w:val="left"/>
        </w:tabs>
        <w:numPr>
          <w:ilvl w:val="0"/>
          <w:numId w:val="91"/>
        </w:numPr>
        <w:rPr>
          <w:rFonts w:ascii="Arial" w:cs="Arial" w:eastAsia="Arial" w:hAnsi="Arial"/>
          <w:sz w:val="19"/>
          <w:szCs w:val="19"/>
          <w:color w:val="auto"/>
        </w:rPr>
      </w:pPr>
      <w:r>
        <w:rPr>
          <w:rFonts w:ascii="Arial" w:cs="Arial" w:eastAsia="Arial" w:hAnsi="Arial"/>
          <w:sz w:val="19"/>
          <w:szCs w:val="19"/>
          <w:color w:val="auto"/>
        </w:rPr>
        <w:t>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spacing w:after="0" w:line="192" w:lineRule="exact"/>
        <w:rPr>
          <w:sz w:val="20"/>
          <w:szCs w:val="20"/>
          <w:color w:val="auto"/>
        </w:rPr>
      </w:pPr>
    </w:p>
    <w:p>
      <w:pPr>
        <w:ind w:left="1" w:right="200" w:firstLine="702"/>
        <w:spacing w:after="0" w:line="358" w:lineRule="auto"/>
        <w:rPr>
          <w:sz w:val="20"/>
          <w:szCs w:val="20"/>
          <w:color w:val="auto"/>
        </w:rPr>
      </w:pPr>
      <w:r>
        <w:rPr>
          <w:rFonts w:ascii="Arial" w:cs="Arial" w:eastAsia="Arial" w:hAnsi="Arial"/>
          <w:sz w:val="17"/>
          <w:szCs w:val="17"/>
          <w:color w:val="auto"/>
        </w:rPr>
        <w:t>In the normal course of our operations, we purchase and sell commodities. We use derivatives to manage the associated risks and to optimize profits. As of December 31, 2023, net derivative positions related to these activities included:</w:t>
      </w:r>
    </w:p>
    <w:p>
      <w:pPr>
        <w:spacing w:after="0" w:line="2" w:lineRule="exact"/>
        <w:rPr>
          <w:sz w:val="20"/>
          <w:szCs w:val="20"/>
          <w:color w:val="auto"/>
        </w:rPr>
      </w:pPr>
    </w:p>
    <w:p>
      <w:pPr>
        <w:ind w:left="1061" w:right="360" w:hanging="359"/>
        <w:spacing w:after="0" w:line="295" w:lineRule="auto"/>
        <w:tabs>
          <w:tab w:leader="none" w:pos="1061" w:val="left"/>
        </w:tabs>
        <w:numPr>
          <w:ilvl w:val="0"/>
          <w:numId w:val="92"/>
        </w:numPr>
        <w:rPr>
          <w:rFonts w:ascii="Arial" w:cs="Arial" w:eastAsia="Arial" w:hAnsi="Arial"/>
          <w:sz w:val="19"/>
          <w:szCs w:val="19"/>
          <w:color w:val="auto"/>
        </w:rPr>
      </w:pPr>
      <w:r>
        <w:rPr>
          <w:rFonts w:ascii="Arial" w:cs="Arial" w:eastAsia="Arial" w:hAnsi="Arial"/>
          <w:sz w:val="19"/>
          <w:szCs w:val="19"/>
          <w:color w:val="auto"/>
        </w:rPr>
        <w:t>A net long position of 6.3 million barrels associated with our crude oil purchases, which was unwound ratably during January 2024 to match monthly average pricing.</w:t>
      </w:r>
    </w:p>
    <w:p>
      <w:pPr>
        <w:spacing w:after="0" w:line="47" w:lineRule="exact"/>
        <w:rPr>
          <w:rFonts w:ascii="Arial" w:cs="Arial" w:eastAsia="Arial" w:hAnsi="Arial"/>
          <w:sz w:val="19"/>
          <w:szCs w:val="19"/>
          <w:color w:val="auto"/>
        </w:rPr>
      </w:pPr>
    </w:p>
    <w:p>
      <w:pPr>
        <w:ind w:left="1061" w:right="260" w:hanging="359"/>
        <w:spacing w:after="0" w:line="295" w:lineRule="auto"/>
        <w:tabs>
          <w:tab w:leader="none" w:pos="1061" w:val="left"/>
        </w:tabs>
        <w:numPr>
          <w:ilvl w:val="0"/>
          <w:numId w:val="92"/>
        </w:numPr>
        <w:rPr>
          <w:rFonts w:ascii="Arial" w:cs="Arial" w:eastAsia="Arial" w:hAnsi="Arial"/>
          <w:sz w:val="19"/>
          <w:szCs w:val="19"/>
          <w:color w:val="auto"/>
        </w:rPr>
      </w:pPr>
      <w:r>
        <w:rPr>
          <w:rFonts w:ascii="Arial" w:cs="Arial" w:eastAsia="Arial" w:hAnsi="Arial"/>
          <w:sz w:val="19"/>
          <w:szCs w:val="19"/>
          <w:color w:val="auto"/>
        </w:rPr>
        <w:t>A net short time spread position of 5.6 million barrels, which hedges a portion of our anticipated crude oil lease gathering purchases through January 2025.</w:t>
      </w:r>
    </w:p>
    <w:p>
      <w:pPr>
        <w:spacing w:after="0" w:line="47" w:lineRule="exact"/>
        <w:rPr>
          <w:rFonts w:ascii="Arial" w:cs="Arial" w:eastAsia="Arial" w:hAnsi="Arial"/>
          <w:sz w:val="19"/>
          <w:szCs w:val="19"/>
          <w:color w:val="auto"/>
        </w:rPr>
      </w:pPr>
    </w:p>
    <w:p>
      <w:pPr>
        <w:ind w:left="1061" w:right="280" w:hanging="359"/>
        <w:spacing w:after="0" w:line="295" w:lineRule="auto"/>
        <w:tabs>
          <w:tab w:leader="none" w:pos="1061" w:val="left"/>
        </w:tabs>
        <w:numPr>
          <w:ilvl w:val="0"/>
          <w:numId w:val="92"/>
        </w:numPr>
        <w:rPr>
          <w:rFonts w:ascii="Arial" w:cs="Arial" w:eastAsia="Arial" w:hAnsi="Arial"/>
          <w:sz w:val="19"/>
          <w:szCs w:val="19"/>
          <w:color w:val="auto"/>
        </w:rPr>
      </w:pPr>
      <w:r>
        <w:rPr>
          <w:rFonts w:ascii="Arial" w:cs="Arial" w:eastAsia="Arial" w:hAnsi="Arial"/>
          <w:sz w:val="19"/>
          <w:szCs w:val="19"/>
          <w:color w:val="auto"/>
        </w:rPr>
        <w:t>A net crude oil basis spread position of 2.3 million barrels at multiple locations through December 2024. These derivatives allow us to lock in grade and location basis differentials.</w:t>
      </w:r>
    </w:p>
    <w:p>
      <w:pPr>
        <w:spacing w:after="0" w:line="47" w:lineRule="exact"/>
        <w:rPr>
          <w:rFonts w:ascii="Arial" w:cs="Arial" w:eastAsia="Arial" w:hAnsi="Arial"/>
          <w:sz w:val="19"/>
          <w:szCs w:val="19"/>
          <w:color w:val="auto"/>
        </w:rPr>
      </w:pPr>
    </w:p>
    <w:p>
      <w:pPr>
        <w:ind w:left="1061" w:right="300" w:hanging="359"/>
        <w:spacing w:after="0" w:line="295" w:lineRule="auto"/>
        <w:tabs>
          <w:tab w:leader="none" w:pos="1061" w:val="left"/>
        </w:tabs>
        <w:numPr>
          <w:ilvl w:val="0"/>
          <w:numId w:val="92"/>
        </w:numPr>
        <w:rPr>
          <w:rFonts w:ascii="Arial" w:cs="Arial" w:eastAsia="Arial" w:hAnsi="Arial"/>
          <w:sz w:val="19"/>
          <w:szCs w:val="19"/>
          <w:color w:val="auto"/>
        </w:rPr>
      </w:pPr>
      <w:r>
        <w:rPr>
          <w:rFonts w:ascii="Arial" w:cs="Arial" w:eastAsia="Arial" w:hAnsi="Arial"/>
          <w:sz w:val="19"/>
          <w:szCs w:val="19"/>
          <w:color w:val="auto"/>
        </w:rPr>
        <w:t>A net short position of 18.2 million barrels through March 2025 related to anticipated net sales of crude oil and NGL inventory.</w:t>
      </w:r>
    </w:p>
    <w:p>
      <w:pPr>
        <w:sectPr>
          <w:pgSz w:w="11880" w:h="15480" w:orient="portrait"/>
          <w:cols w:equalWidth="0" w:num="1">
            <w:col w:w="10001"/>
          </w:cols>
          <w:pgMar w:left="939" w:top="43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ectPr>
          <w:pgSz w:w="11880" w:h="15480" w:orient="portrait"/>
          <w:cols w:equalWidth="0" w:num="1">
            <w:col w:w="10001"/>
          </w:cols>
          <w:pgMar w:left="939" w:top="432" w:right="940" w:bottom="0" w:gutter="0" w:footer="0" w:header="0"/>
          <w:type w:val="continuous"/>
        </w:sectPr>
      </w:pPr>
    </w:p>
    <w:bookmarkStart w:id="143" w:name="page144"/>
    <w:bookmarkEnd w:id="143"/>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left="1" w:right="60" w:firstLine="702"/>
        <w:spacing w:after="0" w:line="264" w:lineRule="auto"/>
        <w:rPr>
          <w:sz w:val="20"/>
          <w:szCs w:val="20"/>
          <w:color w:val="auto"/>
        </w:rPr>
      </w:pPr>
      <w:r>
        <w:rPr>
          <w:rFonts w:ascii="Arial" w:cs="Arial" w:eastAsia="Arial" w:hAnsi="Arial"/>
          <w:sz w:val="19"/>
          <w:szCs w:val="19"/>
          <w:color w:val="auto"/>
        </w:rPr>
        <w:t>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December 31, 2023.</w:t>
      </w:r>
    </w:p>
    <w:p>
      <w:pPr>
        <w:spacing w:after="0" w:line="263" w:lineRule="exact"/>
        <w:rPr>
          <w:sz w:val="20"/>
          <w:szCs w:val="20"/>
          <w:color w:val="auto"/>
        </w:rPr>
      </w:pPr>
    </w:p>
    <w:tbl>
      <w:tblPr>
        <w:tblLayout w:type="fixed"/>
        <w:tblInd w:w="61"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3740" w:type="dxa"/>
            <w:vAlign w:val="bottom"/>
          </w:tcPr>
          <w:p>
            <w:pPr>
              <w:jc w:val="center"/>
              <w:ind w:left="1987"/>
              <w:spacing w:after="0"/>
              <w:rPr>
                <w:sz w:val="20"/>
                <w:szCs w:val="20"/>
                <w:color w:val="auto"/>
              </w:rPr>
            </w:pPr>
            <w:r>
              <w:rPr>
                <w:rFonts w:ascii="Arial" w:cs="Arial" w:eastAsia="Arial" w:hAnsi="Arial"/>
                <w:sz w:val="16"/>
                <w:szCs w:val="16"/>
                <w:b w:val="1"/>
                <w:bCs w:val="1"/>
                <w:color w:val="auto"/>
                <w:w w:val="90"/>
              </w:rPr>
              <w:t>Notional Volume</w:t>
            </w:r>
          </w:p>
        </w:tc>
        <w:tc>
          <w:tcPr>
            <w:tcW w:w="15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Remaining Tenor</w:t>
            </w:r>
          </w:p>
        </w:tc>
        <w:tc>
          <w:tcPr>
            <w:tcW w:w="0" w:type="dxa"/>
            <w:vAlign w:val="bottom"/>
          </w:tcPr>
          <w:p>
            <w:pPr>
              <w:spacing w:after="0"/>
              <w:rPr>
                <w:sz w:val="1"/>
                <w:szCs w:val="1"/>
                <w:color w:val="auto"/>
              </w:rPr>
            </w:pPr>
          </w:p>
        </w:tc>
      </w:tr>
      <w:tr>
        <w:trPr>
          <w:trHeight w:val="214"/>
        </w:trPr>
        <w:tc>
          <w:tcPr>
            <w:tcW w:w="4660" w:type="dxa"/>
            <w:vAlign w:val="bottom"/>
          </w:tcPr>
          <w:p>
            <w:pPr>
              <w:spacing w:after="0"/>
              <w:rPr>
                <w:sz w:val="18"/>
                <w:szCs w:val="18"/>
                <w:color w:val="auto"/>
              </w:rPr>
            </w:pPr>
          </w:p>
        </w:tc>
        <w:tc>
          <w:tcPr>
            <w:tcW w:w="3740" w:type="dxa"/>
            <w:vAlign w:val="bottom"/>
          </w:tcPr>
          <w:p>
            <w:pPr>
              <w:jc w:val="center"/>
              <w:ind w:left="1987"/>
              <w:spacing w:after="0"/>
              <w:rPr>
                <w:sz w:val="20"/>
                <w:szCs w:val="20"/>
                <w:color w:val="auto"/>
              </w:rPr>
            </w:pPr>
            <w:r>
              <w:rPr>
                <w:rFonts w:ascii="Arial" w:cs="Arial" w:eastAsia="Arial" w:hAnsi="Arial"/>
                <w:sz w:val="16"/>
                <w:szCs w:val="16"/>
                <w:b w:val="1"/>
                <w:bCs w:val="1"/>
                <w:color w:val="auto"/>
                <w:w w:val="89"/>
              </w:rPr>
              <w:t>(Short)/Long</w:t>
            </w:r>
          </w:p>
        </w:tc>
        <w:tc>
          <w:tcPr>
            <w:tcW w:w="15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660" w:type="dxa"/>
            <w:vAlign w:val="bottom"/>
          </w:tcPr>
          <w:p>
            <w:pPr>
              <w:spacing w:after="0"/>
              <w:rPr>
                <w:sz w:val="20"/>
                <w:szCs w:val="20"/>
                <w:color w:val="auto"/>
              </w:rPr>
            </w:pPr>
            <w:r>
              <w:rPr>
                <w:rFonts w:ascii="Arial" w:cs="Arial" w:eastAsia="Arial" w:hAnsi="Arial"/>
                <w:sz w:val="19"/>
                <w:szCs w:val="19"/>
                <w:color w:val="auto"/>
              </w:rPr>
              <w:t>Natural gas purchases</w:t>
            </w:r>
          </w:p>
        </w:tc>
        <w:tc>
          <w:tcPr>
            <w:tcW w:w="3740" w:type="dxa"/>
            <w:vAlign w:val="bottom"/>
          </w:tcPr>
          <w:p>
            <w:pPr>
              <w:jc w:val="center"/>
              <w:ind w:left="1967"/>
              <w:spacing w:after="0"/>
              <w:rPr>
                <w:sz w:val="20"/>
                <w:szCs w:val="20"/>
                <w:color w:val="auto"/>
              </w:rPr>
            </w:pPr>
            <w:r>
              <w:rPr>
                <w:rFonts w:ascii="Arial" w:cs="Arial" w:eastAsia="Arial" w:hAnsi="Arial"/>
                <w:sz w:val="19"/>
                <w:szCs w:val="19"/>
                <w:color w:val="auto"/>
                <w:w w:val="97"/>
              </w:rPr>
              <w:t>78.2 Bcf</w:t>
            </w:r>
          </w:p>
        </w:tc>
        <w:tc>
          <w:tcPr>
            <w:tcW w:w="1540" w:type="dxa"/>
            <w:vAlign w:val="bottom"/>
          </w:tcPr>
          <w:p>
            <w:pPr>
              <w:jc w:val="center"/>
              <w:spacing w:after="0"/>
              <w:rPr>
                <w:sz w:val="20"/>
                <w:szCs w:val="20"/>
                <w:color w:val="auto"/>
              </w:rPr>
            </w:pPr>
            <w:r>
              <w:rPr>
                <w:rFonts w:ascii="Arial" w:cs="Arial" w:eastAsia="Arial" w:hAnsi="Arial"/>
                <w:sz w:val="19"/>
                <w:szCs w:val="19"/>
                <w:color w:val="auto"/>
                <w:w w:val="91"/>
              </w:rPr>
              <w:t>December 2025</w:t>
            </w:r>
          </w:p>
        </w:tc>
        <w:tc>
          <w:tcPr>
            <w:tcW w:w="0" w:type="dxa"/>
            <w:vAlign w:val="bottom"/>
          </w:tcPr>
          <w:p>
            <w:pPr>
              <w:spacing w:after="0"/>
              <w:rPr>
                <w:sz w:val="1"/>
                <w:szCs w:val="1"/>
                <w:color w:val="auto"/>
              </w:rPr>
            </w:pPr>
          </w:p>
        </w:tc>
      </w:tr>
      <w:tr>
        <w:trPr>
          <w:trHeight w:val="307"/>
        </w:trPr>
        <w:tc>
          <w:tcPr>
            <w:tcW w:w="4660" w:type="dxa"/>
            <w:vAlign w:val="bottom"/>
          </w:tcPr>
          <w:p>
            <w:pPr>
              <w:spacing w:after="0"/>
              <w:rPr>
                <w:sz w:val="20"/>
                <w:szCs w:val="20"/>
                <w:color w:val="auto"/>
              </w:rPr>
            </w:pPr>
            <w:r>
              <w:rPr>
                <w:rFonts w:ascii="Arial" w:cs="Arial" w:eastAsia="Arial" w:hAnsi="Arial"/>
                <w:sz w:val="19"/>
                <w:szCs w:val="19"/>
                <w:color w:val="auto"/>
              </w:rPr>
              <w:t>Propane sales</w:t>
            </w:r>
          </w:p>
        </w:tc>
        <w:tc>
          <w:tcPr>
            <w:tcW w:w="3740" w:type="dxa"/>
            <w:vAlign w:val="bottom"/>
          </w:tcPr>
          <w:p>
            <w:pPr>
              <w:jc w:val="center"/>
              <w:ind w:left="1987"/>
              <w:spacing w:after="0"/>
              <w:rPr>
                <w:sz w:val="20"/>
                <w:szCs w:val="20"/>
                <w:color w:val="auto"/>
              </w:rPr>
            </w:pPr>
            <w:r>
              <w:rPr>
                <w:rFonts w:ascii="Arial" w:cs="Arial" w:eastAsia="Arial" w:hAnsi="Arial"/>
                <w:sz w:val="19"/>
                <w:szCs w:val="19"/>
                <w:color w:val="auto"/>
                <w:w w:val="99"/>
              </w:rPr>
              <w:t>(14.1) MMbls</w:t>
            </w:r>
          </w:p>
        </w:tc>
        <w:tc>
          <w:tcPr>
            <w:tcW w:w="1540" w:type="dxa"/>
            <w:vAlign w:val="bottom"/>
          </w:tcPr>
          <w:p>
            <w:pPr>
              <w:jc w:val="center"/>
              <w:spacing w:after="0"/>
              <w:rPr>
                <w:sz w:val="20"/>
                <w:szCs w:val="20"/>
                <w:color w:val="auto"/>
              </w:rPr>
            </w:pPr>
            <w:r>
              <w:rPr>
                <w:rFonts w:ascii="Arial" w:cs="Arial" w:eastAsia="Arial" w:hAnsi="Arial"/>
                <w:sz w:val="19"/>
                <w:szCs w:val="19"/>
                <w:color w:val="auto"/>
                <w:w w:val="91"/>
              </w:rPr>
              <w:t>December 2025</w:t>
            </w:r>
          </w:p>
        </w:tc>
        <w:tc>
          <w:tcPr>
            <w:tcW w:w="0" w:type="dxa"/>
            <w:vAlign w:val="bottom"/>
          </w:tcPr>
          <w:p>
            <w:pPr>
              <w:spacing w:after="0"/>
              <w:rPr>
                <w:sz w:val="1"/>
                <w:szCs w:val="1"/>
                <w:color w:val="auto"/>
              </w:rPr>
            </w:pPr>
          </w:p>
        </w:tc>
      </w:tr>
      <w:tr>
        <w:trPr>
          <w:trHeight w:val="307"/>
        </w:trPr>
        <w:tc>
          <w:tcPr>
            <w:tcW w:w="4660" w:type="dxa"/>
            <w:vAlign w:val="bottom"/>
          </w:tcPr>
          <w:p>
            <w:pPr>
              <w:spacing w:after="0"/>
              <w:rPr>
                <w:sz w:val="20"/>
                <w:szCs w:val="20"/>
                <w:color w:val="auto"/>
              </w:rPr>
            </w:pPr>
            <w:r>
              <w:rPr>
                <w:rFonts w:ascii="Arial" w:cs="Arial" w:eastAsia="Arial" w:hAnsi="Arial"/>
                <w:sz w:val="19"/>
                <w:szCs w:val="19"/>
                <w:color w:val="auto"/>
              </w:rPr>
              <w:t>Butane sales</w:t>
            </w:r>
          </w:p>
        </w:tc>
        <w:tc>
          <w:tcPr>
            <w:tcW w:w="3740" w:type="dxa"/>
            <w:vAlign w:val="bottom"/>
          </w:tcPr>
          <w:p>
            <w:pPr>
              <w:jc w:val="center"/>
              <w:ind w:left="1967"/>
              <w:spacing w:after="0"/>
              <w:rPr>
                <w:sz w:val="20"/>
                <w:szCs w:val="20"/>
                <w:color w:val="auto"/>
              </w:rPr>
            </w:pPr>
            <w:r>
              <w:rPr>
                <w:rFonts w:ascii="Arial" w:cs="Arial" w:eastAsia="Arial" w:hAnsi="Arial"/>
                <w:sz w:val="19"/>
                <w:szCs w:val="19"/>
                <w:color w:val="auto"/>
                <w:w w:val="99"/>
              </w:rPr>
              <w:t>(2.5) MMbls</w:t>
            </w:r>
          </w:p>
        </w:tc>
        <w:tc>
          <w:tcPr>
            <w:tcW w:w="1540" w:type="dxa"/>
            <w:vAlign w:val="bottom"/>
          </w:tcPr>
          <w:p>
            <w:pPr>
              <w:jc w:val="center"/>
              <w:spacing w:after="0"/>
              <w:rPr>
                <w:sz w:val="20"/>
                <w:szCs w:val="20"/>
                <w:color w:val="auto"/>
              </w:rPr>
            </w:pPr>
            <w:r>
              <w:rPr>
                <w:rFonts w:ascii="Arial" w:cs="Arial" w:eastAsia="Arial" w:hAnsi="Arial"/>
                <w:sz w:val="19"/>
                <w:szCs w:val="19"/>
                <w:color w:val="auto"/>
                <w:w w:val="91"/>
              </w:rPr>
              <w:t>December 2024</w:t>
            </w:r>
          </w:p>
        </w:tc>
        <w:tc>
          <w:tcPr>
            <w:tcW w:w="0" w:type="dxa"/>
            <w:vAlign w:val="bottom"/>
          </w:tcPr>
          <w:p>
            <w:pPr>
              <w:spacing w:after="0"/>
              <w:rPr>
                <w:sz w:val="1"/>
                <w:szCs w:val="1"/>
                <w:color w:val="auto"/>
              </w:rPr>
            </w:pPr>
          </w:p>
        </w:tc>
      </w:tr>
      <w:tr>
        <w:trPr>
          <w:trHeight w:val="307"/>
        </w:trPr>
        <w:tc>
          <w:tcPr>
            <w:tcW w:w="4660" w:type="dxa"/>
            <w:vAlign w:val="bottom"/>
          </w:tcPr>
          <w:p>
            <w:pPr>
              <w:spacing w:after="0"/>
              <w:rPr>
                <w:sz w:val="20"/>
                <w:szCs w:val="20"/>
                <w:color w:val="auto"/>
              </w:rPr>
            </w:pPr>
            <w:r>
              <w:rPr>
                <w:rFonts w:ascii="Arial" w:cs="Arial" w:eastAsia="Arial" w:hAnsi="Arial"/>
                <w:sz w:val="19"/>
                <w:szCs w:val="19"/>
                <w:color w:val="auto"/>
              </w:rPr>
              <w:t>Condensate sales</w:t>
            </w:r>
          </w:p>
        </w:tc>
        <w:tc>
          <w:tcPr>
            <w:tcW w:w="3740" w:type="dxa"/>
            <w:vAlign w:val="bottom"/>
          </w:tcPr>
          <w:p>
            <w:pPr>
              <w:jc w:val="center"/>
              <w:ind w:left="1967"/>
              <w:spacing w:after="0"/>
              <w:rPr>
                <w:sz w:val="20"/>
                <w:szCs w:val="20"/>
                <w:color w:val="auto"/>
              </w:rPr>
            </w:pPr>
            <w:r>
              <w:rPr>
                <w:rFonts w:ascii="Arial" w:cs="Arial" w:eastAsia="Arial" w:hAnsi="Arial"/>
                <w:sz w:val="19"/>
                <w:szCs w:val="19"/>
                <w:color w:val="auto"/>
                <w:w w:val="99"/>
              </w:rPr>
              <w:t>(3.1) MMbls</w:t>
            </w:r>
          </w:p>
        </w:tc>
        <w:tc>
          <w:tcPr>
            <w:tcW w:w="1540" w:type="dxa"/>
            <w:vAlign w:val="bottom"/>
          </w:tcPr>
          <w:p>
            <w:pPr>
              <w:jc w:val="center"/>
              <w:spacing w:after="0"/>
              <w:rPr>
                <w:sz w:val="20"/>
                <w:szCs w:val="20"/>
                <w:color w:val="auto"/>
              </w:rPr>
            </w:pPr>
            <w:r>
              <w:rPr>
                <w:rFonts w:ascii="Arial" w:cs="Arial" w:eastAsia="Arial" w:hAnsi="Arial"/>
                <w:sz w:val="19"/>
                <w:szCs w:val="19"/>
                <w:color w:val="auto"/>
                <w:w w:val="91"/>
              </w:rPr>
              <w:t>December 2024</w:t>
            </w:r>
          </w:p>
        </w:tc>
        <w:tc>
          <w:tcPr>
            <w:tcW w:w="0" w:type="dxa"/>
            <w:vAlign w:val="bottom"/>
          </w:tcPr>
          <w:p>
            <w:pPr>
              <w:spacing w:after="0"/>
              <w:rPr>
                <w:sz w:val="1"/>
                <w:szCs w:val="1"/>
                <w:color w:val="auto"/>
              </w:rPr>
            </w:pPr>
          </w:p>
        </w:tc>
      </w:tr>
      <w:tr>
        <w:trPr>
          <w:trHeight w:val="342"/>
        </w:trPr>
        <w:tc>
          <w:tcPr>
            <w:tcW w:w="4660" w:type="dxa"/>
            <w:vAlign w:val="bottom"/>
          </w:tcPr>
          <w:p>
            <w:pPr>
              <w:spacing w:after="0"/>
              <w:rPr>
                <w:sz w:val="20"/>
                <w:szCs w:val="20"/>
                <w:color w:val="auto"/>
              </w:rPr>
            </w:pPr>
            <w:r>
              <w:rPr>
                <w:rFonts w:ascii="Arial" w:cs="Arial" w:eastAsia="Arial" w:hAnsi="Arial"/>
                <w:sz w:val="19"/>
                <w:szCs w:val="19"/>
                <w:color w:val="auto"/>
              </w:rPr>
              <w:t xml:space="preserve">Fuel gas requirements </w:t>
            </w:r>
            <w:r>
              <w:rPr>
                <w:rFonts w:ascii="Arial" w:cs="Arial" w:eastAsia="Arial" w:hAnsi="Arial"/>
                <w:sz w:val="25"/>
                <w:szCs w:val="25"/>
                <w:color w:val="auto"/>
                <w:vertAlign w:val="superscript"/>
              </w:rPr>
              <w:t>(1)</w:t>
            </w:r>
          </w:p>
        </w:tc>
        <w:tc>
          <w:tcPr>
            <w:tcW w:w="3740" w:type="dxa"/>
            <w:vAlign w:val="bottom"/>
          </w:tcPr>
          <w:p>
            <w:pPr>
              <w:jc w:val="center"/>
              <w:ind w:left="1987"/>
              <w:spacing w:after="0"/>
              <w:rPr>
                <w:sz w:val="20"/>
                <w:szCs w:val="20"/>
                <w:color w:val="auto"/>
              </w:rPr>
            </w:pPr>
            <w:r>
              <w:rPr>
                <w:rFonts w:ascii="Arial" w:cs="Arial" w:eastAsia="Arial" w:hAnsi="Arial"/>
                <w:sz w:val="19"/>
                <w:szCs w:val="19"/>
                <w:color w:val="auto"/>
                <w:w w:val="97"/>
              </w:rPr>
              <w:t>7.1 Bcf</w:t>
            </w:r>
          </w:p>
        </w:tc>
        <w:tc>
          <w:tcPr>
            <w:tcW w:w="1540" w:type="dxa"/>
            <w:vAlign w:val="bottom"/>
          </w:tcPr>
          <w:p>
            <w:pPr>
              <w:jc w:val="center"/>
              <w:spacing w:after="0"/>
              <w:rPr>
                <w:sz w:val="20"/>
                <w:szCs w:val="20"/>
                <w:color w:val="auto"/>
              </w:rPr>
            </w:pPr>
            <w:r>
              <w:rPr>
                <w:rFonts w:ascii="Arial" w:cs="Arial" w:eastAsia="Arial" w:hAnsi="Arial"/>
                <w:sz w:val="19"/>
                <w:szCs w:val="19"/>
                <w:color w:val="auto"/>
                <w:w w:val="91"/>
              </w:rPr>
              <w:t>December 2024</w:t>
            </w:r>
          </w:p>
        </w:tc>
        <w:tc>
          <w:tcPr>
            <w:tcW w:w="0" w:type="dxa"/>
            <w:vAlign w:val="bottom"/>
          </w:tcPr>
          <w:p>
            <w:pPr>
              <w:spacing w:after="0"/>
              <w:rPr>
                <w:sz w:val="1"/>
                <w:szCs w:val="1"/>
                <w:color w:val="auto"/>
              </w:rPr>
            </w:pPr>
          </w:p>
        </w:tc>
      </w:tr>
      <w:tr>
        <w:trPr>
          <w:trHeight w:val="334"/>
        </w:trPr>
        <w:tc>
          <w:tcPr>
            <w:tcW w:w="4660" w:type="dxa"/>
            <w:vAlign w:val="bottom"/>
          </w:tcPr>
          <w:p>
            <w:pPr>
              <w:spacing w:after="0"/>
              <w:rPr>
                <w:sz w:val="20"/>
                <w:szCs w:val="20"/>
                <w:color w:val="auto"/>
              </w:rPr>
            </w:pPr>
            <w:r>
              <w:rPr>
                <w:rFonts w:ascii="Arial" w:cs="Arial" w:eastAsia="Arial" w:hAnsi="Arial"/>
                <w:sz w:val="19"/>
                <w:szCs w:val="19"/>
                <w:color w:val="auto"/>
              </w:rPr>
              <w:t xml:space="preserve">Power supply requirements </w:t>
            </w:r>
            <w:r>
              <w:rPr>
                <w:rFonts w:ascii="Arial" w:cs="Arial" w:eastAsia="Arial" w:hAnsi="Arial"/>
                <w:sz w:val="25"/>
                <w:szCs w:val="25"/>
                <w:color w:val="auto"/>
                <w:vertAlign w:val="superscript"/>
              </w:rPr>
              <w:t>(1)</w:t>
            </w:r>
          </w:p>
        </w:tc>
        <w:tc>
          <w:tcPr>
            <w:tcW w:w="3740" w:type="dxa"/>
            <w:vAlign w:val="bottom"/>
          </w:tcPr>
          <w:p>
            <w:pPr>
              <w:jc w:val="center"/>
              <w:ind w:left="1987"/>
              <w:spacing w:after="0"/>
              <w:rPr>
                <w:sz w:val="20"/>
                <w:szCs w:val="20"/>
                <w:color w:val="auto"/>
              </w:rPr>
            </w:pPr>
            <w:r>
              <w:rPr>
                <w:rFonts w:ascii="Arial" w:cs="Arial" w:eastAsia="Arial" w:hAnsi="Arial"/>
                <w:sz w:val="19"/>
                <w:szCs w:val="19"/>
                <w:color w:val="auto"/>
                <w:w w:val="97"/>
              </w:rPr>
              <w:t>2.4 TWh</w:t>
            </w:r>
          </w:p>
        </w:tc>
        <w:tc>
          <w:tcPr>
            <w:tcW w:w="1540" w:type="dxa"/>
            <w:vAlign w:val="bottom"/>
          </w:tcPr>
          <w:p>
            <w:pPr>
              <w:jc w:val="center"/>
              <w:spacing w:after="0"/>
              <w:rPr>
                <w:sz w:val="20"/>
                <w:szCs w:val="20"/>
                <w:color w:val="auto"/>
              </w:rPr>
            </w:pPr>
            <w:r>
              <w:rPr>
                <w:rFonts w:ascii="Arial" w:cs="Arial" w:eastAsia="Arial" w:hAnsi="Arial"/>
                <w:sz w:val="19"/>
                <w:szCs w:val="19"/>
                <w:color w:val="auto"/>
                <w:w w:val="91"/>
              </w:rPr>
              <w:t>December 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-1213485</wp:posOffset>
            </wp:positionV>
            <wp:extent cx="6376670" cy="1297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88">
                      <a:extLst>
                        <a:ext uri="{28A0092B-C50C-407E-A947-70E740481C1C}"/>
                      </a:extLst>
                    </a:blip>
                    <a:srcRect/>
                    <a:stretch>
                      <a:fillRect/>
                    </a:stretch>
                  </pic:blipFill>
                  <pic:spPr bwMode="auto">
                    <a:xfrm>
                      <a:off x="0" y="0"/>
                      <a:ext cx="6376670" cy="1297305"/>
                    </a:xfrm>
                    <a:prstGeom prst="rect">
                      <a:avLst/>
                    </a:prstGeom>
                    <a:noFill/>
                  </pic:spPr>
                </pic:pic>
              </a:graphicData>
            </a:graphic>
          </wp:anchor>
        </w:drawing>
      </w:r>
    </w:p>
    <w:p>
      <w:pPr>
        <w:spacing w:after="0" w:line="138" w:lineRule="exact"/>
        <w:rPr>
          <w:sz w:val="20"/>
          <w:szCs w:val="20"/>
          <w:color w:val="auto"/>
        </w:rPr>
      </w:pPr>
    </w:p>
    <w:p>
      <w:pPr>
        <w:ind w:left="701" w:right="60" w:hanging="701"/>
        <w:spacing w:after="0" w:line="231" w:lineRule="auto"/>
        <w:tabs>
          <w:tab w:leader="none" w:pos="701" w:val="left"/>
        </w:tabs>
        <w:numPr>
          <w:ilvl w:val="0"/>
          <w:numId w:val="93"/>
        </w:numPr>
        <w:rPr>
          <w:rFonts w:ascii="Arial" w:cs="Arial" w:eastAsia="Arial" w:hAnsi="Arial"/>
          <w:sz w:val="25"/>
          <w:szCs w:val="25"/>
          <w:color w:val="auto"/>
          <w:vertAlign w:val="superscript"/>
        </w:rPr>
      </w:pPr>
      <w:r>
        <w:rPr>
          <w:rFonts w:ascii="Arial" w:cs="Arial" w:eastAsia="Arial" w:hAnsi="Arial"/>
          <w:sz w:val="19"/>
          <w:szCs w:val="19"/>
          <w:color w:val="auto"/>
        </w:rPr>
        <w:t>Positions to hedge a portion of our power supply and fuel gas requirements at our Canadian natural gas processing and fractionation plants.</w:t>
      </w:r>
    </w:p>
    <w:p>
      <w:pPr>
        <w:spacing w:after="0" w:line="215" w:lineRule="exact"/>
        <w:rPr>
          <w:sz w:val="20"/>
          <w:szCs w:val="20"/>
          <w:color w:val="auto"/>
        </w:rPr>
      </w:pPr>
    </w:p>
    <w:p>
      <w:pPr>
        <w:ind w:left="1" w:right="240" w:firstLine="702"/>
        <w:spacing w:after="0" w:line="269" w:lineRule="auto"/>
        <w:rPr>
          <w:sz w:val="20"/>
          <w:szCs w:val="20"/>
          <w:color w:val="auto"/>
        </w:rPr>
      </w:pPr>
      <w:r>
        <w:rPr>
          <w:rFonts w:ascii="Arial" w:cs="Arial" w:eastAsia="Arial" w:hAnsi="Arial"/>
          <w:sz w:val="19"/>
          <w:szCs w:val="19"/>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90" w:lineRule="exact"/>
        <w:rPr>
          <w:sz w:val="20"/>
          <w:szCs w:val="20"/>
          <w:color w:val="auto"/>
        </w:rPr>
      </w:pPr>
    </w:p>
    <w:p>
      <w:pPr>
        <w:jc w:val="both"/>
        <w:ind w:left="1" w:right="140" w:firstLine="702"/>
        <w:spacing w:after="0" w:line="276" w:lineRule="auto"/>
        <w:rPr>
          <w:sz w:val="20"/>
          <w:szCs w:val="20"/>
          <w:color w:val="auto"/>
        </w:rPr>
      </w:pPr>
      <w:r>
        <w:rPr>
          <w:rFonts w:ascii="Arial" w:cs="Arial" w:eastAsia="Arial" w:hAnsi="Arial"/>
          <w:sz w:val="19"/>
          <w:szCs w:val="19"/>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69" w:lineRule="exact"/>
        <w:rPr>
          <w:sz w:val="20"/>
          <w:szCs w:val="20"/>
          <w:color w:val="auto"/>
        </w:rPr>
      </w:pPr>
    </w:p>
    <w:tbl>
      <w:tblPr>
        <w:tblLayout w:type="fixed"/>
        <w:tblInd w:w="61"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w w:val="99"/>
              </w:rPr>
              <w:t>Year Ended December 31,</w:t>
            </w:r>
          </w:p>
        </w:tc>
        <w:tc>
          <w:tcPr>
            <w:tcW w:w="960" w:type="dxa"/>
            <w:vAlign w:val="bottom"/>
            <w:tcBorders>
              <w:bottom w:val="single" w:sz="8" w:color="auto"/>
            </w:tcBorders>
          </w:tcPr>
          <w:p>
            <w:pPr>
              <w:spacing w:after="0"/>
              <w:rPr>
                <w:sz w:val="18"/>
                <w:szCs w:val="18"/>
                <w:color w:val="auto"/>
              </w:rPr>
            </w:pPr>
          </w:p>
        </w:tc>
      </w:tr>
      <w:tr>
        <w:trPr>
          <w:trHeight w:val="229"/>
        </w:trPr>
        <w:tc>
          <w:tcPr>
            <w:tcW w:w="59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2021</w:t>
            </w:r>
          </w:p>
        </w:tc>
      </w:tr>
      <w:tr>
        <w:trPr>
          <w:trHeight w:val="269"/>
        </w:trPr>
        <w:tc>
          <w:tcPr>
            <w:tcW w:w="5980" w:type="dxa"/>
            <w:vAlign w:val="bottom"/>
          </w:tcPr>
          <w:p>
            <w:pPr>
              <w:spacing w:after="0"/>
              <w:rPr>
                <w:sz w:val="20"/>
                <w:szCs w:val="20"/>
                <w:color w:val="auto"/>
              </w:rPr>
            </w:pPr>
            <w:r>
              <w:rPr>
                <w:rFonts w:ascii="Arial" w:cs="Arial" w:eastAsia="Arial" w:hAnsi="Arial"/>
                <w:sz w:val="19"/>
                <w:szCs w:val="19"/>
                <w:color w:val="auto"/>
              </w:rPr>
              <w:t>Product sales revenues</w:t>
            </w:r>
          </w:p>
        </w:tc>
        <w:tc>
          <w:tcPr>
            <w:tcW w:w="860" w:type="dxa"/>
            <w:vAlign w:val="bottom"/>
          </w:tcPr>
          <w:p>
            <w:pPr>
              <w:jc w:val="right"/>
              <w:ind w:right="629"/>
              <w:spacing w:after="0"/>
              <w:rPr>
                <w:sz w:val="20"/>
                <w:szCs w:val="20"/>
                <w:color w:val="auto"/>
              </w:rPr>
            </w:pPr>
            <w:r>
              <w:rPr>
                <w:rFonts w:ascii="Arial" w:cs="Arial" w:eastAsia="Arial" w:hAnsi="Arial"/>
                <w:sz w:val="19"/>
                <w:szCs w:val="19"/>
                <w:color w:val="auto"/>
              </w:rPr>
              <w:t>$</w:t>
            </w:r>
          </w:p>
        </w:tc>
        <w:tc>
          <w:tcPr>
            <w:tcW w:w="400" w:type="dxa"/>
            <w:vAlign w:val="bottom"/>
          </w:tcPr>
          <w:p>
            <w:pPr>
              <w:jc w:val="right"/>
              <w:spacing w:after="0"/>
              <w:rPr>
                <w:sz w:val="20"/>
                <w:szCs w:val="20"/>
                <w:color w:val="auto"/>
              </w:rPr>
            </w:pPr>
            <w:r>
              <w:rPr>
                <w:rFonts w:ascii="Arial" w:cs="Arial" w:eastAsia="Arial" w:hAnsi="Arial"/>
                <w:sz w:val="19"/>
                <w:szCs w:val="19"/>
                <w:color w:val="auto"/>
              </w:rPr>
              <w:t>13</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179</w:t>
            </w:r>
          </w:p>
        </w:tc>
        <w:tc>
          <w:tcPr>
            <w:tcW w:w="40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(710)</w:t>
            </w:r>
          </w:p>
        </w:tc>
      </w:tr>
      <w:tr>
        <w:trPr>
          <w:trHeight w:val="296"/>
        </w:trPr>
        <w:tc>
          <w:tcPr>
            <w:tcW w:w="5980" w:type="dxa"/>
            <w:vAlign w:val="bottom"/>
          </w:tcPr>
          <w:p>
            <w:pPr>
              <w:spacing w:after="0"/>
              <w:rPr>
                <w:sz w:val="20"/>
                <w:szCs w:val="20"/>
                <w:color w:val="auto"/>
              </w:rPr>
            </w:pPr>
            <w:r>
              <w:rPr>
                <w:rFonts w:ascii="Arial" w:cs="Arial" w:eastAsia="Arial" w:hAnsi="Arial"/>
                <w:sz w:val="19"/>
                <w:szCs w:val="19"/>
                <w:color w:val="auto"/>
              </w:rPr>
              <w:t>Field operating costs</w:t>
            </w: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71</w:t>
            </w:r>
          </w:p>
        </w:tc>
      </w:tr>
      <w:tr>
        <w:trPr>
          <w:trHeight w:val="253"/>
        </w:trPr>
        <w:tc>
          <w:tcPr>
            <w:tcW w:w="5980" w:type="dxa"/>
            <w:vAlign w:val="bottom"/>
          </w:tcPr>
          <w:p>
            <w:pPr>
              <w:ind w:left="120"/>
              <w:spacing w:after="0"/>
              <w:rPr>
                <w:sz w:val="20"/>
                <w:szCs w:val="20"/>
                <w:color w:val="auto"/>
              </w:rPr>
            </w:pPr>
            <w:r>
              <w:rPr>
                <w:rFonts w:ascii="Arial" w:cs="Arial" w:eastAsia="Arial" w:hAnsi="Arial"/>
                <w:sz w:val="19"/>
                <w:szCs w:val="19"/>
                <w:color w:val="auto"/>
              </w:rPr>
              <w:t>Net gain/(loss) from commodity derivative activity</w:t>
            </w:r>
          </w:p>
        </w:tc>
        <w:tc>
          <w:tcPr>
            <w:tcW w:w="860" w:type="dxa"/>
            <w:vAlign w:val="bottom"/>
          </w:tcPr>
          <w:p>
            <w:pPr>
              <w:jc w:val="right"/>
              <w:ind w:right="629"/>
              <w:spacing w:after="0"/>
              <w:rPr>
                <w:sz w:val="20"/>
                <w:szCs w:val="20"/>
                <w:color w:val="auto"/>
              </w:rPr>
            </w:pPr>
            <w:r>
              <w:rPr>
                <w:rFonts w:ascii="Arial" w:cs="Arial" w:eastAsia="Arial" w:hAnsi="Arial"/>
                <w:sz w:val="19"/>
                <w:szCs w:val="19"/>
                <w:color w:val="auto"/>
              </w:rPr>
              <w:t>$</w:t>
            </w:r>
          </w:p>
        </w:tc>
        <w:tc>
          <w:tcPr>
            <w:tcW w:w="400" w:type="dxa"/>
            <w:vAlign w:val="bottom"/>
          </w:tcPr>
          <w:p>
            <w:pPr>
              <w:jc w:val="right"/>
              <w:spacing w:after="0"/>
              <w:rPr>
                <w:sz w:val="20"/>
                <w:szCs w:val="20"/>
                <w:color w:val="auto"/>
              </w:rPr>
            </w:pPr>
            <w:r>
              <w:rPr>
                <w:rFonts w:ascii="Arial" w:cs="Arial" w:eastAsia="Arial" w:hAnsi="Arial"/>
                <w:sz w:val="19"/>
                <w:szCs w:val="19"/>
                <w:color w:val="auto"/>
              </w:rPr>
              <w:t>(32)</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238</w:t>
            </w:r>
          </w:p>
        </w:tc>
        <w:tc>
          <w:tcPr>
            <w:tcW w:w="40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(639)</w:t>
            </w:r>
          </w:p>
        </w:tc>
      </w:tr>
      <w:tr>
        <w:trPr>
          <w:trHeight w:val="20"/>
        </w:trPr>
        <w:tc>
          <w:tcPr>
            <w:tcW w:w="5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-588010</wp:posOffset>
            </wp:positionV>
            <wp:extent cx="6367145" cy="5949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89">
                      <a:extLst>
                        <a:ext uri="{28A0092B-C50C-407E-A947-70E740481C1C}"/>
                      </a:extLst>
                    </a:blip>
                    <a:srcRect/>
                    <a:stretch>
                      <a:fillRect/>
                    </a:stretch>
                  </pic:blipFill>
                  <pic:spPr bwMode="auto">
                    <a:xfrm>
                      <a:off x="0" y="0"/>
                      <a:ext cx="6367145" cy="594995"/>
                    </a:xfrm>
                    <a:prstGeom prst="rect">
                      <a:avLst/>
                    </a:prstGeom>
                    <a:noFill/>
                  </pic:spPr>
                </pic:pic>
              </a:graphicData>
            </a:graphic>
          </wp:anchor>
        </w:drawing>
      </w:r>
    </w:p>
    <w:p>
      <w:pPr>
        <w:spacing w:after="0" w:line="221" w:lineRule="exact"/>
        <w:rPr>
          <w:sz w:val="20"/>
          <w:szCs w:val="20"/>
          <w:color w:val="auto"/>
        </w:rPr>
      </w:pPr>
    </w:p>
    <w:p>
      <w:pPr>
        <w:ind w:left="1" w:right="120" w:firstLine="702"/>
        <w:spacing w:after="0" w:line="301"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254" w:lineRule="exact"/>
        <w:rPr>
          <w:sz w:val="20"/>
          <w:szCs w:val="20"/>
          <w:color w:val="auto"/>
        </w:rPr>
      </w:pPr>
    </w:p>
    <w:tbl>
      <w:tblPr>
        <w:tblLayout w:type="fixed"/>
        <w:tblInd w:w="41" w:type="dxa"/>
        <w:tblCellMar>
          <w:top w:w="0" w:type="dxa"/>
          <w:left w:w="0" w:type="dxa"/>
          <w:bottom w:w="0" w:type="dxa"/>
          <w:right w:w="0" w:type="dxa"/>
        </w:tblCellMar>
      </w:tblPr>
      <w:tr>
        <w:trPr>
          <w:trHeight w:val="212"/>
        </w:trPr>
        <w:tc>
          <w:tcPr>
            <w:tcW w:w="73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88"/>
              </w:rPr>
              <w:t>December 31,</w:t>
            </w:r>
          </w:p>
        </w:tc>
        <w:tc>
          <w:tcPr>
            <w:tcW w:w="820" w:type="dxa"/>
            <w:vAlign w:val="bottom"/>
            <w:tcBorders>
              <w:bottom w:val="single" w:sz="8" w:color="auto"/>
            </w:tcBorders>
          </w:tcPr>
          <w:p>
            <w:pPr>
              <w:spacing w:after="0"/>
              <w:rPr>
                <w:sz w:val="18"/>
                <w:szCs w:val="18"/>
                <w:color w:val="auto"/>
              </w:rPr>
            </w:pPr>
          </w:p>
        </w:tc>
      </w:tr>
      <w:tr>
        <w:trPr>
          <w:trHeight w:val="229"/>
        </w:trPr>
        <w:tc>
          <w:tcPr>
            <w:tcW w:w="73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w w:val="89"/>
              </w:rPr>
              <w:t>2022</w:t>
            </w:r>
          </w:p>
        </w:tc>
      </w:tr>
      <w:tr>
        <w:trPr>
          <w:trHeight w:val="269"/>
        </w:trPr>
        <w:tc>
          <w:tcPr>
            <w:tcW w:w="7340" w:type="dxa"/>
            <w:vAlign w:val="bottom"/>
          </w:tcPr>
          <w:p>
            <w:pPr>
              <w:spacing w:after="0"/>
              <w:rPr>
                <w:sz w:val="20"/>
                <w:szCs w:val="20"/>
                <w:color w:val="auto"/>
              </w:rPr>
            </w:pPr>
            <w:r>
              <w:rPr>
                <w:rFonts w:ascii="Arial" w:cs="Arial" w:eastAsia="Arial" w:hAnsi="Arial"/>
                <w:sz w:val="19"/>
                <w:szCs w:val="19"/>
                <w:color w:val="auto"/>
              </w:rPr>
              <w:t>Initial margin</w:t>
            </w:r>
          </w:p>
        </w:tc>
        <w:tc>
          <w:tcPr>
            <w:tcW w:w="820" w:type="dxa"/>
            <w:vAlign w:val="bottom"/>
          </w:tcPr>
          <w:p>
            <w:pPr>
              <w:jc w:val="right"/>
              <w:ind w:right="569"/>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77</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93</w:t>
            </w:r>
          </w:p>
        </w:tc>
      </w:tr>
      <w:tr>
        <w:trPr>
          <w:trHeight w:val="292"/>
        </w:trPr>
        <w:tc>
          <w:tcPr>
            <w:tcW w:w="7340" w:type="dxa"/>
            <w:vAlign w:val="bottom"/>
          </w:tcPr>
          <w:p>
            <w:pPr>
              <w:spacing w:after="0"/>
              <w:rPr>
                <w:sz w:val="20"/>
                <w:szCs w:val="20"/>
                <w:color w:val="auto"/>
              </w:rPr>
            </w:pPr>
            <w:r>
              <w:rPr>
                <w:rFonts w:ascii="Arial" w:cs="Arial" w:eastAsia="Arial" w:hAnsi="Arial"/>
                <w:sz w:val="19"/>
                <w:szCs w:val="19"/>
                <w:color w:val="auto"/>
              </w:rPr>
              <w:t>Variation margin returned</w:t>
            </w:r>
          </w:p>
        </w:tc>
        <w:tc>
          <w:tcPr>
            <w:tcW w:w="8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(65)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(236)</w:t>
            </w:r>
          </w:p>
        </w:tc>
      </w:tr>
      <w:tr>
        <w:trPr>
          <w:trHeight w:val="296"/>
        </w:trPr>
        <w:tc>
          <w:tcPr>
            <w:tcW w:w="7340" w:type="dxa"/>
            <w:vAlign w:val="bottom"/>
          </w:tcPr>
          <w:p>
            <w:pPr>
              <w:spacing w:after="0"/>
              <w:rPr>
                <w:sz w:val="20"/>
                <w:szCs w:val="20"/>
                <w:color w:val="auto"/>
              </w:rPr>
            </w:pPr>
            <w:r>
              <w:rPr>
                <w:rFonts w:ascii="Arial" w:cs="Arial" w:eastAsia="Arial" w:hAnsi="Arial"/>
                <w:sz w:val="19"/>
                <w:szCs w:val="19"/>
                <w:color w:val="auto"/>
              </w:rPr>
              <w:t>Letters of credit</w:t>
            </w:r>
          </w:p>
        </w:tc>
        <w:tc>
          <w:tcPr>
            <w:tcW w:w="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w:t>
            </w:r>
          </w:p>
        </w:tc>
      </w:tr>
      <w:tr>
        <w:trPr>
          <w:trHeight w:val="253"/>
        </w:trPr>
        <w:tc>
          <w:tcPr>
            <w:tcW w:w="7340" w:type="dxa"/>
            <w:vAlign w:val="bottom"/>
          </w:tcPr>
          <w:p>
            <w:pPr>
              <w:ind w:left="120"/>
              <w:spacing w:after="0"/>
              <w:rPr>
                <w:sz w:val="20"/>
                <w:szCs w:val="20"/>
                <w:color w:val="auto"/>
              </w:rPr>
            </w:pPr>
            <w:r>
              <w:rPr>
                <w:rFonts w:ascii="Arial" w:cs="Arial" w:eastAsia="Arial" w:hAnsi="Arial"/>
                <w:sz w:val="19"/>
                <w:szCs w:val="19"/>
                <w:color w:val="auto"/>
              </w:rPr>
              <w:t>Net broker payable</w:t>
            </w:r>
          </w:p>
        </w:tc>
        <w:tc>
          <w:tcPr>
            <w:tcW w:w="820" w:type="dxa"/>
            <w:vAlign w:val="bottom"/>
          </w:tcPr>
          <w:p>
            <w:pPr>
              <w:jc w:val="right"/>
              <w:ind w:right="569"/>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(13)</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(168)</w:t>
            </w:r>
          </w:p>
        </w:tc>
      </w:tr>
      <w:tr>
        <w:trPr>
          <w:trHeight w:val="20"/>
        </w:trPr>
        <w:tc>
          <w:tcPr>
            <w:tcW w:w="7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-773430</wp:posOffset>
            </wp:positionV>
            <wp:extent cx="6376670" cy="780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90">
                      <a:extLst>
                        <a:ext uri="{28A0092B-C50C-407E-A947-70E740481C1C}"/>
                      </a:extLst>
                    </a:blip>
                    <a:srcRect/>
                    <a:stretch>
                      <a:fillRect/>
                    </a:stretch>
                  </pic:blipFill>
                  <pic:spPr bwMode="auto">
                    <a:xfrm>
                      <a:off x="0" y="0"/>
                      <a:ext cx="6376670" cy="780415"/>
                    </a:xfrm>
                    <a:prstGeom prst="rect">
                      <a:avLst/>
                    </a:prstGeom>
                    <a:noFill/>
                  </pic:spPr>
                </pic:pic>
              </a:graphicData>
            </a:graphic>
          </wp:anchor>
        </w:drawing>
      </w:r>
    </w:p>
    <w:p>
      <w:pPr>
        <w:sectPr>
          <w:pgSz w:w="11880" w:h="15480" w:orient="portrait"/>
          <w:cols w:equalWidth="0" w:num="1">
            <w:col w:w="10001"/>
          </w:cols>
          <w:pgMar w:left="939" w:top="43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ectPr>
          <w:pgSz w:w="11880" w:h="15480" w:orient="portrait"/>
          <w:cols w:equalWidth="0" w:num="1">
            <w:col w:w="10001"/>
          </w:cols>
          <w:pgMar w:left="939" w:top="432" w:right="940" w:bottom="0" w:gutter="0" w:footer="0" w:header="0"/>
          <w:type w:val="continuous"/>
        </w:sectPr>
      </w:pPr>
    </w:p>
    <w:bookmarkStart w:id="144" w:name="page145"/>
    <w:bookmarkEnd w:id="144"/>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right="160" w:firstLine="702"/>
        <w:spacing w:after="0" w:line="266" w:lineRule="auto"/>
        <w:rPr>
          <w:sz w:val="20"/>
          <w:szCs w:val="20"/>
          <w:color w:val="auto"/>
        </w:rPr>
      </w:pPr>
      <w:r>
        <w:rPr>
          <w:rFonts w:ascii="Arial" w:cs="Arial" w:eastAsia="Arial" w:hAnsi="Arial"/>
          <w:sz w:val="19"/>
          <w:szCs w:val="19"/>
          <w:color w:val="auto"/>
        </w:rPr>
        <w:t>The following table reflects the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Consolidated Balance Sheet when the legal right of offset exists. Amounts in the table below are presented in millions.</w:t>
      </w: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2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6"/>
                <w:szCs w:val="16"/>
                <w:b w:val="1"/>
                <w:bCs w:val="1"/>
                <w:color w:val="auto"/>
                <w:w w:val="91"/>
              </w:rPr>
              <w:t>December 31, 2023</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6"/>
                <w:szCs w:val="16"/>
                <w:b w:val="1"/>
                <w:bCs w:val="1"/>
                <w:color w:val="auto"/>
                <w:w w:val="91"/>
              </w:rPr>
              <w:t>December 31, 2022</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92"/>
              </w:rPr>
              <w:t>Net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center"/>
              <w:ind w:right="73"/>
              <w:spacing w:after="0" w:line="176" w:lineRule="exact"/>
              <w:rPr>
                <w:sz w:val="20"/>
                <w:szCs w:val="20"/>
                <w:color w:val="auto"/>
              </w:rPr>
            </w:pPr>
            <w:r>
              <w:rPr>
                <w:rFonts w:ascii="Arial" w:cs="Arial" w:eastAsia="Arial" w:hAnsi="Arial"/>
                <w:sz w:val="16"/>
                <w:szCs w:val="16"/>
                <w:b w:val="1"/>
                <w:bCs w:val="1"/>
                <w:color w:val="auto"/>
                <w:w w:val="92"/>
              </w:rPr>
              <w:t>Net</w:t>
            </w:r>
          </w:p>
        </w:tc>
        <w:tc>
          <w:tcPr>
            <w:tcW w:w="0" w:type="dxa"/>
            <w:vAlign w:val="bottom"/>
          </w:tcPr>
          <w:p>
            <w:pPr>
              <w:spacing w:after="0"/>
              <w:rPr>
                <w:sz w:val="1"/>
                <w:szCs w:val="1"/>
                <w:color w:val="auto"/>
              </w:rPr>
            </w:pPr>
          </w:p>
        </w:tc>
      </w:tr>
      <w:tr>
        <w:trPr>
          <w:trHeight w:val="156"/>
        </w:trPr>
        <w:tc>
          <w:tcPr>
            <w:tcW w:w="2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3"/>
          </w:tcPr>
          <w:p>
            <w:pPr>
              <w:jc w:val="center"/>
              <w:ind w:right="60"/>
              <w:spacing w:after="0" w:line="156" w:lineRule="exact"/>
              <w:rPr>
                <w:sz w:val="20"/>
                <w:szCs w:val="20"/>
                <w:color w:val="auto"/>
              </w:rPr>
            </w:pPr>
            <w:r>
              <w:rPr>
                <w:rFonts w:ascii="Arial" w:cs="Arial" w:eastAsia="Arial" w:hAnsi="Arial"/>
                <w:sz w:val="16"/>
                <w:szCs w:val="16"/>
                <w:b w:val="1"/>
                <w:bCs w:val="1"/>
                <w:color w:val="auto"/>
                <w:w w:val="94"/>
              </w:rPr>
              <w:t>Carrying</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tcPr>
          <w:p>
            <w:pPr>
              <w:jc w:val="center"/>
              <w:spacing w:after="0" w:line="156" w:lineRule="exact"/>
              <w:rPr>
                <w:sz w:val="20"/>
                <w:szCs w:val="20"/>
                <w:color w:val="auto"/>
              </w:rPr>
            </w:pPr>
            <w:r>
              <w:rPr>
                <w:rFonts w:ascii="Arial" w:cs="Arial" w:eastAsia="Arial" w:hAnsi="Arial"/>
                <w:sz w:val="16"/>
                <w:szCs w:val="16"/>
                <w:b w:val="1"/>
                <w:bCs w:val="1"/>
                <w:color w:val="auto"/>
                <w:w w:val="94"/>
              </w:rPr>
              <w:t>Carrying</w:t>
            </w:r>
          </w:p>
        </w:tc>
        <w:tc>
          <w:tcPr>
            <w:tcW w:w="0" w:type="dxa"/>
            <w:vAlign w:val="bottom"/>
          </w:tcPr>
          <w:p>
            <w:pPr>
              <w:spacing w:after="0"/>
              <w:rPr>
                <w:sz w:val="1"/>
                <w:szCs w:val="1"/>
                <w:color w:val="auto"/>
              </w:rPr>
            </w:pPr>
          </w:p>
        </w:tc>
      </w:tr>
      <w:tr>
        <w:trPr>
          <w:trHeight w:val="156"/>
        </w:trPr>
        <w:tc>
          <w:tcPr>
            <w:tcW w:w="2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240"/>
              <w:spacing w:after="0" w:line="156" w:lineRule="exact"/>
              <w:rPr>
                <w:sz w:val="20"/>
                <w:szCs w:val="20"/>
                <w:color w:val="auto"/>
              </w:rPr>
            </w:pPr>
            <w:r>
              <w:rPr>
                <w:rFonts w:ascii="Arial" w:cs="Arial" w:eastAsia="Arial" w:hAnsi="Arial"/>
                <w:sz w:val="16"/>
                <w:szCs w:val="16"/>
                <w:b w:val="1"/>
                <w:bCs w:val="1"/>
                <w:color w:val="auto"/>
                <w:w w:val="88"/>
              </w:rPr>
              <w:t>Value</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center"/>
              <w:ind w:right="73"/>
              <w:spacing w:after="0" w:line="156" w:lineRule="exact"/>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156"/>
        </w:trPr>
        <w:tc>
          <w:tcPr>
            <w:tcW w:w="2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center"/>
              <w:ind w:right="88"/>
              <w:spacing w:after="0"/>
              <w:rPr>
                <w:sz w:val="20"/>
                <w:szCs w:val="20"/>
                <w:color w:val="auto"/>
              </w:rPr>
            </w:pPr>
            <w:r>
              <w:rPr>
                <w:rFonts w:ascii="Arial" w:cs="Arial" w:eastAsia="Arial" w:hAnsi="Arial"/>
                <w:sz w:val="16"/>
                <w:szCs w:val="16"/>
                <w:b w:val="1"/>
                <w:bCs w:val="1"/>
                <w:color w:val="auto"/>
                <w:w w:val="87"/>
              </w:rPr>
              <w:t>Effect of</w:t>
            </w:r>
          </w:p>
        </w:tc>
        <w:tc>
          <w:tcPr>
            <w:tcW w:w="40" w:type="dxa"/>
            <w:vAlign w:val="bottom"/>
          </w:tcPr>
          <w:p>
            <w:pPr>
              <w:spacing w:after="0"/>
              <w:rPr>
                <w:sz w:val="13"/>
                <w:szCs w:val="13"/>
                <w:color w:val="auto"/>
              </w:rPr>
            </w:pPr>
          </w:p>
        </w:tc>
        <w:tc>
          <w:tcPr>
            <w:tcW w:w="960" w:type="dxa"/>
            <w:vAlign w:val="bottom"/>
            <w:gridSpan w:val="3"/>
          </w:tcPr>
          <w:p>
            <w:pPr>
              <w:jc w:val="center"/>
              <w:ind w:right="60"/>
              <w:spacing w:after="0" w:line="156" w:lineRule="exact"/>
              <w:rPr>
                <w:sz w:val="20"/>
                <w:szCs w:val="20"/>
                <w:color w:val="auto"/>
              </w:rPr>
            </w:pPr>
            <w:r>
              <w:rPr>
                <w:rFonts w:ascii="Arial" w:cs="Arial" w:eastAsia="Arial" w:hAnsi="Arial"/>
                <w:sz w:val="16"/>
                <w:szCs w:val="16"/>
                <w:b w:val="1"/>
                <w:bCs w:val="1"/>
                <w:color w:val="auto"/>
                <w:w w:val="85"/>
              </w:rPr>
              <w:t>Presented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center"/>
              <w:ind w:right="88"/>
              <w:spacing w:after="0"/>
              <w:rPr>
                <w:sz w:val="20"/>
                <w:szCs w:val="20"/>
                <w:color w:val="auto"/>
              </w:rPr>
            </w:pPr>
            <w:r>
              <w:rPr>
                <w:rFonts w:ascii="Arial" w:cs="Arial" w:eastAsia="Arial" w:hAnsi="Arial"/>
                <w:sz w:val="16"/>
                <w:szCs w:val="16"/>
                <w:b w:val="1"/>
                <w:bCs w:val="1"/>
                <w:color w:val="auto"/>
                <w:w w:val="87"/>
              </w:rPr>
              <w:t>Effect of</w:t>
            </w:r>
          </w:p>
        </w:tc>
        <w:tc>
          <w:tcPr>
            <w:tcW w:w="40" w:type="dxa"/>
            <w:vAlign w:val="bottom"/>
          </w:tcPr>
          <w:p>
            <w:pPr>
              <w:spacing w:after="0"/>
              <w:rPr>
                <w:sz w:val="13"/>
                <w:szCs w:val="13"/>
                <w:color w:val="auto"/>
              </w:rPr>
            </w:pPr>
          </w:p>
        </w:tc>
        <w:tc>
          <w:tcPr>
            <w:tcW w:w="900" w:type="dxa"/>
            <w:vAlign w:val="bottom"/>
            <w:gridSpan w:val="2"/>
          </w:tcPr>
          <w:p>
            <w:pPr>
              <w:jc w:val="center"/>
              <w:spacing w:after="0" w:line="156" w:lineRule="exact"/>
              <w:rPr>
                <w:sz w:val="20"/>
                <w:szCs w:val="20"/>
                <w:color w:val="auto"/>
              </w:rPr>
            </w:pPr>
            <w:r>
              <w:rPr>
                <w:rFonts w:ascii="Arial" w:cs="Arial" w:eastAsia="Arial" w:hAnsi="Arial"/>
                <w:sz w:val="16"/>
                <w:szCs w:val="16"/>
                <w:b w:val="1"/>
                <w:bCs w:val="1"/>
                <w:color w:val="auto"/>
                <w:w w:val="85"/>
              </w:rPr>
              <w:t>Presented</w:t>
            </w:r>
          </w:p>
        </w:tc>
        <w:tc>
          <w:tcPr>
            <w:tcW w:w="0" w:type="dxa"/>
            <w:vAlign w:val="bottom"/>
          </w:tcPr>
          <w:p>
            <w:pPr>
              <w:spacing w:after="0"/>
              <w:rPr>
                <w:sz w:val="1"/>
                <w:szCs w:val="1"/>
                <w:color w:val="auto"/>
              </w:rPr>
            </w:pPr>
          </w:p>
        </w:tc>
      </w:tr>
      <w:tr>
        <w:trPr>
          <w:trHeight w:val="156"/>
        </w:trPr>
        <w:tc>
          <w:tcPr>
            <w:tcW w:w="2340" w:type="dxa"/>
            <w:vAlign w:val="bottom"/>
          </w:tcPr>
          <w:p>
            <w:pPr>
              <w:spacing w:after="0"/>
              <w:rPr>
                <w:sz w:val="13"/>
                <w:szCs w:val="13"/>
                <w:color w:val="auto"/>
              </w:rPr>
            </w:pPr>
          </w:p>
        </w:tc>
        <w:tc>
          <w:tcPr>
            <w:tcW w:w="1840" w:type="dxa"/>
            <w:vAlign w:val="bottom"/>
            <w:gridSpan w:val="5"/>
            <w:vMerge w:val="restart"/>
          </w:tcPr>
          <w:p>
            <w:pPr>
              <w:jc w:val="right"/>
              <w:ind w:right="46"/>
              <w:spacing w:after="0"/>
              <w:rPr>
                <w:sz w:val="20"/>
                <w:szCs w:val="20"/>
                <w:color w:val="auto"/>
              </w:rPr>
            </w:pPr>
            <w:r>
              <w:rPr>
                <w:rFonts w:ascii="Arial" w:cs="Arial" w:eastAsia="Arial" w:hAnsi="Arial"/>
                <w:sz w:val="16"/>
                <w:szCs w:val="16"/>
                <w:b w:val="1"/>
                <w:bCs w:val="1"/>
                <w:color w:val="auto"/>
                <w:w w:val="94"/>
              </w:rPr>
              <w:t>Commodity Derivatives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240"/>
              <w:spacing w:after="0" w:line="156" w:lineRule="exact"/>
              <w:rPr>
                <w:sz w:val="20"/>
                <w:szCs w:val="20"/>
                <w:color w:val="auto"/>
              </w:rPr>
            </w:pPr>
            <w:r>
              <w:rPr>
                <w:rFonts w:ascii="Arial" w:cs="Arial" w:eastAsia="Arial" w:hAnsi="Arial"/>
                <w:sz w:val="16"/>
                <w:szCs w:val="16"/>
                <w:b w:val="1"/>
                <w:bCs w:val="1"/>
                <w:color w:val="auto"/>
                <w:w w:val="87"/>
              </w:rPr>
              <w:t>on the</w:t>
            </w:r>
          </w:p>
        </w:tc>
        <w:tc>
          <w:tcPr>
            <w:tcW w:w="60" w:type="dxa"/>
            <w:vAlign w:val="bottom"/>
          </w:tcPr>
          <w:p>
            <w:pPr>
              <w:spacing w:after="0"/>
              <w:rPr>
                <w:sz w:val="13"/>
                <w:szCs w:val="13"/>
                <w:color w:val="auto"/>
              </w:rPr>
            </w:pPr>
          </w:p>
        </w:tc>
        <w:tc>
          <w:tcPr>
            <w:tcW w:w="1840" w:type="dxa"/>
            <w:vAlign w:val="bottom"/>
            <w:gridSpan w:val="5"/>
            <w:vMerge w:val="restart"/>
          </w:tcPr>
          <w:p>
            <w:pPr>
              <w:jc w:val="right"/>
              <w:ind w:right="26"/>
              <w:spacing w:after="0"/>
              <w:rPr>
                <w:sz w:val="20"/>
                <w:szCs w:val="20"/>
                <w:color w:val="auto"/>
              </w:rPr>
            </w:pPr>
            <w:r>
              <w:rPr>
                <w:rFonts w:ascii="Arial" w:cs="Arial" w:eastAsia="Arial" w:hAnsi="Arial"/>
                <w:sz w:val="16"/>
                <w:szCs w:val="16"/>
                <w:b w:val="1"/>
                <w:bCs w:val="1"/>
                <w:color w:val="auto"/>
                <w:w w:val="95"/>
              </w:rPr>
              <w:t>Commodity Derivatives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center"/>
              <w:ind w:right="93"/>
              <w:spacing w:after="0" w:line="156" w:lineRule="exact"/>
              <w:rPr>
                <w:sz w:val="20"/>
                <w:szCs w:val="20"/>
                <w:color w:val="auto"/>
              </w:rPr>
            </w:pPr>
            <w:r>
              <w:rPr>
                <w:rFonts w:ascii="Arial" w:cs="Arial" w:eastAsia="Arial" w:hAnsi="Arial"/>
                <w:sz w:val="16"/>
                <w:szCs w:val="16"/>
                <w:b w:val="1"/>
                <w:bCs w:val="1"/>
                <w:color w:val="auto"/>
                <w:w w:val="87"/>
              </w:rPr>
              <w:t>on the</w:t>
            </w: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1840" w:type="dxa"/>
            <w:vAlign w:val="bottom"/>
            <w:tcBorders>
              <w:bottom w:val="single" w:sz="8" w:color="auto"/>
            </w:tcBorders>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spacing w:after="0" w:line="116" w:lineRule="exact"/>
              <w:rPr>
                <w:sz w:val="20"/>
                <w:szCs w:val="20"/>
                <w:color w:val="auto"/>
              </w:rPr>
            </w:pPr>
            <w:r>
              <w:rPr>
                <w:rFonts w:ascii="Arial" w:cs="Arial" w:eastAsia="Arial" w:hAnsi="Arial"/>
                <w:sz w:val="13"/>
                <w:szCs w:val="13"/>
                <w:b w:val="1"/>
                <w:bCs w:val="1"/>
                <w:color w:val="auto"/>
              </w:rPr>
              <w:t>Collateral</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center"/>
              <w:ind w:right="220"/>
              <w:spacing w:after="0" w:line="116" w:lineRule="exact"/>
              <w:rPr>
                <w:sz w:val="20"/>
                <w:szCs w:val="20"/>
                <w:color w:val="auto"/>
              </w:rPr>
            </w:pPr>
            <w:r>
              <w:rPr>
                <w:rFonts w:ascii="Arial" w:cs="Arial" w:eastAsia="Arial" w:hAnsi="Arial"/>
                <w:sz w:val="13"/>
                <w:szCs w:val="13"/>
                <w:b w:val="1"/>
                <w:bCs w:val="1"/>
                <w:color w:val="auto"/>
              </w:rPr>
              <w:t>Balance</w:t>
            </w:r>
          </w:p>
        </w:tc>
        <w:tc>
          <w:tcPr>
            <w:tcW w:w="60" w:type="dxa"/>
            <w:vAlign w:val="bottom"/>
          </w:tcPr>
          <w:p>
            <w:pPr>
              <w:spacing w:after="0"/>
              <w:rPr>
                <w:sz w:val="10"/>
                <w:szCs w:val="10"/>
                <w:color w:val="auto"/>
              </w:rPr>
            </w:pPr>
          </w:p>
        </w:tc>
        <w:tc>
          <w:tcPr>
            <w:tcW w:w="1840" w:type="dxa"/>
            <w:vAlign w:val="bottom"/>
            <w:tcBorders>
              <w:bottom w:val="single" w:sz="8" w:color="auto"/>
            </w:tcBorders>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spacing w:after="0" w:line="116" w:lineRule="exact"/>
              <w:rPr>
                <w:sz w:val="20"/>
                <w:szCs w:val="20"/>
                <w:color w:val="auto"/>
              </w:rPr>
            </w:pPr>
            <w:r>
              <w:rPr>
                <w:rFonts w:ascii="Arial" w:cs="Arial" w:eastAsia="Arial" w:hAnsi="Arial"/>
                <w:sz w:val="13"/>
                <w:szCs w:val="13"/>
                <w:b w:val="1"/>
                <w:bCs w:val="1"/>
                <w:color w:val="auto"/>
              </w:rPr>
              <w:t>Collateral</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center"/>
              <w:ind w:right="73"/>
              <w:spacing w:after="0" w:line="116" w:lineRule="exact"/>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229"/>
        </w:trPr>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26"/>
              <w:spacing w:after="0"/>
              <w:rPr>
                <w:sz w:val="20"/>
                <w:szCs w:val="20"/>
                <w:color w:val="auto"/>
              </w:rPr>
            </w:pPr>
            <w:r>
              <w:rPr>
                <w:rFonts w:ascii="Arial" w:cs="Arial" w:eastAsia="Arial" w:hAnsi="Arial"/>
                <w:sz w:val="16"/>
                <w:szCs w:val="16"/>
                <w:b w:val="1"/>
                <w:bCs w:val="1"/>
                <w:color w:val="auto"/>
                <w:w w:val="83"/>
              </w:rPr>
              <w:t>Assets</w:t>
            </w:r>
          </w:p>
        </w:tc>
        <w:tc>
          <w:tcPr>
            <w:tcW w:w="60" w:type="dxa"/>
            <w:vAlign w:val="bottom"/>
          </w:tcPr>
          <w:p>
            <w:pPr>
              <w:spacing w:after="0"/>
              <w:rPr>
                <w:sz w:val="19"/>
                <w:szCs w:val="19"/>
                <w:color w:val="auto"/>
              </w:rPr>
            </w:pPr>
          </w:p>
        </w:tc>
        <w:tc>
          <w:tcPr>
            <w:tcW w:w="900" w:type="dxa"/>
            <w:vAlign w:val="bottom"/>
            <w:gridSpan w:val="2"/>
          </w:tcPr>
          <w:p>
            <w:pPr>
              <w:jc w:val="right"/>
              <w:ind w:right="26"/>
              <w:spacing w:after="0"/>
              <w:rPr>
                <w:sz w:val="20"/>
                <w:szCs w:val="20"/>
                <w:color w:val="auto"/>
              </w:rPr>
            </w:pPr>
            <w:r>
              <w:rPr>
                <w:rFonts w:ascii="Arial" w:cs="Arial" w:eastAsia="Arial" w:hAnsi="Arial"/>
                <w:sz w:val="16"/>
                <w:szCs w:val="16"/>
                <w:b w:val="1"/>
                <w:bCs w:val="1"/>
                <w:color w:val="auto"/>
              </w:rPr>
              <w:t>Liabilities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center"/>
              <w:ind w:right="68"/>
              <w:spacing w:after="0"/>
              <w:rPr>
                <w:sz w:val="20"/>
                <w:szCs w:val="20"/>
                <w:color w:val="auto"/>
              </w:rPr>
            </w:pPr>
            <w:r>
              <w:rPr>
                <w:rFonts w:ascii="Arial" w:cs="Arial" w:eastAsia="Arial" w:hAnsi="Arial"/>
                <w:sz w:val="16"/>
                <w:szCs w:val="16"/>
                <w:b w:val="1"/>
                <w:bCs w:val="1"/>
                <w:color w:val="auto"/>
                <w:w w:val="90"/>
              </w:rPr>
              <w:t>Netting</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2"/>
              </w:rPr>
              <w:t>Sheet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26"/>
              <w:spacing w:after="0"/>
              <w:rPr>
                <w:sz w:val="20"/>
                <w:szCs w:val="20"/>
                <w:color w:val="auto"/>
              </w:rPr>
            </w:pPr>
            <w:r>
              <w:rPr>
                <w:rFonts w:ascii="Arial" w:cs="Arial" w:eastAsia="Arial" w:hAnsi="Arial"/>
                <w:sz w:val="16"/>
                <w:szCs w:val="16"/>
                <w:b w:val="1"/>
                <w:bCs w:val="1"/>
                <w:color w:val="auto"/>
                <w:w w:val="83"/>
              </w:rPr>
              <w:t>Assets</w:t>
            </w:r>
          </w:p>
        </w:tc>
        <w:tc>
          <w:tcPr>
            <w:tcW w:w="60" w:type="dxa"/>
            <w:vAlign w:val="bottom"/>
          </w:tcPr>
          <w:p>
            <w:pPr>
              <w:spacing w:after="0"/>
              <w:rPr>
                <w:sz w:val="19"/>
                <w:szCs w:val="19"/>
                <w:color w:val="auto"/>
              </w:rPr>
            </w:pPr>
          </w:p>
        </w:tc>
        <w:tc>
          <w:tcPr>
            <w:tcW w:w="900" w:type="dxa"/>
            <w:vAlign w:val="bottom"/>
            <w:gridSpan w:val="2"/>
          </w:tcPr>
          <w:p>
            <w:pPr>
              <w:jc w:val="right"/>
              <w:ind w:right="26"/>
              <w:spacing w:after="0"/>
              <w:rPr>
                <w:sz w:val="20"/>
                <w:szCs w:val="20"/>
                <w:color w:val="auto"/>
              </w:rPr>
            </w:pPr>
            <w:r>
              <w:rPr>
                <w:rFonts w:ascii="Arial" w:cs="Arial" w:eastAsia="Arial" w:hAnsi="Arial"/>
                <w:sz w:val="16"/>
                <w:szCs w:val="16"/>
                <w:b w:val="1"/>
                <w:bCs w:val="1"/>
                <w:color w:val="auto"/>
              </w:rPr>
              <w:t>Liabilities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center"/>
              <w:ind w:right="68"/>
              <w:spacing w:after="0"/>
              <w:rPr>
                <w:sz w:val="20"/>
                <w:szCs w:val="20"/>
                <w:color w:val="auto"/>
              </w:rPr>
            </w:pPr>
            <w:r>
              <w:rPr>
                <w:rFonts w:ascii="Arial" w:cs="Arial" w:eastAsia="Arial" w:hAnsi="Arial"/>
                <w:sz w:val="16"/>
                <w:szCs w:val="16"/>
                <w:b w:val="1"/>
                <w:bCs w:val="1"/>
                <w:color w:val="auto"/>
                <w:w w:val="90"/>
              </w:rPr>
              <w:t>Netting</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73"/>
              <w:spacing w:after="0"/>
              <w:rPr>
                <w:sz w:val="20"/>
                <w:szCs w:val="20"/>
                <w:color w:val="auto"/>
              </w:rPr>
            </w:pPr>
            <w:r>
              <w:rPr>
                <w:rFonts w:ascii="Arial" w:cs="Arial" w:eastAsia="Arial" w:hAnsi="Arial"/>
                <w:sz w:val="16"/>
                <w:szCs w:val="16"/>
                <w:b w:val="1"/>
                <w:bCs w:val="1"/>
                <w:color w:val="auto"/>
                <w:w w:val="82"/>
              </w:rPr>
              <w:t>Sheet</w:t>
            </w:r>
          </w:p>
        </w:tc>
        <w:tc>
          <w:tcPr>
            <w:tcW w:w="0" w:type="dxa"/>
            <w:vAlign w:val="bottom"/>
          </w:tcPr>
          <w:p>
            <w:pPr>
              <w:spacing w:after="0"/>
              <w:rPr>
                <w:sz w:val="1"/>
                <w:szCs w:val="1"/>
                <w:color w:val="auto"/>
              </w:rPr>
            </w:pPr>
          </w:p>
        </w:tc>
      </w:tr>
      <w:tr>
        <w:trPr>
          <w:trHeight w:val="255"/>
        </w:trPr>
        <w:tc>
          <w:tcPr>
            <w:tcW w:w="2340" w:type="dxa"/>
            <w:vAlign w:val="bottom"/>
          </w:tcPr>
          <w:p>
            <w:pPr>
              <w:spacing w:after="0"/>
              <w:rPr>
                <w:sz w:val="20"/>
                <w:szCs w:val="20"/>
                <w:color w:val="auto"/>
              </w:rPr>
            </w:pPr>
            <w:r>
              <w:rPr>
                <w:rFonts w:ascii="Arial" w:cs="Arial" w:eastAsia="Arial" w:hAnsi="Arial"/>
                <w:sz w:val="19"/>
                <w:szCs w:val="19"/>
                <w:b w:val="1"/>
                <w:bCs w:val="1"/>
                <w:color w:val="auto"/>
              </w:rPr>
              <w:t>Derivative Assets</w:t>
            </w:r>
          </w:p>
        </w:tc>
        <w:tc>
          <w:tcPr>
            <w:tcW w:w="2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2340" w:type="dxa"/>
            <w:vAlign w:val="bottom"/>
          </w:tcPr>
          <w:p>
            <w:pPr>
              <w:spacing w:after="0"/>
              <w:rPr>
                <w:sz w:val="20"/>
                <w:szCs w:val="20"/>
                <w:color w:val="auto"/>
              </w:rPr>
            </w:pPr>
            <w:r>
              <w:rPr>
                <w:rFonts w:ascii="Arial" w:cs="Arial" w:eastAsia="Arial" w:hAnsi="Arial"/>
                <w:sz w:val="19"/>
                <w:szCs w:val="19"/>
                <w:color w:val="auto"/>
              </w:rPr>
              <w:t>Other current assets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153</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(79)</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(13)</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61</w:t>
            </w:r>
          </w:p>
        </w:tc>
        <w:tc>
          <w:tcPr>
            <w:tcW w:w="60" w:type="dxa"/>
            <w:vAlign w:val="bottom"/>
            <w:tcBorders>
              <w:right w:val="single" w:sz="8" w:color="auto"/>
            </w:tcBorders>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300</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(71)</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(168)</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61</w:t>
            </w:r>
          </w:p>
        </w:tc>
        <w:tc>
          <w:tcPr>
            <w:tcW w:w="0" w:type="dxa"/>
            <w:vAlign w:val="bottom"/>
          </w:tcPr>
          <w:p>
            <w:pPr>
              <w:spacing w:after="0"/>
              <w:rPr>
                <w:sz w:val="1"/>
                <w:szCs w:val="1"/>
                <w:color w:val="auto"/>
              </w:rPr>
            </w:pPr>
          </w:p>
        </w:tc>
      </w:tr>
      <w:tr>
        <w:trPr>
          <w:trHeight w:val="278"/>
        </w:trPr>
        <w:tc>
          <w:tcPr>
            <w:tcW w:w="2340" w:type="dxa"/>
            <w:vAlign w:val="bottom"/>
          </w:tcPr>
          <w:p>
            <w:pPr>
              <w:spacing w:after="0"/>
              <w:rPr>
                <w:sz w:val="20"/>
                <w:szCs w:val="20"/>
                <w:color w:val="auto"/>
              </w:rPr>
            </w:pPr>
            <w:r>
              <w:rPr>
                <w:rFonts w:ascii="Arial" w:cs="Arial" w:eastAsia="Arial" w:hAnsi="Arial"/>
                <w:sz w:val="19"/>
                <w:szCs w:val="19"/>
                <w:color w:val="auto"/>
              </w:rPr>
              <w:t>Other long-term assets, net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w:t>
            </w: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76"/>
        </w:trPr>
        <w:tc>
          <w:tcPr>
            <w:tcW w:w="2340" w:type="dxa"/>
            <w:vAlign w:val="bottom"/>
          </w:tcPr>
          <w:p>
            <w:pPr>
              <w:spacing w:after="0"/>
              <w:rPr>
                <w:sz w:val="20"/>
                <w:szCs w:val="20"/>
                <w:color w:val="auto"/>
              </w:rPr>
            </w:pPr>
            <w:r>
              <w:rPr>
                <w:rFonts w:ascii="Arial" w:cs="Arial" w:eastAsia="Arial" w:hAnsi="Arial"/>
                <w:sz w:val="19"/>
                <w:szCs w:val="19"/>
                <w:b w:val="1"/>
                <w:bCs w:val="1"/>
                <w:color w:val="auto"/>
              </w:rPr>
              <w:t>Derivative Liabilities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340" w:type="dxa"/>
            <w:vAlign w:val="bottom"/>
          </w:tcPr>
          <w:p>
            <w:pPr>
              <w:spacing w:after="0"/>
              <w:rPr>
                <w:sz w:val="20"/>
                <w:szCs w:val="20"/>
                <w:color w:val="auto"/>
              </w:rPr>
            </w:pPr>
            <w:r>
              <w:rPr>
                <w:rFonts w:ascii="Arial" w:cs="Arial" w:eastAsia="Arial" w:hAnsi="Arial"/>
                <w:sz w:val="19"/>
                <w:szCs w:val="19"/>
                <w:color w:val="auto"/>
              </w:rPr>
              <w:t>Other current liabilities</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(64)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(63)</w:t>
            </w: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(11)</w:t>
            </w:r>
          </w:p>
        </w:tc>
        <w:tc>
          <w:tcPr>
            <w:tcW w:w="0" w:type="dxa"/>
            <w:vAlign w:val="bottom"/>
          </w:tcPr>
          <w:p>
            <w:pPr>
              <w:spacing w:after="0"/>
              <w:rPr>
                <w:sz w:val="1"/>
                <w:szCs w:val="1"/>
                <w:color w:val="auto"/>
              </w:rPr>
            </w:pPr>
          </w:p>
        </w:tc>
      </w:tr>
      <w:tr>
        <w:trPr>
          <w:trHeight w:val="220"/>
        </w:trPr>
        <w:tc>
          <w:tcPr>
            <w:tcW w:w="2340" w:type="dxa"/>
            <w:vAlign w:val="bottom"/>
          </w:tcPr>
          <w:p>
            <w:pPr>
              <w:spacing w:after="0"/>
              <w:rPr>
                <w:sz w:val="20"/>
                <w:szCs w:val="20"/>
                <w:color w:val="auto"/>
              </w:rPr>
            </w:pPr>
            <w:r>
              <w:rPr>
                <w:rFonts w:ascii="Arial" w:cs="Arial" w:eastAsia="Arial" w:hAnsi="Arial"/>
                <w:sz w:val="19"/>
                <w:szCs w:val="19"/>
                <w:color w:val="auto"/>
              </w:rPr>
              <w:t>Other long-term liabilities</w:t>
            </w:r>
          </w:p>
        </w:tc>
        <w:tc>
          <w:tcPr>
            <w:tcW w:w="20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19"/>
                <w:szCs w:val="19"/>
                <w:color w:val="auto"/>
              </w:rPr>
              <w:t>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19"/>
                <w:szCs w:val="19"/>
                <w:color w:val="auto"/>
              </w:rPr>
              <w:t>(15)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(14)</w:t>
            </w:r>
          </w:p>
        </w:tc>
        <w:tc>
          <w:tcPr>
            <w:tcW w:w="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r>
              <w:rPr>
                <w:rFonts w:ascii="Arial" w:cs="Arial" w:eastAsia="Arial" w:hAnsi="Arial"/>
                <w:sz w:val="19"/>
                <w:szCs w:val="19"/>
                <w:color w:val="auto"/>
              </w:rPr>
              <w:t>and deferred credits</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340" w:type="dxa"/>
            <w:vAlign w:val="bottom"/>
          </w:tcPr>
          <w:p>
            <w:pPr>
              <w:ind w:left="100"/>
              <w:spacing w:after="0"/>
              <w:rPr>
                <w:sz w:val="20"/>
                <w:szCs w:val="20"/>
                <w:color w:val="auto"/>
              </w:rPr>
            </w:pPr>
            <w:r>
              <w:rPr>
                <w:rFonts w:ascii="Arial" w:cs="Arial" w:eastAsia="Arial" w:hAnsi="Arial"/>
                <w:sz w:val="19"/>
                <w:szCs w:val="19"/>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158</w:t>
            </w:r>
          </w:p>
        </w:tc>
        <w:tc>
          <w:tcPr>
            <w:tcW w:w="6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(158)</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w:t>
            </w:r>
          </w:p>
        </w:tc>
        <w:tc>
          <w:tcPr>
            <w:tcW w:w="4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w:t>
            </w: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311</w:t>
            </w:r>
          </w:p>
        </w:tc>
        <w:tc>
          <w:tcPr>
            <w:tcW w:w="6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(89)</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(168)</w:t>
            </w:r>
          </w:p>
        </w:tc>
        <w:tc>
          <w:tcPr>
            <w:tcW w:w="4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3936365</wp:posOffset>
                </wp:positionH>
                <wp:positionV relativeFrom="paragraph">
                  <wp:posOffset>-1364615</wp:posOffset>
                </wp:positionV>
                <wp:extent cx="0" cy="134620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46200"/>
                        </a:xfrm>
                        <a:prstGeom prst="line">
                          <a:avLst/>
                        </a:prstGeom>
                        <a:solidFill>
                          <a:srgbClr val="FFFFFF"/>
                        </a:solidFill>
                        <a:ln w="0">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95pt,-107.4499pt" to="309.95pt,-1.4499pt" o:allowincell="f" strokecolor="#000000" strokeweight="0pt"/>
            </w:pict>
          </mc:Fallback>
        </mc:AlternateContent>
        <w:drawing>
          <wp:anchor simplePos="0" relativeHeight="251657728" behindDoc="1" locked="0" layoutInCell="0" allowOverlap="1">
            <wp:simplePos x="0" y="0"/>
            <wp:positionH relativeFrom="column">
              <wp:posOffset>-12700</wp:posOffset>
            </wp:positionH>
            <wp:positionV relativeFrom="paragraph">
              <wp:posOffset>-1377315</wp:posOffset>
            </wp:positionV>
            <wp:extent cx="6376670" cy="13843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91">
                      <a:extLst>
                        <a:ext uri="{28A0092B-C50C-407E-A947-70E740481C1C}"/>
                      </a:extLst>
                    </a:blip>
                    <a:srcRect/>
                    <a:stretch>
                      <a:fillRect/>
                    </a:stretch>
                  </pic:blipFill>
                  <pic:spPr bwMode="auto">
                    <a:xfrm>
                      <a:off x="0" y="0"/>
                      <a:ext cx="6376670" cy="138430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Rate Risk Hedging</w:t>
      </w:r>
    </w:p>
    <w:p>
      <w:pPr>
        <w:spacing w:after="0" w:line="257" w:lineRule="exact"/>
        <w:rPr>
          <w:sz w:val="20"/>
          <w:szCs w:val="20"/>
          <w:color w:val="auto"/>
        </w:rPr>
      </w:pPr>
    </w:p>
    <w:p>
      <w:pPr>
        <w:ind w:right="180" w:firstLine="702"/>
        <w:spacing w:after="0" w:line="311" w:lineRule="auto"/>
        <w:rPr>
          <w:sz w:val="20"/>
          <w:szCs w:val="20"/>
          <w:color w:val="auto"/>
        </w:rPr>
      </w:pPr>
      <w:r>
        <w:rPr>
          <w:rFonts w:ascii="Arial" w:cs="Arial" w:eastAsia="Arial" w:hAnsi="Arial"/>
          <w:sz w:val="17"/>
          <w:szCs w:val="17"/>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57" w:lineRule="exact"/>
        <w:rPr>
          <w:sz w:val="20"/>
          <w:szCs w:val="20"/>
          <w:color w:val="auto"/>
        </w:rPr>
      </w:pPr>
    </w:p>
    <w:p>
      <w:pPr>
        <w:ind w:right="680" w:firstLine="702"/>
        <w:spacing w:after="0" w:line="295" w:lineRule="auto"/>
        <w:rPr>
          <w:sz w:val="20"/>
          <w:szCs w:val="20"/>
          <w:color w:val="auto"/>
        </w:rPr>
      </w:pPr>
      <w:r>
        <w:rPr>
          <w:rFonts w:ascii="Arial" w:cs="Arial" w:eastAsia="Arial" w:hAnsi="Arial"/>
          <w:sz w:val="19"/>
          <w:szCs w:val="19"/>
          <w:color w:val="auto"/>
        </w:rPr>
        <w:t>The following table summarizes the terms of our outstanding interest rate derivatives as of December 31, 2023 (notional amounts in millions):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4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Hedged Transaction</w:t>
            </w:r>
          </w:p>
        </w:tc>
        <w:tc>
          <w:tcPr>
            <w:tcW w:w="8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Arial" w:cs="Arial" w:eastAsia="Arial" w:hAnsi="Arial"/>
                <w:sz w:val="16"/>
                <w:szCs w:val="16"/>
                <w:b w:val="1"/>
                <w:bCs w:val="1"/>
                <w:color w:val="auto"/>
                <w:w w:val="87"/>
              </w:rPr>
              <w:t>Number and Types of</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32"/>
              <w:spacing w:after="0"/>
              <w:rPr>
                <w:sz w:val="20"/>
                <w:szCs w:val="20"/>
                <w:color w:val="auto"/>
              </w:rPr>
            </w:pPr>
            <w:r>
              <w:rPr>
                <w:rFonts w:ascii="Arial" w:cs="Arial" w:eastAsia="Arial" w:hAnsi="Arial"/>
                <w:sz w:val="16"/>
                <w:szCs w:val="16"/>
                <w:b w:val="1"/>
                <w:bCs w:val="1"/>
                <w:color w:val="auto"/>
                <w:w w:val="90"/>
              </w:rPr>
              <w:t>Notional</w:t>
            </w:r>
          </w:p>
        </w:tc>
        <w:tc>
          <w:tcPr>
            <w:tcW w:w="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7"/>
              </w:rPr>
              <w:t>Expected</w:t>
            </w:r>
          </w:p>
        </w:tc>
        <w:tc>
          <w:tcPr>
            <w:tcW w:w="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w w:val="93"/>
              </w:rPr>
              <w:t>Average Rate</w:t>
            </w: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6"/>
              </w:rPr>
              <w:t>Accounting</w:t>
            </w:r>
          </w:p>
        </w:tc>
        <w:tc>
          <w:tcPr>
            <w:tcW w:w="0" w:type="dxa"/>
            <w:vAlign w:val="bottom"/>
          </w:tcPr>
          <w:p>
            <w:pPr>
              <w:spacing w:after="0"/>
              <w:rPr>
                <w:sz w:val="1"/>
                <w:szCs w:val="1"/>
                <w:color w:val="auto"/>
              </w:rPr>
            </w:pPr>
          </w:p>
        </w:tc>
      </w:tr>
      <w:tr>
        <w:trPr>
          <w:trHeight w:val="209"/>
        </w:trPr>
        <w:tc>
          <w:tcPr>
            <w:tcW w:w="24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Derivatives Employed</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5"/>
              </w:rPr>
              <w:t>Amount</w:t>
            </w:r>
          </w:p>
        </w:tc>
        <w:tc>
          <w:tcPr>
            <w:tcW w:w="8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Termination Date</w:t>
            </w:r>
          </w:p>
        </w:tc>
        <w:tc>
          <w:tcPr>
            <w:tcW w:w="60" w:type="dxa"/>
            <w:vAlign w:val="bottom"/>
          </w:tcPr>
          <w:p>
            <w:pPr>
              <w:spacing w:after="0"/>
              <w:rPr>
                <w:sz w:val="18"/>
                <w:szCs w:val="18"/>
                <w:color w:val="auto"/>
              </w:rPr>
            </w:pPr>
          </w:p>
        </w:tc>
        <w:tc>
          <w:tcPr>
            <w:tcW w:w="10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Locked</w:t>
            </w:r>
          </w:p>
        </w:tc>
        <w:tc>
          <w:tcPr>
            <w:tcW w:w="8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Treatment</w:t>
            </w:r>
          </w:p>
        </w:tc>
        <w:tc>
          <w:tcPr>
            <w:tcW w:w="0" w:type="dxa"/>
            <w:vAlign w:val="bottom"/>
          </w:tcPr>
          <w:p>
            <w:pPr>
              <w:spacing w:after="0"/>
              <w:rPr>
                <w:sz w:val="1"/>
                <w:szCs w:val="1"/>
                <w:color w:val="auto"/>
              </w:rPr>
            </w:pPr>
          </w:p>
        </w:tc>
      </w:tr>
      <w:tr>
        <w:trPr>
          <w:trHeight w:val="206"/>
        </w:trPr>
        <w:tc>
          <w:tcPr>
            <w:tcW w:w="2460" w:type="dxa"/>
            <w:vAlign w:val="bottom"/>
          </w:tcPr>
          <w:p>
            <w:pPr>
              <w:ind w:left="40"/>
              <w:spacing w:after="0" w:line="206" w:lineRule="exact"/>
              <w:rPr>
                <w:sz w:val="20"/>
                <w:szCs w:val="20"/>
                <w:color w:val="auto"/>
              </w:rPr>
            </w:pPr>
            <w:r>
              <w:rPr>
                <w:rFonts w:ascii="Arial" w:cs="Arial" w:eastAsia="Arial" w:hAnsi="Arial"/>
                <w:sz w:val="19"/>
                <w:szCs w:val="19"/>
                <w:color w:val="auto"/>
                <w:w w:val="96"/>
              </w:rPr>
              <w:t>Anticipated interest payments</w:t>
            </w:r>
          </w:p>
        </w:tc>
        <w:tc>
          <w:tcPr>
            <w:tcW w:w="80" w:type="dxa"/>
            <w:vAlign w:val="bottom"/>
          </w:tcPr>
          <w:p>
            <w:pPr>
              <w:spacing w:after="0"/>
              <w:rPr>
                <w:sz w:val="17"/>
                <w:szCs w:val="17"/>
                <w:color w:val="auto"/>
              </w:rPr>
            </w:pPr>
          </w:p>
        </w:tc>
        <w:tc>
          <w:tcPr>
            <w:tcW w:w="2360" w:type="dxa"/>
            <w:vAlign w:val="bottom"/>
          </w:tcPr>
          <w:p>
            <w:pPr>
              <w:jc w:val="center"/>
              <w:spacing w:after="0" w:line="206" w:lineRule="exact"/>
              <w:rPr>
                <w:sz w:val="20"/>
                <w:szCs w:val="20"/>
                <w:color w:val="auto"/>
              </w:rPr>
            </w:pPr>
            <w:r>
              <w:rPr>
                <w:rFonts w:ascii="Arial" w:cs="Arial" w:eastAsia="Arial" w:hAnsi="Arial"/>
                <w:sz w:val="19"/>
                <w:szCs w:val="19"/>
                <w:color w:val="auto"/>
                <w:w w:val="93"/>
              </w:rPr>
              <w:t>8 forward starting swaps</w:t>
            </w:r>
          </w:p>
        </w:tc>
        <w:tc>
          <w:tcPr>
            <w:tcW w:w="240" w:type="dxa"/>
            <w:vAlign w:val="bottom"/>
            <w:gridSpan w:val="2"/>
          </w:tcPr>
          <w:p>
            <w:pPr>
              <w:jc w:val="right"/>
              <w:ind w:right="20"/>
              <w:spacing w:after="0" w:line="206" w:lineRule="exact"/>
              <w:rPr>
                <w:sz w:val="20"/>
                <w:szCs w:val="20"/>
                <w:color w:val="auto"/>
              </w:rPr>
            </w:pPr>
            <w:r>
              <w:rPr>
                <w:rFonts w:ascii="Arial" w:cs="Arial" w:eastAsia="Arial" w:hAnsi="Arial"/>
                <w:sz w:val="19"/>
                <w:szCs w:val="19"/>
                <w:color w:val="auto"/>
              </w:rPr>
              <w:t>$</w:t>
            </w:r>
          </w:p>
        </w:tc>
        <w:tc>
          <w:tcPr>
            <w:tcW w:w="820" w:type="dxa"/>
            <w:vAlign w:val="bottom"/>
          </w:tcPr>
          <w:p>
            <w:pPr>
              <w:jc w:val="right"/>
              <w:spacing w:after="0" w:line="206" w:lineRule="exact"/>
              <w:rPr>
                <w:sz w:val="20"/>
                <w:szCs w:val="20"/>
                <w:color w:val="auto"/>
              </w:rPr>
            </w:pPr>
            <w:r>
              <w:rPr>
                <w:rFonts w:ascii="Arial" w:cs="Arial" w:eastAsia="Arial" w:hAnsi="Arial"/>
                <w:sz w:val="19"/>
                <w:szCs w:val="19"/>
                <w:color w:val="auto"/>
              </w:rPr>
              <w:t>200</w:t>
            </w:r>
          </w:p>
        </w:tc>
        <w:tc>
          <w:tcPr>
            <w:tcW w:w="1380" w:type="dxa"/>
            <w:vAlign w:val="bottom"/>
            <w:gridSpan w:val="2"/>
          </w:tcPr>
          <w:p>
            <w:pPr>
              <w:jc w:val="center"/>
              <w:spacing w:after="0" w:line="206" w:lineRule="exact"/>
              <w:rPr>
                <w:sz w:val="20"/>
                <w:szCs w:val="20"/>
                <w:color w:val="auto"/>
              </w:rPr>
            </w:pPr>
            <w:r>
              <w:rPr>
                <w:rFonts w:ascii="Arial" w:cs="Arial" w:eastAsia="Arial" w:hAnsi="Arial"/>
                <w:sz w:val="19"/>
                <w:szCs w:val="19"/>
                <w:color w:val="auto"/>
                <w:w w:val="94"/>
              </w:rPr>
              <w:t>6/15/2026</w:t>
            </w:r>
          </w:p>
        </w:tc>
        <w:tc>
          <w:tcPr>
            <w:tcW w:w="1100" w:type="dxa"/>
            <w:vAlign w:val="bottom"/>
            <w:gridSpan w:val="2"/>
          </w:tcPr>
          <w:p>
            <w:pPr>
              <w:jc w:val="right"/>
              <w:spacing w:after="0" w:line="206" w:lineRule="exact"/>
              <w:rPr>
                <w:sz w:val="20"/>
                <w:szCs w:val="20"/>
                <w:color w:val="auto"/>
              </w:rPr>
            </w:pPr>
            <w:r>
              <w:rPr>
                <w:rFonts w:ascii="Arial" w:cs="Arial" w:eastAsia="Arial" w:hAnsi="Arial"/>
                <w:sz w:val="19"/>
                <w:szCs w:val="19"/>
                <w:color w:val="auto"/>
              </w:rPr>
              <w:t>3.09 %</w:t>
            </w:r>
          </w:p>
        </w:tc>
        <w:tc>
          <w:tcPr>
            <w:tcW w:w="80" w:type="dxa"/>
            <w:vAlign w:val="bottom"/>
          </w:tcPr>
          <w:p>
            <w:pPr>
              <w:spacing w:after="0"/>
              <w:rPr>
                <w:sz w:val="17"/>
                <w:szCs w:val="17"/>
                <w:color w:val="auto"/>
              </w:rPr>
            </w:pPr>
          </w:p>
        </w:tc>
        <w:tc>
          <w:tcPr>
            <w:tcW w:w="1440" w:type="dxa"/>
            <w:vAlign w:val="bottom"/>
          </w:tcPr>
          <w:p>
            <w:pPr>
              <w:jc w:val="center"/>
              <w:spacing w:after="0" w:line="206" w:lineRule="exact"/>
              <w:rPr>
                <w:sz w:val="20"/>
                <w:szCs w:val="20"/>
                <w:color w:val="auto"/>
              </w:rPr>
            </w:pPr>
            <w:r>
              <w:rPr>
                <w:rFonts w:ascii="Arial" w:cs="Arial" w:eastAsia="Arial" w:hAnsi="Arial"/>
                <w:sz w:val="19"/>
                <w:szCs w:val="19"/>
                <w:color w:val="auto"/>
                <w:w w:val="93"/>
              </w:rPr>
              <w:t>Cash flow hedge</w:t>
            </w:r>
          </w:p>
        </w:tc>
        <w:tc>
          <w:tcPr>
            <w:tcW w:w="0" w:type="dxa"/>
            <w:vAlign w:val="bottom"/>
          </w:tcPr>
          <w:p>
            <w:pPr>
              <w:spacing w:after="0"/>
              <w:rPr>
                <w:sz w:val="1"/>
                <w:szCs w:val="1"/>
                <w:color w:val="auto"/>
              </w:rPr>
            </w:pPr>
          </w:p>
        </w:tc>
      </w:tr>
      <w:tr>
        <w:trPr>
          <w:trHeight w:val="254"/>
        </w:trPr>
        <w:tc>
          <w:tcPr>
            <w:tcW w:w="2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60" w:type="dxa"/>
            <w:vAlign w:val="bottom"/>
          </w:tcPr>
          <w:p>
            <w:pPr>
              <w:jc w:val="center"/>
              <w:spacing w:after="0"/>
              <w:rPr>
                <w:sz w:val="20"/>
                <w:szCs w:val="20"/>
                <w:color w:val="auto"/>
              </w:rPr>
            </w:pPr>
            <w:r>
              <w:rPr>
                <w:rFonts w:ascii="Arial" w:cs="Arial" w:eastAsia="Arial" w:hAnsi="Arial"/>
                <w:sz w:val="19"/>
                <w:szCs w:val="19"/>
                <w:color w:val="auto"/>
                <w:w w:val="93"/>
              </w:rPr>
              <w:t>(30-year)</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40"/>
              <w:spacing w:after="0"/>
              <w:rPr>
                <w:sz w:val="20"/>
                <w:szCs w:val="20"/>
                <w:color w:val="auto"/>
              </w:rPr>
            </w:pPr>
            <w:r>
              <w:rPr>
                <w:rFonts w:ascii="Arial" w:cs="Arial" w:eastAsia="Arial" w:hAnsi="Arial"/>
                <w:sz w:val="19"/>
                <w:szCs w:val="19"/>
                <w:color w:val="auto"/>
                <w:w w:val="96"/>
              </w:rPr>
              <w:t>Anticipated interest payments</w:t>
            </w:r>
          </w:p>
        </w:tc>
        <w:tc>
          <w:tcPr>
            <w:tcW w:w="8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9"/>
                <w:szCs w:val="19"/>
                <w:color w:val="auto"/>
                <w:w w:val="93"/>
              </w:rPr>
              <w:t>4 forward starting swaps</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100</w:t>
            </w:r>
          </w:p>
        </w:tc>
        <w:tc>
          <w:tcPr>
            <w:tcW w:w="1380" w:type="dxa"/>
            <w:vAlign w:val="bottom"/>
            <w:gridSpan w:val="2"/>
          </w:tcPr>
          <w:p>
            <w:pPr>
              <w:jc w:val="center"/>
              <w:spacing w:after="0"/>
              <w:rPr>
                <w:sz w:val="20"/>
                <w:szCs w:val="20"/>
                <w:color w:val="auto"/>
              </w:rPr>
            </w:pPr>
            <w:r>
              <w:rPr>
                <w:rFonts w:ascii="Arial" w:cs="Arial" w:eastAsia="Arial" w:hAnsi="Arial"/>
                <w:sz w:val="19"/>
                <w:szCs w:val="19"/>
                <w:color w:val="auto"/>
                <w:w w:val="94"/>
              </w:rPr>
              <w:t>6/14/2024</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0.74 %</w:t>
            </w:r>
          </w:p>
        </w:tc>
        <w:tc>
          <w:tcPr>
            <w:tcW w:w="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9"/>
                <w:szCs w:val="19"/>
                <w:color w:val="auto"/>
                <w:w w:val="93"/>
              </w:rPr>
              <w:t>Cash flow hedge</w:t>
            </w:r>
          </w:p>
        </w:tc>
        <w:tc>
          <w:tcPr>
            <w:tcW w:w="0" w:type="dxa"/>
            <w:vAlign w:val="bottom"/>
          </w:tcPr>
          <w:p>
            <w:pPr>
              <w:spacing w:after="0"/>
              <w:rPr>
                <w:sz w:val="1"/>
                <w:szCs w:val="1"/>
                <w:color w:val="auto"/>
              </w:rPr>
            </w:pPr>
          </w:p>
        </w:tc>
      </w:tr>
      <w:tr>
        <w:trPr>
          <w:trHeight w:val="254"/>
        </w:trPr>
        <w:tc>
          <w:tcPr>
            <w:tcW w:w="2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60" w:type="dxa"/>
            <w:vAlign w:val="bottom"/>
          </w:tcPr>
          <w:p>
            <w:pPr>
              <w:jc w:val="center"/>
              <w:spacing w:after="0"/>
              <w:rPr>
                <w:sz w:val="20"/>
                <w:szCs w:val="20"/>
                <w:color w:val="auto"/>
              </w:rPr>
            </w:pPr>
            <w:r>
              <w:rPr>
                <w:rFonts w:ascii="Arial" w:cs="Arial" w:eastAsia="Arial" w:hAnsi="Arial"/>
                <w:sz w:val="19"/>
                <w:szCs w:val="19"/>
                <w:color w:val="auto"/>
                <w:w w:val="93"/>
              </w:rPr>
              <w:t>(30-year)</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-617220</wp:posOffset>
            </wp:positionV>
            <wp:extent cx="6358255" cy="6381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92">
                      <a:extLst>
                        <a:ext uri="{28A0092B-C50C-407E-A947-70E740481C1C}"/>
                      </a:extLst>
                    </a:blip>
                    <a:srcRect/>
                    <a:stretch>
                      <a:fillRect/>
                    </a:stretch>
                  </pic:blipFill>
                  <pic:spPr bwMode="auto">
                    <a:xfrm>
                      <a:off x="0" y="0"/>
                      <a:ext cx="6358255" cy="638175"/>
                    </a:xfrm>
                    <a:prstGeom prst="rect">
                      <a:avLst/>
                    </a:prstGeom>
                    <a:noFill/>
                  </pic:spPr>
                </pic:pic>
              </a:graphicData>
            </a:graphic>
          </wp:anchor>
        </w:drawing>
      </w:r>
    </w:p>
    <w:p>
      <w:pPr>
        <w:spacing w:after="0" w:line="263" w:lineRule="exact"/>
        <w:rPr>
          <w:sz w:val="20"/>
          <w:szCs w:val="20"/>
          <w:color w:val="auto"/>
        </w:rPr>
      </w:pPr>
    </w:p>
    <w:p>
      <w:pPr>
        <w:ind w:right="160" w:firstLine="702"/>
        <w:spacing w:after="0" w:line="297" w:lineRule="auto"/>
        <w:rPr>
          <w:sz w:val="20"/>
          <w:szCs w:val="20"/>
          <w:color w:val="auto"/>
        </w:rPr>
      </w:pPr>
      <w:r>
        <w:rPr>
          <w:rFonts w:ascii="Arial" w:cs="Arial" w:eastAsia="Arial" w:hAnsi="Arial"/>
          <w:sz w:val="17"/>
          <w:szCs w:val="17"/>
          <w:color w:val="auto"/>
        </w:rPr>
        <w:t>During the year ended December 31, 2023, we terminated $200 million of notional interest hedging instruments previously expected to terminate in June 2023 for proceeds of $80 million, of which $73 million was recorded in AOCI. As of December 31, 2023, there was a net loss of $81 million deferred in AOCI. The deferred net loss recorded in AOCI is expected to be reclassified to future earnings contemporaneously with interest expense accruals associated with underlying debt instruments. The early termination did not result in an impact to the relationship between the hedging instrument and hedged item. We estimate that substantially all of the remaining deferred loss will be reclassified to earnings through 2056 as the underlying hedged transactions impact earnings. A portion of these amounts is based on market prices as of December 31, 2023; thus, actual amounts to be reclassified will differ and could vary materially as a result of changes in market conditions.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following table summarizes the net unrealized gain/(loss) recognized in AOCI for derivatives (in millions):</w:t>
      </w:r>
    </w:p>
    <w:p>
      <w:pPr>
        <w:spacing w:after="0" w:line="337"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8"/>
              </w:rPr>
              <w:t>Year Ended December 31,</w:t>
            </w:r>
          </w:p>
        </w:tc>
        <w:tc>
          <w:tcPr>
            <w:tcW w:w="960" w:type="dxa"/>
            <w:vAlign w:val="bottom"/>
            <w:tcBorders>
              <w:bottom w:val="single" w:sz="8" w:color="auto"/>
            </w:tcBorders>
          </w:tcPr>
          <w:p>
            <w:pPr>
              <w:spacing w:after="0"/>
              <w:rPr>
                <w:sz w:val="18"/>
                <w:szCs w:val="18"/>
                <w:color w:val="auto"/>
              </w:rPr>
            </w:pPr>
          </w:p>
        </w:tc>
      </w:tr>
      <w:tr>
        <w:trPr>
          <w:trHeight w:val="229"/>
        </w:trPr>
        <w:tc>
          <w:tcPr>
            <w:tcW w:w="5980" w:type="dxa"/>
            <w:vAlign w:val="bottom"/>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269"/>
        </w:trPr>
        <w:tc>
          <w:tcPr>
            <w:tcW w:w="5980" w:type="dxa"/>
            <w:vAlign w:val="bottom"/>
          </w:tcPr>
          <w:p>
            <w:pPr>
              <w:spacing w:after="0"/>
              <w:rPr>
                <w:sz w:val="20"/>
                <w:szCs w:val="20"/>
                <w:color w:val="auto"/>
              </w:rPr>
            </w:pPr>
            <w:r>
              <w:rPr>
                <w:rFonts w:ascii="Arial" w:cs="Arial" w:eastAsia="Arial" w:hAnsi="Arial"/>
                <w:sz w:val="19"/>
                <w:szCs w:val="19"/>
                <w:color w:val="auto"/>
              </w:rPr>
              <w:t>Interest rate derivatives, net</w:t>
            </w:r>
          </w:p>
        </w:tc>
        <w:tc>
          <w:tcPr>
            <w:tcW w:w="880" w:type="dxa"/>
            <w:vAlign w:val="bottom"/>
          </w:tcPr>
          <w:p>
            <w:pPr>
              <w:jc w:val="right"/>
              <w:ind w:right="652"/>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rPr>
              <w:t>15</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94</w:t>
            </w:r>
          </w:p>
        </w:tc>
        <w:tc>
          <w:tcPr>
            <w:tcW w:w="40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-189230</wp:posOffset>
            </wp:positionV>
            <wp:extent cx="6367145" cy="2108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93">
                      <a:extLst>
                        <a:ext uri="{28A0092B-C50C-407E-A947-70E740481C1C}"/>
                      </a:extLst>
                    </a:blip>
                    <a:srcRect/>
                    <a:stretch>
                      <a:fillRect/>
                    </a:stretch>
                  </pic:blipFill>
                  <pic:spPr bwMode="auto">
                    <a:xfrm>
                      <a:off x="0" y="0"/>
                      <a:ext cx="6367145" cy="210820"/>
                    </a:xfrm>
                    <a:prstGeom prst="rect">
                      <a:avLst/>
                    </a:prstGeom>
                    <a:noFill/>
                  </pic:spPr>
                </pic:pic>
              </a:graphicData>
            </a:graphic>
          </wp:anchor>
        </w:drawing>
      </w:r>
    </w:p>
    <w:p>
      <w:pPr>
        <w:sectPr>
          <w:pgSz w:w="11880" w:h="15480" w:orient="portrait"/>
          <w:cols w:equalWidth="0" w:num="1">
            <w:col w:w="10000"/>
          </w:cols>
          <w:pgMar w:left="940" w:top="43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ectPr>
          <w:pgSz w:w="11880" w:h="15480" w:orient="portrait"/>
          <w:cols w:equalWidth="0" w:num="1">
            <w:col w:w="10000"/>
          </w:cols>
          <w:pgMar w:left="940" w:top="432" w:right="940" w:bottom="0" w:gutter="0" w:footer="0" w:header="0"/>
          <w:type w:val="continuous"/>
        </w:sectPr>
      </w:pPr>
    </w:p>
    <w:bookmarkStart w:id="145" w:name="page146"/>
    <w:bookmarkEnd w:id="145"/>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left="1" w:firstLine="702"/>
        <w:spacing w:after="0" w:line="269" w:lineRule="auto"/>
        <w:rPr>
          <w:sz w:val="20"/>
          <w:szCs w:val="20"/>
          <w:color w:val="auto"/>
        </w:rPr>
      </w:pPr>
      <w:r>
        <w:rPr>
          <w:rFonts w:ascii="Arial" w:cs="Arial" w:eastAsia="Arial" w:hAnsi="Arial"/>
          <w:sz w:val="19"/>
          <w:szCs w:val="19"/>
          <w:color w:val="auto"/>
        </w:rPr>
        <w:t>At December 31, 2023, the net fair value of our interest rate hedges, which were included in “Other current assets” and “Other long-term assets, net” on our Consolidated Balance Sheet, totaled $51 million and $4 million, respectively. At December 31, 2022, the net fair value of these hedges totaled $75 million and $45 million, which were included in “Other current assets” and “Other long-term assets, net”, respectively.</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Preferred Distribution Rate Reset Option</w:t>
      </w:r>
    </w:p>
    <w:p>
      <w:pPr>
        <w:spacing w:after="0" w:line="257" w:lineRule="exact"/>
        <w:rPr>
          <w:sz w:val="20"/>
          <w:szCs w:val="20"/>
          <w:color w:val="auto"/>
        </w:rPr>
      </w:pPr>
    </w:p>
    <w:p>
      <w:pPr>
        <w:ind w:left="701"/>
        <w:spacing w:after="0"/>
        <w:rPr>
          <w:sz w:val="20"/>
          <w:szCs w:val="20"/>
          <w:color w:val="auto"/>
        </w:rPr>
      </w:pPr>
      <w:r>
        <w:rPr>
          <w:rFonts w:ascii="Arial" w:cs="Arial" w:eastAsia="Arial" w:hAnsi="Arial"/>
          <w:sz w:val="18"/>
          <w:szCs w:val="18"/>
          <w:color w:val="auto"/>
        </w:rPr>
        <w:t>In January 2023, PAA received notice that the Series A preferred unitholders elected the Preferred Distribution Rate</w:t>
      </w:r>
    </w:p>
    <w:p>
      <w:pPr>
        <w:spacing w:after="0" w:line="47" w:lineRule="exact"/>
        <w:rPr>
          <w:sz w:val="20"/>
          <w:szCs w:val="20"/>
          <w:color w:val="auto"/>
        </w:rPr>
      </w:pPr>
    </w:p>
    <w:p>
      <w:pPr>
        <w:ind w:left="1"/>
        <w:spacing w:after="0"/>
        <w:rPr>
          <w:sz w:val="20"/>
          <w:szCs w:val="20"/>
          <w:color w:val="auto"/>
        </w:rPr>
      </w:pPr>
      <w:r>
        <w:rPr>
          <w:rFonts w:ascii="Arial" w:cs="Arial" w:eastAsia="Arial" w:hAnsi="Arial"/>
          <w:sz w:val="17"/>
          <w:szCs w:val="17"/>
          <w:color w:val="auto"/>
        </w:rPr>
        <w:t>Reset Option. Prior to this election, the Preferred Distribution Rate Reset Option was accounted for as an embedded derivative.</w:t>
      </w:r>
    </w:p>
    <w:p>
      <w:pPr>
        <w:spacing w:after="0" w:line="39" w:lineRule="exact"/>
        <w:rPr>
          <w:sz w:val="20"/>
          <w:szCs w:val="20"/>
          <w:color w:val="auto"/>
        </w:rPr>
      </w:pPr>
    </w:p>
    <w:p>
      <w:pPr>
        <w:ind w:left="1"/>
        <w:spacing w:after="0"/>
        <w:rPr>
          <w:sz w:val="20"/>
          <w:szCs w:val="20"/>
          <w:color w:val="auto"/>
        </w:rPr>
      </w:pPr>
      <w:r>
        <w:rPr>
          <w:rFonts w:ascii="Arial" w:cs="Arial" w:eastAsia="Arial" w:hAnsi="Arial"/>
          <w:sz w:val="18"/>
          <w:szCs w:val="18"/>
          <w:color w:val="auto"/>
        </w:rPr>
        <w:t>A derivative feature embedded in a contract that does not meet the definition of a derivative in its entirety must be bifurcated</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8"/>
          <w:szCs w:val="18"/>
          <w:color w:val="auto"/>
        </w:rPr>
        <w:t>and accounted for separately if the economic characteristics and risks of the embedded derivative are not clearly and closely</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8"/>
          <w:szCs w:val="18"/>
          <w:color w:val="auto"/>
        </w:rPr>
        <w:t>related to those of the host contract. The Preferred Distribution Rate Reset Option embedded derivative was required to be</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8"/>
          <w:szCs w:val="18"/>
          <w:color w:val="auto"/>
        </w:rPr>
        <w:t>bifurcated from the related host contract, the PAA partnership agreement, and recorded at fair value on our Consolidated</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9"/>
          <w:szCs w:val="19"/>
          <w:color w:val="auto"/>
        </w:rPr>
        <w:t>Balance Sheet. The fair value of the Preferred Distribution Rate Reset Option, which was included in “Other long-term</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8"/>
          <w:szCs w:val="18"/>
          <w:color w:val="auto"/>
        </w:rPr>
        <w:t>liabilities and deferred credits” on our Consolidated Balance Sheet, totaled $189 million at December 31, 2022. The Preferred</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7"/>
          <w:szCs w:val="17"/>
          <w:color w:val="auto"/>
        </w:rPr>
        <w:t>Distribution Rate Reset Option was settled when we received notice that the Series A preferred unitholders elected the Preferred</w:t>
      </w:r>
    </w:p>
    <w:p>
      <w:pPr>
        <w:spacing w:after="0" w:line="39" w:lineRule="exact"/>
        <w:rPr>
          <w:sz w:val="20"/>
          <w:szCs w:val="20"/>
          <w:color w:val="auto"/>
        </w:rPr>
      </w:pPr>
    </w:p>
    <w:p>
      <w:pPr>
        <w:ind w:left="1"/>
        <w:spacing w:after="0"/>
        <w:rPr>
          <w:sz w:val="20"/>
          <w:szCs w:val="20"/>
          <w:color w:val="auto"/>
        </w:rPr>
      </w:pPr>
      <w:r>
        <w:rPr>
          <w:rFonts w:ascii="Arial" w:cs="Arial" w:eastAsia="Arial" w:hAnsi="Arial"/>
          <w:sz w:val="18"/>
          <w:szCs w:val="18"/>
          <w:color w:val="auto"/>
        </w:rPr>
        <w:t>Distribution Rate Reset Option. The fair value of the Preferred Distribution Rate Reset Option on the settlement date was</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8"/>
          <w:szCs w:val="18"/>
          <w:color w:val="auto"/>
        </w:rPr>
        <w:t>$131 million. The Preferred Distribution Rate Reset Option embedded derivative was not designated in a hedging relationship</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8"/>
          <w:szCs w:val="18"/>
          <w:color w:val="auto"/>
        </w:rPr>
        <w:t>for accounting purposes and corresponding changes in fair value were recognized in “Other income/(expense), net” in our</w:t>
      </w:r>
    </w:p>
    <w:p>
      <w:pPr>
        <w:spacing w:after="0" w:line="27" w:lineRule="exact"/>
        <w:rPr>
          <w:sz w:val="20"/>
          <w:szCs w:val="20"/>
          <w:color w:val="auto"/>
        </w:rPr>
      </w:pPr>
    </w:p>
    <w:p>
      <w:pPr>
        <w:jc w:val="both"/>
        <w:ind w:left="1" w:right="500"/>
        <w:spacing w:after="0" w:line="265" w:lineRule="auto"/>
        <w:rPr>
          <w:sz w:val="20"/>
          <w:szCs w:val="20"/>
          <w:color w:val="auto"/>
        </w:rPr>
      </w:pPr>
      <w:r>
        <w:rPr>
          <w:rFonts w:ascii="Arial" w:cs="Arial" w:eastAsia="Arial" w:hAnsi="Arial"/>
          <w:sz w:val="19"/>
          <w:szCs w:val="19"/>
          <w:color w:val="auto"/>
        </w:rPr>
        <w:t>Consolidated Statements of Operations. For the years ended December 31, 2023, 2022 and 2021, we recognized a gain of $58 million, a net loss of $189 million, and a net gain of $14 million, respectively. See Note 11 for additional information regarding the Preferred Distribution Rate Reset Option.</w:t>
      </w:r>
    </w:p>
    <w:p>
      <w:pPr>
        <w:spacing w:after="0" w:line="185"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Recurring Fair Value Measurements</w:t>
      </w:r>
    </w:p>
    <w:p>
      <w:pPr>
        <w:spacing w:after="0" w:line="249" w:lineRule="exact"/>
        <w:rPr>
          <w:sz w:val="20"/>
          <w:szCs w:val="20"/>
          <w:color w:val="auto"/>
        </w:rPr>
      </w:pPr>
    </w:p>
    <w:p>
      <w:pPr>
        <w:ind w:left="701"/>
        <w:spacing w:after="0"/>
        <w:rPr>
          <w:sz w:val="20"/>
          <w:szCs w:val="20"/>
          <w:color w:val="auto"/>
        </w:rPr>
      </w:pPr>
      <w:r>
        <w:rPr>
          <w:rFonts w:ascii="Arial" w:cs="Arial" w:eastAsia="Arial" w:hAnsi="Arial"/>
          <w:sz w:val="19"/>
          <w:szCs w:val="19"/>
          <w:b w:val="1"/>
          <w:bCs w:val="1"/>
          <w:color w:val="auto"/>
        </w:rPr>
        <w:t>Derivative Financial Assets and Liabilities</w:t>
      </w:r>
    </w:p>
    <w:p>
      <w:pPr>
        <w:spacing w:after="0" w:line="257" w:lineRule="exact"/>
        <w:rPr>
          <w:sz w:val="20"/>
          <w:szCs w:val="20"/>
          <w:color w:val="auto"/>
        </w:rPr>
      </w:pPr>
    </w:p>
    <w:p>
      <w:pPr>
        <w:ind w:left="1" w:right="500" w:firstLine="702"/>
        <w:spacing w:after="0" w:line="295" w:lineRule="auto"/>
        <w:rPr>
          <w:sz w:val="20"/>
          <w:szCs w:val="20"/>
          <w:color w:val="auto"/>
        </w:rPr>
      </w:pPr>
      <w:r>
        <w:rPr>
          <w:rFonts w:ascii="Arial" w:cs="Arial" w:eastAsia="Arial" w:hAnsi="Arial"/>
          <w:sz w:val="19"/>
          <w:szCs w:val="19"/>
          <w:color w:val="auto"/>
        </w:rPr>
        <w:t>The following table sets forth by level within the fair value hierarchy our financial assets and liabilities that were accounted for at fair value on a recurring basis (in millions):</w:t>
      </w:r>
    </w:p>
    <w:p>
      <w:pPr>
        <w:spacing w:after="0" w:line="252"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10"/>
          </w:tcPr>
          <w:p>
            <w:pPr>
              <w:ind w:left="320"/>
              <w:spacing w:after="0"/>
              <w:rPr>
                <w:sz w:val="20"/>
                <w:szCs w:val="20"/>
                <w:color w:val="auto"/>
              </w:rPr>
            </w:pPr>
            <w:r>
              <w:rPr>
                <w:rFonts w:ascii="Arial" w:cs="Arial" w:eastAsia="Arial" w:hAnsi="Arial"/>
                <w:sz w:val="16"/>
                <w:szCs w:val="16"/>
                <w:b w:val="1"/>
                <w:bCs w:val="1"/>
                <w:color w:val="auto"/>
              </w:rPr>
              <w:t>Fair Value as of December 31, 2023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10"/>
          </w:tcPr>
          <w:p>
            <w:pPr>
              <w:jc w:val="right"/>
              <w:ind w:right="386"/>
              <w:spacing w:after="0"/>
              <w:rPr>
                <w:sz w:val="20"/>
                <w:szCs w:val="20"/>
                <w:color w:val="auto"/>
              </w:rPr>
            </w:pPr>
            <w:r>
              <w:rPr>
                <w:rFonts w:ascii="Arial" w:cs="Arial" w:eastAsia="Arial" w:hAnsi="Arial"/>
                <w:sz w:val="16"/>
                <w:szCs w:val="16"/>
                <w:b w:val="1"/>
                <w:bCs w:val="1"/>
                <w:color w:val="auto"/>
              </w:rPr>
              <w:t>Fair Value as of December 31, 2022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tcBorders>
              <w:bottom w:val="single" w:sz="8" w:color="auto"/>
            </w:tcBorders>
          </w:tcPr>
          <w:p>
            <w:pPr>
              <w:ind w:left="60"/>
              <w:spacing w:after="0" w:line="229" w:lineRule="exact"/>
              <w:rPr>
                <w:sz w:val="20"/>
                <w:szCs w:val="20"/>
                <w:color w:val="auto"/>
              </w:rPr>
            </w:pPr>
            <w:r>
              <w:rPr>
                <w:rFonts w:ascii="Arial" w:cs="Arial" w:eastAsia="Arial" w:hAnsi="Arial"/>
                <w:sz w:val="16"/>
                <w:szCs w:val="16"/>
                <w:b w:val="1"/>
                <w:bCs w:val="1"/>
                <w:color w:val="auto"/>
              </w:rPr>
              <w:t xml:space="preserve">Recurring Fair Value Measures </w:t>
            </w:r>
            <w:r>
              <w:rPr>
                <w:rFonts w:ascii="Arial" w:cs="Arial" w:eastAsia="Arial" w:hAnsi="Arial"/>
                <w:sz w:val="20"/>
                <w:szCs w:val="20"/>
                <w:b w:val="1"/>
                <w:bCs w:val="1"/>
                <w:color w:val="auto"/>
                <w:vertAlign w:val="superscript"/>
              </w:rPr>
              <w:t>(1)</w:t>
            </w: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6"/>
                <w:szCs w:val="16"/>
                <w:b w:val="1"/>
                <w:bCs w:val="1"/>
                <w:color w:val="auto"/>
                <w:w w:val="84"/>
              </w:rPr>
              <w:t>Level 1</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w w:val="84"/>
              </w:rPr>
              <w:t>Level 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Level 3</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6"/>
                <w:szCs w:val="16"/>
                <w:b w:val="1"/>
                <w:bCs w:val="1"/>
                <w:color w:val="auto"/>
                <w:w w:val="84"/>
              </w:rPr>
              <w:t>Level 1</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b w:val="1"/>
                <w:bCs w:val="1"/>
                <w:color w:val="auto"/>
                <w:w w:val="84"/>
              </w:rPr>
              <w:t>Level 2</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w w:val="84"/>
              </w:rPr>
              <w:t>Level 3</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60" w:type="dxa"/>
            <w:vAlign w:val="bottom"/>
            <w:gridSpan w:val="2"/>
          </w:tcPr>
          <w:p>
            <w:pPr>
              <w:ind w:left="60"/>
              <w:spacing w:after="0"/>
              <w:rPr>
                <w:sz w:val="20"/>
                <w:szCs w:val="20"/>
                <w:color w:val="auto"/>
              </w:rPr>
            </w:pPr>
            <w:r>
              <w:rPr>
                <w:rFonts w:ascii="Arial" w:cs="Arial" w:eastAsia="Arial" w:hAnsi="Arial"/>
                <w:sz w:val="19"/>
                <w:szCs w:val="19"/>
                <w:color w:val="auto"/>
              </w:rPr>
              <w:t>Commodity derivatives</w:t>
            </w:r>
          </w:p>
        </w:tc>
        <w:tc>
          <w:tcPr>
            <w:tcW w:w="1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9</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(9)</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ind w:left="340"/>
              <w:spacing w:after="0"/>
              <w:rPr>
                <w:sz w:val="20"/>
                <w:szCs w:val="20"/>
                <w:color w:val="auto"/>
              </w:rPr>
            </w:pPr>
            <w:r>
              <w:rPr>
                <w:rFonts w:ascii="Arial" w:cs="Arial" w:eastAsia="Arial" w:hAnsi="Arial"/>
                <w:sz w:val="19"/>
                <w:szCs w:val="19"/>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60" w:type="dxa"/>
            <w:vAlign w:val="bottom"/>
            <w:tcBorders>
              <w:right w:val="single" w:sz="8" w:color="auto"/>
            </w:tcBorders>
            <w:gridSpan w:val="2"/>
          </w:tcPr>
          <w:p>
            <w:pPr>
              <w:ind w:left="320"/>
              <w:spacing w:after="0"/>
              <w:rPr>
                <w:sz w:val="20"/>
                <w:szCs w:val="20"/>
                <w:color w:val="auto"/>
              </w:rPr>
            </w:pPr>
            <w:r>
              <w:rPr>
                <w:rFonts w:ascii="Arial" w:cs="Arial" w:eastAsia="Arial" w:hAnsi="Arial"/>
                <w:sz w:val="19"/>
                <w:szCs w:val="19"/>
                <w:color w:val="auto"/>
              </w:rPr>
              <w:t>—</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(7)</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229</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222</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3160" w:type="dxa"/>
            <w:vAlign w:val="bottom"/>
            <w:gridSpan w:val="2"/>
          </w:tcPr>
          <w:p>
            <w:pPr>
              <w:ind w:left="60"/>
              <w:spacing w:after="0"/>
              <w:rPr>
                <w:sz w:val="20"/>
                <w:szCs w:val="20"/>
                <w:color w:val="auto"/>
              </w:rPr>
            </w:pPr>
            <w:r>
              <w:rPr>
                <w:rFonts w:ascii="Arial" w:cs="Arial" w:eastAsia="Arial" w:hAnsi="Arial"/>
                <w:sz w:val="19"/>
                <w:szCs w:val="19"/>
                <w:color w:val="auto"/>
              </w:rPr>
              <w:t>Interest rate derivatives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55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ind w:left="34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Arial" w:cs="Arial" w:eastAsia="Arial" w:hAnsi="Arial"/>
                <w:sz w:val="19"/>
                <w:szCs w:val="19"/>
                <w:color w:val="auto"/>
              </w:rPr>
              <w:t>55</w:t>
            </w:r>
          </w:p>
        </w:tc>
        <w:tc>
          <w:tcPr>
            <w:tcW w:w="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120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ind w:left="60"/>
              <w:spacing w:after="0"/>
              <w:rPr>
                <w:sz w:val="20"/>
                <w:szCs w:val="20"/>
                <w:color w:val="auto"/>
              </w:rPr>
            </w:pPr>
            <w:r>
              <w:rPr>
                <w:rFonts w:ascii="Arial" w:cs="Arial" w:eastAsia="Arial" w:hAnsi="Arial"/>
                <w:sz w:val="19"/>
                <w:szCs w:val="19"/>
                <w:color w:val="auto"/>
              </w:rPr>
              <w:t>Preferred Distribution Rate Reset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vMerge w:val="restart"/>
          </w:tcPr>
          <w:p>
            <w:pPr>
              <w:ind w:left="34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vMerge w:val="restart"/>
          </w:tcPr>
          <w:p>
            <w:pPr>
              <w:ind w:left="320"/>
              <w:spacing w:after="0"/>
              <w:rPr>
                <w:sz w:val="20"/>
                <w:szCs w:val="20"/>
                <w:color w:val="auto"/>
              </w:rPr>
            </w:pPr>
            <w:r>
              <w:rPr>
                <w:rFonts w:ascii="Arial" w:cs="Arial" w:eastAsia="Arial" w:hAnsi="Arial"/>
                <w:sz w:val="19"/>
                <w:szCs w:val="19"/>
                <w:color w:val="auto"/>
              </w:rPr>
              <w:t>—</w:t>
            </w:r>
          </w:p>
        </w:tc>
        <w:tc>
          <w:tcPr>
            <w:tcW w:w="80" w:type="dxa"/>
            <w:vAlign w:val="bottom"/>
            <w:tcBorders>
              <w:right w:val="single" w:sz="8" w:color="auto"/>
            </w:tcBorders>
            <w:vMerge w:val="restart"/>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19"/>
                <w:szCs w:val="19"/>
                <w:color w:val="auto"/>
              </w:rPr>
              <w:t>(189)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Arial" w:cs="Arial" w:eastAsia="Arial" w:hAnsi="Arial"/>
                <w:sz w:val="19"/>
                <w:szCs w:val="19"/>
                <w:color w:val="auto"/>
              </w:rPr>
              <w:t>(189)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60" w:type="dxa"/>
            <w:vAlign w:val="bottom"/>
            <w:gridSpan w:val="2"/>
          </w:tcPr>
          <w:p>
            <w:pPr>
              <w:ind w:left="240"/>
              <w:spacing w:after="0"/>
              <w:rPr>
                <w:sz w:val="20"/>
                <w:szCs w:val="20"/>
                <w:color w:val="auto"/>
              </w:rPr>
            </w:pPr>
            <w:r>
              <w:rPr>
                <w:rFonts w:ascii="Arial" w:cs="Arial" w:eastAsia="Arial" w:hAnsi="Arial"/>
                <w:sz w:val="19"/>
                <w:szCs w:val="19"/>
                <w:color w:val="auto"/>
              </w:rPr>
              <w:t>Option</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80" w:type="dxa"/>
            <w:vAlign w:val="bottom"/>
            <w:tcBorders>
              <w:right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3160" w:type="dxa"/>
            <w:vAlign w:val="bottom"/>
            <w:gridSpan w:val="2"/>
          </w:tcPr>
          <w:p>
            <w:pPr>
              <w:ind w:left="200"/>
              <w:spacing w:after="0"/>
              <w:rPr>
                <w:sz w:val="20"/>
                <w:szCs w:val="20"/>
                <w:color w:val="auto"/>
              </w:rPr>
            </w:pPr>
            <w:r>
              <w:rPr>
                <w:rFonts w:ascii="Arial" w:cs="Arial" w:eastAsia="Arial" w:hAnsi="Arial"/>
                <w:sz w:val="19"/>
                <w:szCs w:val="19"/>
                <w:color w:val="auto"/>
              </w:rPr>
              <w:t>Total net derivative asset/(liability)</w:t>
            </w:r>
          </w:p>
        </w:tc>
        <w:tc>
          <w:tcPr>
            <w:tcW w:w="1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9</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46</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ind w:left="340"/>
              <w:spacing w:after="0"/>
              <w:rPr>
                <w:sz w:val="20"/>
                <w:szCs w:val="20"/>
                <w:color w:val="auto"/>
              </w:rPr>
            </w:pPr>
            <w:r>
              <w:rPr>
                <w:rFonts w:ascii="Arial" w:cs="Arial" w:eastAsia="Arial" w:hAnsi="Arial"/>
                <w:sz w:val="19"/>
                <w:szCs w:val="19"/>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tcPr>
          <w:p>
            <w:pPr>
              <w:ind w:left="320"/>
              <w:spacing w:after="0"/>
              <w:rPr>
                <w:sz w:val="20"/>
                <w:szCs w:val="20"/>
                <w:color w:val="auto"/>
              </w:rPr>
            </w:pPr>
            <w:r>
              <w:rPr>
                <w:rFonts w:ascii="Arial" w:cs="Arial" w:eastAsia="Arial" w:hAnsi="Arial"/>
                <w:sz w:val="19"/>
                <w:szCs w:val="19"/>
                <w:color w:val="auto"/>
              </w:rPr>
              <w:t>55</w:t>
            </w:r>
          </w:p>
        </w:tc>
        <w:tc>
          <w:tcPr>
            <w:tcW w:w="80" w:type="dxa"/>
            <w:vAlign w:val="bottom"/>
            <w:tcBorders>
              <w:right w:val="single" w:sz="8" w:color="auto"/>
            </w:tcBorders>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(7)</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349</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(189)</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153</w:t>
            </w:r>
          </w:p>
        </w:tc>
        <w:tc>
          <w:tcPr>
            <w:tcW w:w="0" w:type="dxa"/>
            <w:vAlign w:val="bottom"/>
          </w:tcPr>
          <w:p>
            <w:pPr>
              <w:spacing w:after="0"/>
              <w:rPr>
                <w:sz w:val="1"/>
                <w:szCs w:val="1"/>
                <w:color w:val="auto"/>
              </w:rPr>
            </w:pPr>
          </w:p>
        </w:tc>
      </w:tr>
      <w:tr>
        <w:trPr>
          <w:trHeight w:val="131"/>
        </w:trPr>
        <w:tc>
          <w:tcPr>
            <w:tcW w:w="20" w:type="dxa"/>
            <w:vAlign w:val="bottom"/>
            <w:tcBorders>
              <w:bottom w:val="single" w:sz="8" w:color="auto"/>
            </w:tcBorders>
          </w:tcPr>
          <w:p>
            <w:pPr>
              <w:spacing w:after="0"/>
              <w:rPr>
                <w:sz w:val="11"/>
                <w:szCs w:val="11"/>
                <w:color w:val="auto"/>
              </w:rPr>
            </w:pPr>
          </w:p>
        </w:tc>
        <w:tc>
          <w:tcPr>
            <w:tcW w:w="3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4178300</wp:posOffset>
                </wp:positionH>
                <wp:positionV relativeFrom="paragraph">
                  <wp:posOffset>-977900</wp:posOffset>
                </wp:positionV>
                <wp:extent cx="0" cy="86360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63600"/>
                        </a:xfrm>
                        <a:prstGeom prst="line">
                          <a:avLst/>
                        </a:prstGeom>
                        <a:solidFill>
                          <a:srgbClr val="FFFFFF"/>
                        </a:solidFill>
                        <a:ln w="0">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pt,-77pt" to="329pt,-9pt" o:allowincell="f" strokecolor="#000000" strokeweight="0pt"/>
            </w:pict>
          </mc:Fallback>
        </mc:AlternateContent>
        <w:drawing>
          <wp:anchor simplePos="0" relativeHeight="251657728" behindDoc="1" locked="0" layoutInCell="0" allowOverlap="1">
            <wp:simplePos x="0" y="0"/>
            <wp:positionH relativeFrom="column">
              <wp:posOffset>5715</wp:posOffset>
            </wp:positionH>
            <wp:positionV relativeFrom="paragraph">
              <wp:posOffset>-990600</wp:posOffset>
            </wp:positionV>
            <wp:extent cx="6339205" cy="9010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94">
                      <a:extLst>
                        <a:ext uri="{28A0092B-C50C-407E-A947-70E740481C1C}"/>
                      </a:extLst>
                    </a:blip>
                    <a:srcRect/>
                    <a:stretch>
                      <a:fillRect/>
                    </a:stretch>
                  </pic:blipFill>
                  <pic:spPr bwMode="auto">
                    <a:xfrm>
                      <a:off x="0" y="0"/>
                      <a:ext cx="6339205" cy="901065"/>
                    </a:xfrm>
                    <a:prstGeom prst="rect">
                      <a:avLst/>
                    </a:prstGeom>
                    <a:noFill/>
                  </pic:spPr>
                </pic:pic>
              </a:graphicData>
            </a:graphic>
          </wp:anchor>
        </w:drawing>
      </w:r>
    </w:p>
    <w:p>
      <w:pPr>
        <w:spacing w:after="0" w:line="55" w:lineRule="exact"/>
        <w:rPr>
          <w:sz w:val="20"/>
          <w:szCs w:val="20"/>
          <w:color w:val="auto"/>
        </w:rPr>
      </w:pPr>
    </w:p>
    <w:p>
      <w:pPr>
        <w:ind w:left="701" w:hanging="701"/>
        <w:spacing w:after="0"/>
        <w:tabs>
          <w:tab w:leader="none" w:pos="701" w:val="left"/>
        </w:tabs>
        <w:numPr>
          <w:ilvl w:val="0"/>
          <w:numId w:val="94"/>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7" w:lineRule="exact"/>
        <w:rPr>
          <w:rFonts w:ascii="Arial" w:cs="Arial" w:eastAsia="Arial" w:hAnsi="Arial"/>
          <w:sz w:val="23"/>
          <w:szCs w:val="23"/>
          <w:color w:val="auto"/>
          <w:vertAlign w:val="superscript"/>
        </w:rPr>
      </w:pPr>
    </w:p>
    <w:p>
      <w:pPr>
        <w:ind w:left="701"/>
        <w:spacing w:after="0"/>
        <w:rPr>
          <w:rFonts w:ascii="Arial" w:cs="Arial" w:eastAsia="Arial" w:hAnsi="Arial"/>
          <w:sz w:val="23"/>
          <w:szCs w:val="23"/>
          <w:color w:val="auto"/>
          <w:vertAlign w:val="superscript"/>
        </w:rPr>
      </w:pPr>
      <w:r>
        <w:rPr>
          <w:rFonts w:ascii="Arial" w:cs="Arial" w:eastAsia="Arial" w:hAnsi="Arial"/>
          <w:sz w:val="19"/>
          <w:szCs w:val="19"/>
          <w:b w:val="1"/>
          <w:bCs w:val="1"/>
          <w:i w:val="1"/>
          <w:iCs w:val="1"/>
          <w:color w:val="auto"/>
        </w:rPr>
        <w:t>Level 1</w:t>
      </w:r>
    </w:p>
    <w:p>
      <w:pPr>
        <w:spacing w:after="0" w:line="256" w:lineRule="exact"/>
        <w:rPr>
          <w:rFonts w:ascii="Arial" w:cs="Arial" w:eastAsia="Arial" w:hAnsi="Arial"/>
          <w:sz w:val="23"/>
          <w:szCs w:val="23"/>
          <w:color w:val="auto"/>
          <w:vertAlign w:val="superscript"/>
        </w:rPr>
      </w:pPr>
    </w:p>
    <w:p>
      <w:pPr>
        <w:ind w:left="701" w:right="160"/>
        <w:spacing w:after="0" w:line="276" w:lineRule="auto"/>
        <w:rPr>
          <w:rFonts w:ascii="Arial" w:cs="Arial" w:eastAsia="Arial" w:hAnsi="Arial"/>
          <w:sz w:val="23"/>
          <w:szCs w:val="23"/>
          <w:color w:val="auto"/>
          <w:vertAlign w:val="superscript"/>
        </w:rPr>
      </w:pPr>
      <w:r>
        <w:rPr>
          <w:rFonts w:ascii="Arial" w:cs="Arial" w:eastAsia="Arial" w:hAnsi="Arial"/>
          <w:sz w:val="19"/>
          <w:szCs w:val="19"/>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75" w:lineRule="exact"/>
        <w:rPr>
          <w:rFonts w:ascii="Arial" w:cs="Arial" w:eastAsia="Arial" w:hAnsi="Arial"/>
          <w:sz w:val="23"/>
          <w:szCs w:val="23"/>
          <w:color w:val="auto"/>
          <w:vertAlign w:val="superscript"/>
        </w:rPr>
      </w:pPr>
    </w:p>
    <w:p>
      <w:pPr>
        <w:ind w:left="701"/>
        <w:spacing w:after="0"/>
        <w:rPr>
          <w:rFonts w:ascii="Arial" w:cs="Arial" w:eastAsia="Arial" w:hAnsi="Arial"/>
          <w:sz w:val="23"/>
          <w:szCs w:val="23"/>
          <w:color w:val="auto"/>
          <w:vertAlign w:val="superscript"/>
        </w:rPr>
      </w:pPr>
      <w:r>
        <w:rPr>
          <w:rFonts w:ascii="Arial" w:cs="Arial" w:eastAsia="Arial" w:hAnsi="Arial"/>
          <w:sz w:val="19"/>
          <w:szCs w:val="19"/>
          <w:b w:val="1"/>
          <w:bCs w:val="1"/>
          <w:i w:val="1"/>
          <w:iCs w:val="1"/>
          <w:color w:val="auto"/>
        </w:rPr>
        <w:t>Level 2</w:t>
      </w:r>
    </w:p>
    <w:p>
      <w:pPr>
        <w:spacing w:after="0" w:line="256" w:lineRule="exact"/>
        <w:rPr>
          <w:rFonts w:ascii="Arial" w:cs="Arial" w:eastAsia="Arial" w:hAnsi="Arial"/>
          <w:sz w:val="23"/>
          <w:szCs w:val="23"/>
          <w:color w:val="auto"/>
          <w:vertAlign w:val="superscript"/>
        </w:rPr>
      </w:pPr>
    </w:p>
    <w:p>
      <w:pPr>
        <w:ind w:left="701" w:right="80"/>
        <w:spacing w:after="0" w:line="269" w:lineRule="auto"/>
        <w:rPr>
          <w:rFonts w:ascii="Arial" w:cs="Arial" w:eastAsia="Arial" w:hAnsi="Arial"/>
          <w:sz w:val="23"/>
          <w:szCs w:val="23"/>
          <w:color w:val="auto"/>
          <w:vertAlign w:val="superscript"/>
        </w:rPr>
      </w:pPr>
      <w:r>
        <w:rPr>
          <w:rFonts w:ascii="Arial" w:cs="Arial" w:eastAsia="Arial" w:hAnsi="Arial"/>
          <w:sz w:val="19"/>
          <w:szCs w:val="19"/>
          <w:color w:val="auto"/>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83" w:lineRule="exact"/>
        <w:rPr>
          <w:rFonts w:ascii="Arial" w:cs="Arial" w:eastAsia="Arial" w:hAnsi="Arial"/>
          <w:sz w:val="23"/>
          <w:szCs w:val="23"/>
          <w:color w:val="auto"/>
          <w:vertAlign w:val="superscript"/>
        </w:rPr>
      </w:pPr>
    </w:p>
    <w:p>
      <w:pPr>
        <w:ind w:left="701"/>
        <w:spacing w:after="0"/>
        <w:rPr>
          <w:rFonts w:ascii="Arial" w:cs="Arial" w:eastAsia="Arial" w:hAnsi="Arial"/>
          <w:sz w:val="23"/>
          <w:szCs w:val="23"/>
          <w:color w:val="auto"/>
          <w:vertAlign w:val="superscript"/>
        </w:rPr>
      </w:pPr>
      <w:r>
        <w:rPr>
          <w:rFonts w:ascii="Arial" w:cs="Arial" w:eastAsia="Arial" w:hAnsi="Arial"/>
          <w:sz w:val="19"/>
          <w:szCs w:val="19"/>
          <w:b w:val="1"/>
          <w:bCs w:val="1"/>
          <w:i w:val="1"/>
          <w:iCs w:val="1"/>
          <w:color w:val="auto"/>
        </w:rPr>
        <w:t>Level 3</w:t>
      </w:r>
    </w:p>
    <w:p>
      <w:pPr>
        <w:sectPr>
          <w:pgSz w:w="11880" w:h="15480" w:orient="portrait"/>
          <w:cols w:equalWidth="0" w:num="1">
            <w:col w:w="10001"/>
          </w:cols>
          <w:pgMar w:left="939" w:top="43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ectPr>
          <w:pgSz w:w="11880" w:h="15480" w:orient="portrait"/>
          <w:cols w:equalWidth="0" w:num="1">
            <w:col w:w="10001"/>
          </w:cols>
          <w:pgMar w:left="939" w:top="431" w:right="940" w:bottom="0" w:gutter="0" w:footer="0" w:header="0"/>
          <w:type w:val="continuous"/>
        </w:sectPr>
      </w:pPr>
    </w:p>
    <w:bookmarkStart w:id="146" w:name="page147"/>
    <w:bookmarkEnd w:id="146"/>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left="700" w:right="60"/>
        <w:spacing w:after="0" w:line="263" w:lineRule="auto"/>
        <w:rPr>
          <w:sz w:val="20"/>
          <w:szCs w:val="20"/>
          <w:color w:val="auto"/>
        </w:rPr>
      </w:pPr>
      <w:r>
        <w:rPr>
          <w:rFonts w:ascii="Arial" w:cs="Arial" w:eastAsia="Arial" w:hAnsi="Arial"/>
          <w:sz w:val="19"/>
          <w:szCs w:val="19"/>
          <w:color w:val="auto"/>
        </w:rPr>
        <w:t>Level 3 of the fair value hierarchy includes the Preferred Distribution Rate Reset Option contained in our partnership agreement which was classified as an embedded derivative. As discussed above, the Preferred Distribution Rate Reset Option was settled on January 31, 2023. The fair value of the Preferred Distribution Rate Reset Option was based on a Monte Carlo valuation model that estimated the fair value of the Series A preferred units with and without the Preferred Distribution Rate Reset Option. This model relied on assumptions for forecasts for the ten-year U.S. Treasury rate, PAA’s common unit price, and default probabilities which impacted timing estimates as to when the option would be exercised.</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Rollforward of Level 3 Net Asset/(Liability)</w:t>
      </w:r>
    </w:p>
    <w:p>
      <w:pPr>
        <w:spacing w:after="0" w:line="257" w:lineRule="exact"/>
        <w:rPr>
          <w:sz w:val="20"/>
          <w:szCs w:val="20"/>
          <w:color w:val="auto"/>
        </w:rPr>
      </w:pPr>
    </w:p>
    <w:p>
      <w:pPr>
        <w:ind w:right="380" w:firstLine="702"/>
        <w:spacing w:after="0" w:line="295" w:lineRule="auto"/>
        <w:rPr>
          <w:sz w:val="20"/>
          <w:szCs w:val="20"/>
          <w:color w:val="auto"/>
        </w:rPr>
      </w:pPr>
      <w:r>
        <w:rPr>
          <w:rFonts w:ascii="Arial" w:cs="Arial" w:eastAsia="Arial" w:hAnsi="Arial"/>
          <w:sz w:val="19"/>
          <w:szCs w:val="19"/>
          <w:color w:val="auto"/>
        </w:rPr>
        <w:t>The following table provides a reconciliation of changes in fair value of the beginning and ending balances for our derivatives classified as Level 3 (in millions):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7320" w:type="dxa"/>
            <w:vAlign w:val="bottom"/>
          </w:tcPr>
          <w:p>
            <w:pPr>
              <w:spacing w:after="0"/>
              <w:rPr>
                <w:sz w:val="18"/>
                <w:szCs w:val="18"/>
                <w:color w:val="auto"/>
              </w:rPr>
            </w:pPr>
          </w:p>
        </w:tc>
        <w:tc>
          <w:tcPr>
            <w:tcW w:w="2620" w:type="dxa"/>
            <w:vAlign w:val="bottom"/>
            <w:tcBorders>
              <w:bottom w:val="single" w:sz="8" w:color="auto"/>
            </w:tcBorders>
            <w:gridSpan w:val="5"/>
          </w:tcPr>
          <w:p>
            <w:pPr>
              <w:jc w:val="right"/>
              <w:ind w:right="346"/>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69"/>
        </w:trPr>
        <w:tc>
          <w:tcPr>
            <w:tcW w:w="7320" w:type="dxa"/>
            <w:vAlign w:val="bottom"/>
          </w:tcPr>
          <w:p>
            <w:pPr>
              <w:spacing w:after="0"/>
              <w:rPr>
                <w:sz w:val="20"/>
                <w:szCs w:val="20"/>
                <w:color w:val="auto"/>
              </w:rPr>
            </w:pPr>
            <w:r>
              <w:rPr>
                <w:rFonts w:ascii="Arial" w:cs="Arial" w:eastAsia="Arial" w:hAnsi="Arial"/>
                <w:sz w:val="19"/>
                <w:szCs w:val="19"/>
                <w:color w:val="auto"/>
              </w:rPr>
              <w:t>Beginning Balance</w:t>
            </w:r>
          </w:p>
        </w:tc>
        <w:tc>
          <w:tcPr>
            <w:tcW w:w="800" w:type="dxa"/>
            <w:vAlign w:val="bottom"/>
          </w:tcPr>
          <w:p>
            <w:pPr>
              <w:jc w:val="right"/>
              <w:ind w:right="570"/>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w w:val="99"/>
              </w:rPr>
              <w:t>(189)</w:t>
            </w:r>
          </w:p>
        </w:tc>
        <w:tc>
          <w:tcPr>
            <w:tcW w:w="40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92"/>
        </w:trPr>
        <w:tc>
          <w:tcPr>
            <w:tcW w:w="7320" w:type="dxa"/>
            <w:vAlign w:val="bottom"/>
          </w:tcPr>
          <w:p>
            <w:pPr>
              <w:ind w:left="120"/>
              <w:spacing w:after="0"/>
              <w:rPr>
                <w:sz w:val="20"/>
                <w:szCs w:val="20"/>
                <w:color w:val="auto"/>
              </w:rPr>
            </w:pPr>
            <w:r>
              <w:rPr>
                <w:rFonts w:ascii="Arial" w:cs="Arial" w:eastAsia="Arial" w:hAnsi="Arial"/>
                <w:sz w:val="19"/>
                <w:szCs w:val="19"/>
                <w:color w:val="auto"/>
              </w:rPr>
              <w:t>Net gains/(losses) for the period included in earnings</w:t>
            </w:r>
          </w:p>
        </w:tc>
        <w:tc>
          <w:tcPr>
            <w:tcW w:w="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58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(189)</w:t>
            </w:r>
          </w:p>
        </w:tc>
        <w:tc>
          <w:tcPr>
            <w:tcW w:w="0" w:type="dxa"/>
            <w:vAlign w:val="bottom"/>
          </w:tcPr>
          <w:p>
            <w:pPr>
              <w:spacing w:after="0"/>
              <w:rPr>
                <w:sz w:val="1"/>
                <w:szCs w:val="1"/>
                <w:color w:val="auto"/>
              </w:rPr>
            </w:pPr>
          </w:p>
        </w:tc>
      </w:tr>
      <w:tr>
        <w:trPr>
          <w:trHeight w:val="296"/>
        </w:trPr>
        <w:tc>
          <w:tcPr>
            <w:tcW w:w="7320" w:type="dxa"/>
            <w:vAlign w:val="bottom"/>
          </w:tcPr>
          <w:p>
            <w:pPr>
              <w:ind w:left="120"/>
              <w:spacing w:after="0"/>
              <w:rPr>
                <w:sz w:val="20"/>
                <w:szCs w:val="20"/>
                <w:color w:val="auto"/>
              </w:rPr>
            </w:pPr>
            <w:r>
              <w:rPr>
                <w:rFonts w:ascii="Arial" w:cs="Arial" w:eastAsia="Arial" w:hAnsi="Arial"/>
                <w:sz w:val="19"/>
                <w:szCs w:val="19"/>
                <w:color w:val="auto"/>
              </w:rPr>
              <w:t>Settlements</w:t>
            </w: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131</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53"/>
        </w:trPr>
        <w:tc>
          <w:tcPr>
            <w:tcW w:w="7320" w:type="dxa"/>
            <w:vAlign w:val="bottom"/>
          </w:tcPr>
          <w:p>
            <w:pPr>
              <w:spacing w:after="0"/>
              <w:rPr>
                <w:sz w:val="20"/>
                <w:szCs w:val="20"/>
                <w:color w:val="auto"/>
              </w:rPr>
            </w:pPr>
            <w:r>
              <w:rPr>
                <w:rFonts w:ascii="Arial" w:cs="Arial" w:eastAsia="Arial" w:hAnsi="Arial"/>
                <w:sz w:val="19"/>
                <w:szCs w:val="19"/>
                <w:color w:val="auto"/>
              </w:rPr>
              <w:t>Ending Balance</w:t>
            </w:r>
          </w:p>
        </w:tc>
        <w:tc>
          <w:tcPr>
            <w:tcW w:w="800" w:type="dxa"/>
            <w:vAlign w:val="bottom"/>
          </w:tcPr>
          <w:p>
            <w:pPr>
              <w:jc w:val="right"/>
              <w:ind w:right="570"/>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(189)</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9"/>
                <w:szCs w:val="19"/>
                <w:color w:val="auto"/>
                <w:w w:val="96"/>
              </w:rPr>
              <w:t>Change in unrealized gains/(losses) included in earnings relating to Level 3 derivatives still</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7320" w:type="dxa"/>
            <w:vAlign w:val="bottom"/>
            <w:vMerge w:val="continue"/>
          </w:tcPr>
          <w:p>
            <w:pPr>
              <w:spacing w:after="0"/>
              <w:rPr>
                <w:sz w:val="24"/>
                <w:szCs w:val="24"/>
                <w:color w:val="auto"/>
              </w:rPr>
            </w:pPr>
          </w:p>
        </w:tc>
        <w:tc>
          <w:tcPr>
            <w:tcW w:w="800" w:type="dxa"/>
            <w:vAlign w:val="bottom"/>
            <w:vMerge w:val="restart"/>
          </w:tcPr>
          <w:p>
            <w:pPr>
              <w:jc w:val="right"/>
              <w:ind w:right="570"/>
              <w:spacing w:after="0"/>
              <w:rPr>
                <w:sz w:val="20"/>
                <w:szCs w:val="20"/>
                <w:color w:val="auto"/>
              </w:rPr>
            </w:pPr>
            <w:r>
              <w:rPr>
                <w:rFonts w:ascii="Arial" w:cs="Arial" w:eastAsia="Arial" w:hAnsi="Arial"/>
                <w:sz w:val="19"/>
                <w:szCs w:val="19"/>
                <w:color w:val="auto"/>
              </w:rPr>
              <w:t>$</w:t>
            </w:r>
          </w:p>
        </w:tc>
        <w:tc>
          <w:tcPr>
            <w:tcW w:w="46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vMerge w:val="restart"/>
          </w:tcPr>
          <w:p>
            <w:pPr>
              <w:jc w:val="right"/>
              <w:spacing w:after="0"/>
              <w:rPr>
                <w:sz w:val="20"/>
                <w:szCs w:val="20"/>
                <w:color w:val="auto"/>
              </w:rPr>
            </w:pPr>
            <w:r>
              <w:rPr>
                <w:rFonts w:ascii="Arial" w:cs="Arial" w:eastAsia="Arial" w:hAnsi="Arial"/>
                <w:sz w:val="19"/>
                <w:szCs w:val="19"/>
                <w:color w:val="auto"/>
              </w:rPr>
              <w:t>(189)</w:t>
            </w:r>
          </w:p>
        </w:tc>
        <w:tc>
          <w:tcPr>
            <w:tcW w:w="0" w:type="dxa"/>
            <w:vAlign w:val="bottom"/>
          </w:tcPr>
          <w:p>
            <w:pPr>
              <w:spacing w:after="0"/>
              <w:rPr>
                <w:sz w:val="1"/>
                <w:szCs w:val="1"/>
                <w:color w:val="auto"/>
              </w:rPr>
            </w:pPr>
          </w:p>
        </w:tc>
      </w:tr>
      <w:tr>
        <w:trPr>
          <w:trHeight w:val="254"/>
        </w:trPr>
        <w:tc>
          <w:tcPr>
            <w:tcW w:w="7320" w:type="dxa"/>
            <w:vAlign w:val="bottom"/>
          </w:tcPr>
          <w:p>
            <w:pPr>
              <w:spacing w:after="0"/>
              <w:rPr>
                <w:sz w:val="20"/>
                <w:szCs w:val="20"/>
                <w:color w:val="auto"/>
              </w:rPr>
            </w:pPr>
            <w:r>
              <w:rPr>
                <w:rFonts w:ascii="Arial" w:cs="Arial" w:eastAsia="Arial" w:hAnsi="Arial"/>
                <w:sz w:val="19"/>
                <w:szCs w:val="19"/>
                <w:color w:val="auto"/>
              </w:rPr>
              <w:t>held at the end of the period</w:t>
            </w:r>
          </w:p>
        </w:tc>
        <w:tc>
          <w:tcPr>
            <w:tcW w:w="80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-1239520</wp:posOffset>
            </wp:positionV>
            <wp:extent cx="6367145" cy="12604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95">
                      <a:extLst>
                        <a:ext uri="{28A0092B-C50C-407E-A947-70E740481C1C}"/>
                      </a:extLst>
                    </a:blip>
                    <a:srcRect/>
                    <a:stretch>
                      <a:fillRect/>
                    </a:stretch>
                  </pic:blipFill>
                  <pic:spPr bwMode="auto">
                    <a:xfrm>
                      <a:off x="0" y="0"/>
                      <a:ext cx="6367145" cy="126047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13—Leases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Lessee</w:t>
      </w:r>
    </w:p>
    <w:p>
      <w:pPr>
        <w:spacing w:after="0" w:line="257" w:lineRule="exact"/>
        <w:rPr>
          <w:sz w:val="20"/>
          <w:szCs w:val="20"/>
          <w:color w:val="auto"/>
        </w:rPr>
      </w:pPr>
    </w:p>
    <w:p>
      <w:pPr>
        <w:ind w:right="40" w:firstLine="702"/>
        <w:spacing w:after="0" w:line="275" w:lineRule="auto"/>
        <w:rPr>
          <w:sz w:val="20"/>
          <w:szCs w:val="20"/>
          <w:color w:val="auto"/>
        </w:rPr>
      </w:pPr>
      <w:r>
        <w:rPr>
          <w:rFonts w:ascii="Arial" w:cs="Arial" w:eastAsia="Arial" w:hAnsi="Arial"/>
          <w:sz w:val="18"/>
          <w:szCs w:val="18"/>
          <w:color w:val="auto"/>
        </w:rPr>
        <w:t>We evaluate all agreements entered into or modified that convey to us the use of property or equipment for a term to determine whether the agreement is or contains a lease. Significant judgment is required when determining whether we obtain the right to direct the use of identified property or equipment. We lease certain property and equipment under noncancelable and cancelable operating and finance leases. Our operating leases primarily relate to railcars, office space, land, vehicles, and storage tanks, and our finance leases primarily relate to tractor trailers, land, storage tanks and vehicles. One of our finance leases is for storage tanks owned by an equity method investee, in which we own a 50% interest. For leases with an initial term of greater than 12 months, we recognize a right-of-use asset and lease liability on the balance sheet. Leases with an initial term of 12 months or less are not recorded on the balance sheet. We have elected the non-lease component separation practical expedient for certain classes of assets where we are the lessee. Our lease agreements have remaining lease terms ranging from one year to approximately 57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25 years that are not recognized as part of our right-of-use assets or lease liabilities as we have determined we are not reasonably certain to exercise the option to renew.</w:t>
      </w:r>
    </w:p>
    <w:p>
      <w:pPr>
        <w:spacing w:after="0" w:line="189" w:lineRule="exact"/>
        <w:rPr>
          <w:sz w:val="20"/>
          <w:szCs w:val="20"/>
          <w:color w:val="auto"/>
        </w:rPr>
      </w:pPr>
    </w:p>
    <w:p>
      <w:pPr>
        <w:ind w:right="40" w:firstLine="702"/>
        <w:spacing w:after="0" w:line="289" w:lineRule="auto"/>
        <w:rPr>
          <w:sz w:val="20"/>
          <w:szCs w:val="20"/>
          <w:color w:val="auto"/>
        </w:rPr>
      </w:pPr>
      <w:r>
        <w:rPr>
          <w:rFonts w:ascii="Arial" w:cs="Arial" w:eastAsia="Arial" w:hAnsi="Arial"/>
          <w:sz w:val="18"/>
          <w:szCs w:val="18"/>
          <w:color w:val="auto"/>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spacing w:after="0" w:line="173" w:lineRule="exact"/>
        <w:rPr>
          <w:sz w:val="20"/>
          <w:szCs w:val="20"/>
          <w:color w:val="auto"/>
        </w:rPr>
      </w:pPr>
    </w:p>
    <w:p>
      <w:pPr>
        <w:ind w:right="60" w:firstLine="702"/>
        <w:spacing w:after="0" w:line="266" w:lineRule="auto"/>
        <w:rPr>
          <w:sz w:val="20"/>
          <w:szCs w:val="20"/>
          <w:color w:val="auto"/>
        </w:rPr>
      </w:pPr>
      <w:r>
        <w:rPr>
          <w:rFonts w:ascii="Arial" w:cs="Arial" w:eastAsia="Arial" w:hAnsi="Arial"/>
          <w:sz w:val="19"/>
          <w:szCs w:val="19"/>
          <w:color w:val="auto"/>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sectPr>
          <w:pgSz w:w="11880" w:h="15480" w:orient="portrait"/>
          <w:cols w:equalWidth="0" w:num="1">
            <w:col w:w="10000"/>
          </w:cols>
          <w:pgMar w:left="940" w:top="43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ectPr>
          <w:pgSz w:w="11880" w:h="15480" w:orient="portrait"/>
          <w:cols w:equalWidth="0" w:num="1">
            <w:col w:w="10000"/>
          </w:cols>
          <w:pgMar w:left="940" w:top="431" w:right="940" w:bottom="0" w:gutter="0" w:footer="0" w:header="0"/>
          <w:type w:val="continuous"/>
        </w:sectPr>
      </w:pPr>
    </w:p>
    <w:bookmarkStart w:id="147" w:name="page148"/>
    <w:bookmarkEnd w:id="147"/>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left="1" w:right="380" w:firstLine="702"/>
        <w:spacing w:after="0" w:line="295" w:lineRule="auto"/>
        <w:rPr>
          <w:sz w:val="20"/>
          <w:szCs w:val="20"/>
          <w:color w:val="auto"/>
        </w:rPr>
      </w:pPr>
      <w:r>
        <w:rPr>
          <w:rFonts w:ascii="Arial" w:cs="Arial" w:eastAsia="Arial" w:hAnsi="Arial"/>
          <w:sz w:val="19"/>
          <w:szCs w:val="19"/>
          <w:color w:val="auto"/>
        </w:rPr>
        <w:t>The following table presents components of lease cost, including both amounts recognized in income and amounts capitalized (in millions):</w:t>
      </w:r>
    </w:p>
    <w:p>
      <w:pPr>
        <w:spacing w:after="0" w:line="252"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3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29"/>
        </w:trPr>
        <w:tc>
          <w:tcPr>
            <w:tcW w:w="60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Lease Cost</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2021</w:t>
            </w:r>
          </w:p>
        </w:tc>
      </w:tr>
      <w:tr>
        <w:trPr>
          <w:trHeight w:val="269"/>
        </w:trPr>
        <w:tc>
          <w:tcPr>
            <w:tcW w:w="6080" w:type="dxa"/>
            <w:vAlign w:val="bottom"/>
            <w:gridSpan w:val="3"/>
          </w:tcPr>
          <w:p>
            <w:pPr>
              <w:ind w:left="60"/>
              <w:spacing w:after="0"/>
              <w:rPr>
                <w:sz w:val="20"/>
                <w:szCs w:val="20"/>
                <w:color w:val="auto"/>
              </w:rPr>
            </w:pPr>
            <w:r>
              <w:rPr>
                <w:rFonts w:ascii="Arial" w:cs="Arial" w:eastAsia="Arial" w:hAnsi="Arial"/>
                <w:sz w:val="19"/>
                <w:szCs w:val="19"/>
                <w:color w:val="auto"/>
              </w:rPr>
              <w:t>Operating lease cost</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86</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91</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96</w:t>
            </w:r>
          </w:p>
        </w:tc>
      </w:tr>
      <w:tr>
        <w:trPr>
          <w:trHeight w:val="292"/>
        </w:trPr>
        <w:tc>
          <w:tcPr>
            <w:tcW w:w="6080" w:type="dxa"/>
            <w:vAlign w:val="bottom"/>
            <w:gridSpan w:val="3"/>
          </w:tcPr>
          <w:p>
            <w:pPr>
              <w:ind w:left="60"/>
              <w:spacing w:after="0"/>
              <w:rPr>
                <w:sz w:val="20"/>
                <w:szCs w:val="20"/>
                <w:color w:val="auto"/>
              </w:rPr>
            </w:pPr>
            <w:r>
              <w:rPr>
                <w:rFonts w:ascii="Arial" w:cs="Arial" w:eastAsia="Arial" w:hAnsi="Arial"/>
                <w:sz w:val="19"/>
                <w:szCs w:val="19"/>
                <w:color w:val="auto"/>
              </w:rPr>
              <w:t>Short-term lease cost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18</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96"/>
        </w:trPr>
        <w:tc>
          <w:tcPr>
            <w:tcW w:w="6080" w:type="dxa"/>
            <w:vAlign w:val="bottom"/>
            <w:gridSpan w:val="3"/>
          </w:tcPr>
          <w:p>
            <w:pPr>
              <w:ind w:left="60"/>
              <w:spacing w:after="0"/>
              <w:rPr>
                <w:sz w:val="20"/>
                <w:szCs w:val="20"/>
                <w:color w:val="auto"/>
              </w:rPr>
            </w:pPr>
            <w:r>
              <w:rPr>
                <w:rFonts w:ascii="Arial" w:cs="Arial" w:eastAsia="Arial" w:hAnsi="Arial"/>
                <w:sz w:val="19"/>
                <w:szCs w:val="19"/>
                <w:color w:val="auto"/>
              </w:rPr>
              <w:t xml:space="preserve">Other </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w:t>
            </w: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w:t>
            </w:r>
          </w:p>
        </w:tc>
      </w:tr>
      <w:tr>
        <w:trPr>
          <w:trHeight w:val="253"/>
        </w:trPr>
        <w:tc>
          <w:tcPr>
            <w:tcW w:w="6080" w:type="dxa"/>
            <w:vAlign w:val="bottom"/>
            <w:gridSpan w:val="3"/>
          </w:tcPr>
          <w:p>
            <w:pPr>
              <w:ind w:left="160"/>
              <w:spacing w:after="0"/>
              <w:rPr>
                <w:sz w:val="20"/>
                <w:szCs w:val="20"/>
                <w:color w:val="auto"/>
              </w:rPr>
            </w:pPr>
            <w:r>
              <w:rPr>
                <w:rFonts w:ascii="Arial" w:cs="Arial" w:eastAsia="Arial" w:hAnsi="Arial"/>
                <w:sz w:val="19"/>
                <w:szCs w:val="19"/>
                <w:color w:val="auto"/>
              </w:rPr>
              <w:t>Total lease cost</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109</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124</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129</w:t>
            </w:r>
          </w:p>
        </w:tc>
      </w:tr>
      <w:tr>
        <w:trPr>
          <w:trHeight w:val="20"/>
        </w:trPr>
        <w:tc>
          <w:tcPr>
            <w:tcW w:w="3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30"/>
        </w:trPr>
        <w:tc>
          <w:tcPr>
            <w:tcW w:w="3440" w:type="dxa"/>
            <w:vAlign w:val="bottom"/>
            <w:tcBorders>
              <w:bottom w:val="single" w:sz="8" w:color="auto"/>
            </w:tcBorders>
          </w:tcPr>
          <w:p>
            <w:pPr>
              <w:spacing w:after="0"/>
              <w:rPr>
                <w:sz w:val="11"/>
                <w:szCs w:val="11"/>
                <w:color w:val="auto"/>
              </w:rPr>
            </w:pPr>
          </w:p>
        </w:tc>
        <w:tc>
          <w:tcPr>
            <w:tcW w:w="2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-869315</wp:posOffset>
            </wp:positionV>
            <wp:extent cx="6376670" cy="780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96">
                      <a:extLst>
                        <a:ext uri="{28A0092B-C50C-407E-A947-70E740481C1C}"/>
                      </a:extLst>
                    </a:blip>
                    <a:srcRect/>
                    <a:stretch>
                      <a:fillRect/>
                    </a:stretch>
                  </pic:blipFill>
                  <pic:spPr bwMode="auto">
                    <a:xfrm>
                      <a:off x="0" y="0"/>
                      <a:ext cx="6376670" cy="780415"/>
                    </a:xfrm>
                    <a:prstGeom prst="rect">
                      <a:avLst/>
                    </a:prstGeom>
                    <a:noFill/>
                  </pic:spPr>
                </pic:pic>
              </a:graphicData>
            </a:graphic>
          </wp:anchor>
        </w:drawing>
      </w:r>
    </w:p>
    <w:p>
      <w:pPr>
        <w:spacing w:after="0" w:line="32" w:lineRule="exact"/>
        <w:rPr>
          <w:sz w:val="20"/>
          <w:szCs w:val="20"/>
          <w:color w:val="auto"/>
        </w:rPr>
      </w:pPr>
    </w:p>
    <w:p>
      <w:pPr>
        <w:ind w:left="701" w:hanging="701"/>
        <w:spacing w:after="0"/>
        <w:tabs>
          <w:tab w:leader="none" w:pos="701" w:val="left"/>
        </w:tabs>
        <w:numPr>
          <w:ilvl w:val="0"/>
          <w:numId w:val="95"/>
        </w:numPr>
        <w:rPr>
          <w:rFonts w:ascii="Arial" w:cs="Arial" w:eastAsia="Arial" w:hAnsi="Arial"/>
          <w:sz w:val="25"/>
          <w:szCs w:val="25"/>
          <w:color w:val="auto"/>
          <w:vertAlign w:val="superscript"/>
        </w:rPr>
      </w:pPr>
      <w:r>
        <w:rPr>
          <w:rFonts w:ascii="Arial" w:cs="Arial" w:eastAsia="Arial" w:hAnsi="Arial"/>
          <w:sz w:val="19"/>
          <w:szCs w:val="19"/>
          <w:color w:val="auto"/>
        </w:rPr>
        <w:t>Includes finance lease costs, variable lease costs and sublease income.</w:t>
      </w:r>
    </w:p>
    <w:p>
      <w:pPr>
        <w:spacing w:after="0" w:line="331" w:lineRule="exact"/>
        <w:rPr>
          <w:rFonts w:ascii="Arial" w:cs="Arial" w:eastAsia="Arial" w:hAnsi="Arial"/>
          <w:sz w:val="25"/>
          <w:szCs w:val="25"/>
          <w:color w:val="auto"/>
          <w:vertAlign w:val="superscript"/>
        </w:rPr>
      </w:pPr>
    </w:p>
    <w:p>
      <w:pPr>
        <w:ind w:left="701"/>
        <w:spacing w:after="0"/>
        <w:rPr>
          <w:rFonts w:ascii="Arial" w:cs="Arial" w:eastAsia="Arial" w:hAnsi="Arial"/>
          <w:sz w:val="25"/>
          <w:szCs w:val="25"/>
          <w:color w:val="auto"/>
          <w:vertAlign w:val="superscript"/>
        </w:rPr>
      </w:pPr>
      <w:r>
        <w:rPr>
          <w:rFonts w:ascii="Arial" w:cs="Arial" w:eastAsia="Arial" w:hAnsi="Arial"/>
          <w:sz w:val="19"/>
          <w:szCs w:val="19"/>
          <w:color w:val="auto"/>
        </w:rPr>
        <w:t>The following table presents information related to cash flows arising from lease transactions (in millions):</w:t>
      </w:r>
    </w:p>
    <w:p>
      <w:pPr>
        <w:spacing w:after="0" w:line="337" w:lineRule="exact"/>
        <w:rPr>
          <w:sz w:val="20"/>
          <w:szCs w:val="20"/>
          <w:color w:val="auto"/>
        </w:rPr>
      </w:pPr>
    </w:p>
    <w:tbl>
      <w:tblPr>
        <w:tblLayout w:type="fixed"/>
        <w:tblInd w:w="41"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6"/>
                <w:szCs w:val="16"/>
                <w:b w:val="1"/>
                <w:bCs w:val="1"/>
                <w:color w:val="auto"/>
                <w:w w:val="98"/>
              </w:rPr>
              <w:t>Year Ended December 31,</w:t>
            </w:r>
          </w:p>
        </w:tc>
        <w:tc>
          <w:tcPr>
            <w:tcW w:w="940" w:type="dxa"/>
            <w:vAlign w:val="bottom"/>
            <w:tcBorders>
              <w:bottom w:val="single" w:sz="8" w:color="auto"/>
            </w:tcBorders>
          </w:tcPr>
          <w:p>
            <w:pPr>
              <w:spacing w:after="0"/>
              <w:rPr>
                <w:sz w:val="18"/>
                <w:szCs w:val="18"/>
                <w:color w:val="auto"/>
              </w:rPr>
            </w:pPr>
          </w:p>
        </w:tc>
      </w:tr>
      <w:tr>
        <w:trPr>
          <w:trHeight w:val="229"/>
        </w:trPr>
        <w:tc>
          <w:tcPr>
            <w:tcW w:w="6040" w:type="dxa"/>
            <w:vAlign w:val="bottom"/>
          </w:tcPr>
          <w:p>
            <w:pPr>
              <w:spacing w:after="0"/>
              <w:rPr>
                <w:sz w:val="19"/>
                <w:szCs w:val="19"/>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2021</w:t>
            </w:r>
          </w:p>
        </w:tc>
      </w:tr>
      <w:tr>
        <w:trPr>
          <w:trHeight w:val="269"/>
        </w:trPr>
        <w:tc>
          <w:tcPr>
            <w:tcW w:w="6040" w:type="dxa"/>
            <w:vAlign w:val="bottom"/>
          </w:tcPr>
          <w:p>
            <w:pPr>
              <w:spacing w:after="0"/>
              <w:rPr>
                <w:sz w:val="20"/>
                <w:szCs w:val="20"/>
                <w:color w:val="auto"/>
              </w:rPr>
            </w:pPr>
            <w:r>
              <w:rPr>
                <w:rFonts w:ascii="Arial" w:cs="Arial" w:eastAsia="Arial" w:hAnsi="Arial"/>
                <w:sz w:val="19"/>
                <w:szCs w:val="19"/>
                <w:color w:val="auto"/>
              </w:rPr>
              <w:t>Cash paid for amounts included in the measurement of lease liabilities:</w:t>
            </w: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92"/>
        </w:trPr>
        <w:tc>
          <w:tcPr>
            <w:tcW w:w="6040" w:type="dxa"/>
            <w:vAlign w:val="bottom"/>
          </w:tcPr>
          <w:p>
            <w:pPr>
              <w:ind w:left="120"/>
              <w:spacing w:after="0"/>
              <w:rPr>
                <w:sz w:val="20"/>
                <w:szCs w:val="20"/>
                <w:color w:val="auto"/>
              </w:rPr>
            </w:pPr>
            <w:r>
              <w:rPr>
                <w:rFonts w:ascii="Arial" w:cs="Arial" w:eastAsia="Arial" w:hAnsi="Arial"/>
                <w:sz w:val="19"/>
                <w:szCs w:val="19"/>
                <w:color w:val="auto"/>
              </w:rPr>
              <w:t>Operating cash flows for operating leases</w:t>
            </w:r>
          </w:p>
        </w:tc>
        <w:tc>
          <w:tcPr>
            <w:tcW w:w="880" w:type="dxa"/>
            <w:vAlign w:val="bottom"/>
          </w:tcPr>
          <w:p>
            <w:pPr>
              <w:jc w:val="right"/>
              <w:ind w:right="646"/>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rPr>
              <w:t>81</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92</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91</w:t>
            </w:r>
          </w:p>
        </w:tc>
      </w:tr>
      <w:tr>
        <w:trPr>
          <w:trHeight w:val="292"/>
        </w:trPr>
        <w:tc>
          <w:tcPr>
            <w:tcW w:w="6040" w:type="dxa"/>
            <w:vAlign w:val="bottom"/>
          </w:tcPr>
          <w:p>
            <w:pPr>
              <w:ind w:left="120"/>
              <w:spacing w:after="0"/>
              <w:rPr>
                <w:sz w:val="20"/>
                <w:szCs w:val="20"/>
                <w:color w:val="auto"/>
              </w:rPr>
            </w:pPr>
            <w:r>
              <w:rPr>
                <w:rFonts w:ascii="Arial" w:cs="Arial" w:eastAsia="Arial" w:hAnsi="Arial"/>
                <w:sz w:val="19"/>
                <w:szCs w:val="19"/>
                <w:color w:val="auto"/>
              </w:rPr>
              <w:t>Operating cash flows for finance leases</w:t>
            </w:r>
          </w:p>
        </w:tc>
        <w:tc>
          <w:tcPr>
            <w:tcW w:w="880" w:type="dxa"/>
            <w:vAlign w:val="bottom"/>
          </w:tcPr>
          <w:p>
            <w:pPr>
              <w:jc w:val="right"/>
              <w:ind w:right="646"/>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rPr>
              <w:t>6</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6</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92"/>
        </w:trPr>
        <w:tc>
          <w:tcPr>
            <w:tcW w:w="6040" w:type="dxa"/>
            <w:vAlign w:val="bottom"/>
          </w:tcPr>
          <w:p>
            <w:pPr>
              <w:ind w:left="120"/>
              <w:spacing w:after="0"/>
              <w:rPr>
                <w:sz w:val="20"/>
                <w:szCs w:val="20"/>
                <w:color w:val="auto"/>
              </w:rPr>
            </w:pPr>
            <w:r>
              <w:rPr>
                <w:rFonts w:ascii="Arial" w:cs="Arial" w:eastAsia="Arial" w:hAnsi="Arial"/>
                <w:sz w:val="19"/>
                <w:szCs w:val="19"/>
                <w:color w:val="auto"/>
              </w:rPr>
              <w:t>Financing cash flows for finance leases</w:t>
            </w:r>
          </w:p>
        </w:tc>
        <w:tc>
          <w:tcPr>
            <w:tcW w:w="880" w:type="dxa"/>
            <w:vAlign w:val="bottom"/>
          </w:tcPr>
          <w:p>
            <w:pPr>
              <w:jc w:val="right"/>
              <w:ind w:right="646"/>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rPr>
              <w:t>11</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12</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522"/>
        </w:trPr>
        <w:tc>
          <w:tcPr>
            <w:tcW w:w="6040" w:type="dxa"/>
            <w:vAlign w:val="bottom"/>
          </w:tcPr>
          <w:p>
            <w:pPr>
              <w:spacing w:after="0"/>
              <w:rPr>
                <w:sz w:val="20"/>
                <w:szCs w:val="20"/>
                <w:color w:val="auto"/>
              </w:rPr>
            </w:pPr>
            <w:r>
              <w:rPr>
                <w:rFonts w:ascii="Arial" w:cs="Arial" w:eastAsia="Arial" w:hAnsi="Arial"/>
                <w:sz w:val="19"/>
                <w:szCs w:val="19"/>
                <w:color w:val="auto"/>
                <w:w w:val="96"/>
              </w:rPr>
              <w:t>Non-cash change in lease liabilities arising from obtaining new right-of-use</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4"/>
        </w:trPr>
        <w:tc>
          <w:tcPr>
            <w:tcW w:w="6040" w:type="dxa"/>
            <w:vAlign w:val="bottom"/>
          </w:tcPr>
          <w:p>
            <w:pPr>
              <w:spacing w:after="0"/>
              <w:rPr>
                <w:sz w:val="20"/>
                <w:szCs w:val="20"/>
                <w:color w:val="auto"/>
              </w:rPr>
            </w:pPr>
            <w:r>
              <w:rPr>
                <w:rFonts w:ascii="Arial" w:cs="Arial" w:eastAsia="Arial" w:hAnsi="Arial"/>
                <w:sz w:val="19"/>
                <w:szCs w:val="19"/>
                <w:color w:val="auto"/>
              </w:rPr>
              <w:t>assets or modifications:</w:t>
            </w: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92"/>
        </w:trPr>
        <w:tc>
          <w:tcPr>
            <w:tcW w:w="6040" w:type="dxa"/>
            <w:vAlign w:val="bottom"/>
          </w:tcPr>
          <w:p>
            <w:pPr>
              <w:ind w:left="120"/>
              <w:spacing w:after="0"/>
              <w:rPr>
                <w:sz w:val="20"/>
                <w:szCs w:val="20"/>
                <w:color w:val="auto"/>
              </w:rPr>
            </w:pPr>
            <w:r>
              <w:rPr>
                <w:rFonts w:ascii="Arial" w:cs="Arial" w:eastAsia="Arial" w:hAnsi="Arial"/>
                <w:sz w:val="19"/>
                <w:szCs w:val="19"/>
                <w:color w:val="auto"/>
              </w:rPr>
              <w:t>Operating leases</w:t>
            </w:r>
          </w:p>
        </w:tc>
        <w:tc>
          <w:tcPr>
            <w:tcW w:w="880" w:type="dxa"/>
            <w:vAlign w:val="bottom"/>
          </w:tcPr>
          <w:p>
            <w:pPr>
              <w:jc w:val="right"/>
              <w:ind w:right="646"/>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rPr>
              <w:t>32</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43</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94</w:t>
            </w:r>
          </w:p>
        </w:tc>
      </w:tr>
      <w:tr>
        <w:trPr>
          <w:trHeight w:val="292"/>
        </w:trPr>
        <w:tc>
          <w:tcPr>
            <w:tcW w:w="6040" w:type="dxa"/>
            <w:vAlign w:val="bottom"/>
          </w:tcPr>
          <w:p>
            <w:pPr>
              <w:ind w:left="120"/>
              <w:spacing w:after="0"/>
              <w:rPr>
                <w:sz w:val="20"/>
                <w:szCs w:val="20"/>
                <w:color w:val="auto"/>
              </w:rPr>
            </w:pPr>
            <w:r>
              <w:rPr>
                <w:rFonts w:ascii="Arial" w:cs="Arial" w:eastAsia="Arial" w:hAnsi="Arial"/>
                <w:sz w:val="19"/>
                <w:szCs w:val="19"/>
                <w:color w:val="auto"/>
              </w:rPr>
              <w:t>Finance leases</w:t>
            </w:r>
          </w:p>
        </w:tc>
        <w:tc>
          <w:tcPr>
            <w:tcW w:w="880" w:type="dxa"/>
            <w:vAlign w:val="bottom"/>
          </w:tcPr>
          <w:p>
            <w:pPr>
              <w:jc w:val="right"/>
              <w:ind w:right="646"/>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rPr>
              <w:t>27</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-1610360</wp:posOffset>
            </wp:positionV>
            <wp:extent cx="6386195" cy="16319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97">
                      <a:extLst>
                        <a:ext uri="{28A0092B-C50C-407E-A947-70E740481C1C}"/>
                      </a:extLst>
                    </a:blip>
                    <a:srcRect/>
                    <a:stretch>
                      <a:fillRect/>
                    </a:stretch>
                  </pic:blipFill>
                  <pic:spPr bwMode="auto">
                    <a:xfrm>
                      <a:off x="0" y="0"/>
                      <a:ext cx="6386195" cy="1631950"/>
                    </a:xfrm>
                    <a:prstGeom prst="rect">
                      <a:avLst/>
                    </a:prstGeom>
                    <a:noFill/>
                  </pic:spPr>
                </pic:pic>
              </a:graphicData>
            </a:graphic>
          </wp:anchor>
        </w:drawing>
      </w:r>
    </w:p>
    <w:p>
      <w:pPr>
        <w:spacing w:after="0" w:line="264" w:lineRule="exact"/>
        <w:rPr>
          <w:sz w:val="20"/>
          <w:szCs w:val="20"/>
          <w:color w:val="auto"/>
        </w:rPr>
      </w:pPr>
    </w:p>
    <w:p>
      <w:pPr>
        <w:ind w:left="701"/>
        <w:spacing w:after="0"/>
        <w:rPr>
          <w:sz w:val="20"/>
          <w:szCs w:val="20"/>
          <w:color w:val="auto"/>
        </w:rPr>
      </w:pPr>
      <w:r>
        <w:rPr>
          <w:rFonts w:ascii="Arial" w:cs="Arial" w:eastAsia="Arial" w:hAnsi="Arial"/>
          <w:sz w:val="18"/>
          <w:szCs w:val="18"/>
          <w:color w:val="auto"/>
        </w:rPr>
        <w:t>Information related to the weighted-average remaining lease term and discount rate is presented in the table below:</w:t>
      </w:r>
    </w:p>
    <w:p>
      <w:pPr>
        <w:spacing w:after="0" w:line="348" w:lineRule="exact"/>
        <w:rPr>
          <w:sz w:val="20"/>
          <w:szCs w:val="20"/>
          <w:color w:val="auto"/>
        </w:rPr>
      </w:pPr>
    </w:p>
    <w:tbl>
      <w:tblPr>
        <w:tblLayout w:type="fixed"/>
        <w:tblInd w:w="41" w:type="dxa"/>
        <w:tblCellMar>
          <w:top w:w="0" w:type="dxa"/>
          <w:left w:w="0" w:type="dxa"/>
          <w:bottom w:w="0" w:type="dxa"/>
          <w:right w:w="0" w:type="dxa"/>
        </w:tblCellMar>
      </w:tblPr>
      <w:tr>
        <w:trPr>
          <w:trHeight w:val="212"/>
        </w:trPr>
        <w:tc>
          <w:tcPr>
            <w:tcW w:w="7360" w:type="dxa"/>
            <w:vAlign w:val="bottom"/>
          </w:tcPr>
          <w:p>
            <w:pPr>
              <w:spacing w:after="0"/>
              <w:rPr>
                <w:sz w:val="18"/>
                <w:szCs w:val="18"/>
                <w:color w:val="auto"/>
              </w:rPr>
            </w:pPr>
          </w:p>
        </w:tc>
        <w:tc>
          <w:tcPr>
            <w:tcW w:w="178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w w:val="88"/>
              </w:rPr>
              <w:t>December 31,</w:t>
            </w:r>
          </w:p>
        </w:tc>
        <w:tc>
          <w:tcPr>
            <w:tcW w:w="820" w:type="dxa"/>
            <w:vAlign w:val="bottom"/>
            <w:tcBorders>
              <w:bottom w:val="single" w:sz="8" w:color="auto"/>
            </w:tcBorders>
          </w:tcPr>
          <w:p>
            <w:pPr>
              <w:spacing w:after="0"/>
              <w:rPr>
                <w:sz w:val="18"/>
                <w:szCs w:val="18"/>
                <w:color w:val="auto"/>
              </w:rPr>
            </w:pPr>
          </w:p>
        </w:tc>
      </w:tr>
      <w:tr>
        <w:trPr>
          <w:trHeight w:val="229"/>
        </w:trPr>
        <w:tc>
          <w:tcPr>
            <w:tcW w:w="7360" w:type="dxa"/>
            <w:vAlign w:val="bottom"/>
          </w:tcPr>
          <w:p>
            <w:pPr>
              <w:spacing w:after="0"/>
              <w:rPr>
                <w:sz w:val="19"/>
                <w:szCs w:val="19"/>
                <w:color w:val="auto"/>
              </w:rPr>
            </w:pPr>
          </w:p>
        </w:tc>
        <w:tc>
          <w:tcPr>
            <w:tcW w:w="128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w w:val="89"/>
              </w:rPr>
              <w:t>2022</w:t>
            </w:r>
          </w:p>
        </w:tc>
      </w:tr>
      <w:tr>
        <w:trPr>
          <w:trHeight w:val="269"/>
        </w:trPr>
        <w:tc>
          <w:tcPr>
            <w:tcW w:w="7360" w:type="dxa"/>
            <w:vAlign w:val="bottom"/>
          </w:tcPr>
          <w:p>
            <w:pPr>
              <w:spacing w:after="0"/>
              <w:rPr>
                <w:sz w:val="20"/>
                <w:szCs w:val="20"/>
                <w:color w:val="auto"/>
              </w:rPr>
            </w:pPr>
            <w:r>
              <w:rPr>
                <w:rFonts w:ascii="Arial" w:cs="Arial" w:eastAsia="Arial" w:hAnsi="Arial"/>
                <w:sz w:val="19"/>
                <w:szCs w:val="19"/>
                <w:color w:val="auto"/>
              </w:rPr>
              <w:t>Weighted-average remaining lease term (in years):</w:t>
            </w:r>
          </w:p>
        </w:tc>
        <w:tc>
          <w:tcPr>
            <w:tcW w:w="1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92"/>
        </w:trPr>
        <w:tc>
          <w:tcPr>
            <w:tcW w:w="7360" w:type="dxa"/>
            <w:vAlign w:val="bottom"/>
          </w:tcPr>
          <w:p>
            <w:pPr>
              <w:ind w:left="120"/>
              <w:spacing w:after="0"/>
              <w:rPr>
                <w:sz w:val="20"/>
                <w:szCs w:val="20"/>
                <w:color w:val="auto"/>
              </w:rPr>
            </w:pPr>
            <w:r>
              <w:rPr>
                <w:rFonts w:ascii="Arial" w:cs="Arial" w:eastAsia="Arial" w:hAnsi="Arial"/>
                <w:sz w:val="19"/>
                <w:szCs w:val="19"/>
                <w:color w:val="auto"/>
              </w:rPr>
              <w:t>Operating leases</w:t>
            </w:r>
          </w:p>
        </w:tc>
        <w:tc>
          <w:tcPr>
            <w:tcW w:w="1280" w:type="dxa"/>
            <w:vAlign w:val="bottom"/>
          </w:tcPr>
          <w:p>
            <w:pPr>
              <w:jc w:val="right"/>
              <w:spacing w:after="0"/>
              <w:rPr>
                <w:sz w:val="20"/>
                <w:szCs w:val="20"/>
                <w:color w:val="auto"/>
              </w:rPr>
            </w:pPr>
            <w:r>
              <w:rPr>
                <w:rFonts w:ascii="Arial" w:cs="Arial" w:eastAsia="Arial" w:hAnsi="Arial"/>
                <w:sz w:val="19"/>
                <w:szCs w:val="19"/>
                <w:color w:val="auto"/>
              </w:rPr>
              <w:t>13</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92"/>
        </w:trPr>
        <w:tc>
          <w:tcPr>
            <w:tcW w:w="7360" w:type="dxa"/>
            <w:vAlign w:val="bottom"/>
          </w:tcPr>
          <w:p>
            <w:pPr>
              <w:ind w:left="120"/>
              <w:spacing w:after="0"/>
              <w:rPr>
                <w:sz w:val="20"/>
                <w:szCs w:val="20"/>
                <w:color w:val="auto"/>
              </w:rPr>
            </w:pPr>
            <w:r>
              <w:rPr>
                <w:rFonts w:ascii="Arial" w:cs="Arial" w:eastAsia="Arial" w:hAnsi="Arial"/>
                <w:sz w:val="19"/>
                <w:szCs w:val="19"/>
                <w:color w:val="auto"/>
              </w:rPr>
              <w:t>Finance leases</w:t>
            </w:r>
          </w:p>
        </w:tc>
        <w:tc>
          <w:tcPr>
            <w:tcW w:w="1280" w:type="dxa"/>
            <w:vAlign w:val="bottom"/>
          </w:tcPr>
          <w:p>
            <w:pPr>
              <w:jc w:val="right"/>
              <w:spacing w:after="0"/>
              <w:rPr>
                <w:sz w:val="20"/>
                <w:szCs w:val="20"/>
                <w:color w:val="auto"/>
              </w:rPr>
            </w:pPr>
            <w:r>
              <w:rPr>
                <w:rFonts w:ascii="Arial" w:cs="Arial" w:eastAsia="Arial" w:hAnsi="Arial"/>
                <w:sz w:val="19"/>
                <w:szCs w:val="19"/>
                <w:color w:val="auto"/>
              </w:rPr>
              <w:t>8</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585"/>
        </w:trPr>
        <w:tc>
          <w:tcPr>
            <w:tcW w:w="7360" w:type="dxa"/>
            <w:vAlign w:val="bottom"/>
          </w:tcPr>
          <w:p>
            <w:pPr>
              <w:spacing w:after="0"/>
              <w:rPr>
                <w:sz w:val="20"/>
                <w:szCs w:val="20"/>
                <w:color w:val="auto"/>
              </w:rPr>
            </w:pPr>
            <w:r>
              <w:rPr>
                <w:rFonts w:ascii="Arial" w:cs="Arial" w:eastAsia="Arial" w:hAnsi="Arial"/>
                <w:sz w:val="19"/>
                <w:szCs w:val="19"/>
                <w:color w:val="auto"/>
              </w:rPr>
              <w:t>Weighted-average discount rate:</w:t>
            </w: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2"/>
        </w:trPr>
        <w:tc>
          <w:tcPr>
            <w:tcW w:w="7360" w:type="dxa"/>
            <w:vAlign w:val="bottom"/>
          </w:tcPr>
          <w:p>
            <w:pPr>
              <w:ind w:left="120"/>
              <w:spacing w:after="0"/>
              <w:rPr>
                <w:sz w:val="20"/>
                <w:szCs w:val="20"/>
                <w:color w:val="auto"/>
              </w:rPr>
            </w:pPr>
            <w:r>
              <w:rPr>
                <w:rFonts w:ascii="Arial" w:cs="Arial" w:eastAsia="Arial" w:hAnsi="Arial"/>
                <w:sz w:val="19"/>
                <w:szCs w:val="19"/>
                <w:color w:val="auto"/>
              </w:rPr>
              <w:t>Operating leases</w:t>
            </w:r>
          </w:p>
        </w:tc>
        <w:tc>
          <w:tcPr>
            <w:tcW w:w="1280" w:type="dxa"/>
            <w:vAlign w:val="bottom"/>
          </w:tcPr>
          <w:p>
            <w:pPr>
              <w:jc w:val="right"/>
              <w:spacing w:after="0"/>
              <w:rPr>
                <w:sz w:val="20"/>
                <w:szCs w:val="20"/>
                <w:color w:val="auto"/>
              </w:rPr>
            </w:pPr>
            <w:r>
              <w:rPr>
                <w:rFonts w:ascii="Arial" w:cs="Arial" w:eastAsia="Arial" w:hAnsi="Arial"/>
                <w:sz w:val="19"/>
                <w:szCs w:val="19"/>
                <w:color w:val="auto"/>
              </w:rPr>
              <w:t>4.9 %</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4.3 %</w:t>
            </w:r>
          </w:p>
        </w:tc>
      </w:tr>
      <w:tr>
        <w:trPr>
          <w:trHeight w:val="292"/>
        </w:trPr>
        <w:tc>
          <w:tcPr>
            <w:tcW w:w="7360" w:type="dxa"/>
            <w:vAlign w:val="bottom"/>
          </w:tcPr>
          <w:p>
            <w:pPr>
              <w:ind w:left="120"/>
              <w:spacing w:after="0"/>
              <w:rPr>
                <w:sz w:val="20"/>
                <w:szCs w:val="20"/>
                <w:color w:val="auto"/>
              </w:rPr>
            </w:pPr>
            <w:r>
              <w:rPr>
                <w:rFonts w:ascii="Arial" w:cs="Arial" w:eastAsia="Arial" w:hAnsi="Arial"/>
                <w:sz w:val="19"/>
                <w:szCs w:val="19"/>
                <w:color w:val="auto"/>
              </w:rPr>
              <w:t>Finance leases</w:t>
            </w:r>
          </w:p>
        </w:tc>
        <w:tc>
          <w:tcPr>
            <w:tcW w:w="1280" w:type="dxa"/>
            <w:vAlign w:val="bottom"/>
          </w:tcPr>
          <w:p>
            <w:pPr>
              <w:jc w:val="right"/>
              <w:spacing w:after="0"/>
              <w:rPr>
                <w:sz w:val="20"/>
                <w:szCs w:val="20"/>
                <w:color w:val="auto"/>
              </w:rPr>
            </w:pPr>
            <w:r>
              <w:rPr>
                <w:rFonts w:ascii="Arial" w:cs="Arial" w:eastAsia="Arial" w:hAnsi="Arial"/>
                <w:sz w:val="19"/>
                <w:szCs w:val="19"/>
                <w:color w:val="auto"/>
              </w:rPr>
              <w:t>11.3 %</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12.3 %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-1303655</wp:posOffset>
            </wp:positionV>
            <wp:extent cx="6376670" cy="132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98">
                      <a:extLst>
                        <a:ext uri="{28A0092B-C50C-407E-A947-70E740481C1C}"/>
                      </a:extLst>
                    </a:blip>
                    <a:srcRect/>
                    <a:stretch>
                      <a:fillRect/>
                    </a:stretch>
                  </pic:blipFill>
                  <pic:spPr bwMode="auto">
                    <a:xfrm>
                      <a:off x="0" y="0"/>
                      <a:ext cx="6376670" cy="1325245"/>
                    </a:xfrm>
                    <a:prstGeom prst="rect">
                      <a:avLst/>
                    </a:prstGeom>
                    <a:noFill/>
                  </pic:spPr>
                </pic:pic>
              </a:graphicData>
            </a:graphic>
          </wp:anchor>
        </w:drawing>
      </w:r>
    </w:p>
    <w:p>
      <w:pPr>
        <w:sectPr>
          <w:pgSz w:w="11880" w:h="15480" w:orient="portrait"/>
          <w:cols w:equalWidth="0" w:num="1">
            <w:col w:w="10001"/>
          </w:cols>
          <w:pgMar w:left="939" w:top="43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ectPr>
          <w:pgSz w:w="11880" w:h="15480" w:orient="portrait"/>
          <w:cols w:equalWidth="0" w:num="1">
            <w:col w:w="10001"/>
          </w:cols>
          <w:pgMar w:left="939" w:top="432" w:right="940" w:bottom="0" w:gutter="0" w:footer="0" w:header="0"/>
          <w:type w:val="continuous"/>
        </w:sectPr>
      </w:pPr>
    </w:p>
    <w:bookmarkStart w:id="148" w:name="page149"/>
    <w:bookmarkEnd w:id="148"/>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left="1" w:right="660" w:firstLine="702"/>
        <w:spacing w:after="0" w:line="295" w:lineRule="auto"/>
        <w:rPr>
          <w:sz w:val="20"/>
          <w:szCs w:val="20"/>
          <w:color w:val="auto"/>
        </w:rPr>
      </w:pPr>
      <w:r>
        <w:rPr>
          <w:rFonts w:ascii="Arial" w:cs="Arial" w:eastAsia="Arial" w:hAnsi="Arial"/>
          <w:sz w:val="19"/>
          <w:szCs w:val="19"/>
          <w:color w:val="auto"/>
        </w:rPr>
        <w:t>The following table presents the amount and location of our operating and finance lease right-of-use assets and liabilities on our Consolidated Balance Sheets (in millions):</w:t>
      </w:r>
    </w:p>
    <w:p>
      <w:pPr>
        <w:spacing w:after="0" w:line="252"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Leases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Balance Sheet Location</w:t>
            </w:r>
          </w:p>
        </w:tc>
        <w:tc>
          <w:tcPr>
            <w:tcW w:w="320" w:type="dxa"/>
            <w:vAlign w:val="bottom"/>
          </w:tcPr>
          <w:p>
            <w:pPr>
              <w:spacing w:after="0"/>
              <w:rPr>
                <w:sz w:val="19"/>
                <w:szCs w:val="19"/>
                <w:color w:val="auto"/>
              </w:rPr>
            </w:pPr>
          </w:p>
        </w:tc>
        <w:tc>
          <w:tcPr>
            <w:tcW w:w="960" w:type="dxa"/>
            <w:vAlign w:val="bottom"/>
          </w:tcPr>
          <w:p>
            <w:pPr>
              <w:jc w:val="right"/>
              <w:ind w:right="385"/>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384"/>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269"/>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9"/>
                <w:szCs w:val="19"/>
                <w:b w:val="1"/>
                <w:bCs w:val="1"/>
                <w:color w:val="auto"/>
              </w:rPr>
              <w:t>Assets</w:t>
            </w:r>
          </w:p>
        </w:tc>
        <w:tc>
          <w:tcPr>
            <w:tcW w:w="8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388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3200" w:type="dxa"/>
            <w:vAlign w:val="bottom"/>
          </w:tcPr>
          <w:p>
            <w:pPr>
              <w:ind w:left="160"/>
              <w:spacing w:after="0"/>
              <w:rPr>
                <w:sz w:val="20"/>
                <w:szCs w:val="20"/>
                <w:color w:val="auto"/>
              </w:rPr>
            </w:pPr>
            <w:r>
              <w:rPr>
                <w:rFonts w:ascii="Arial" w:cs="Arial" w:eastAsia="Arial" w:hAnsi="Arial"/>
                <w:sz w:val="19"/>
                <w:szCs w:val="19"/>
                <w:color w:val="auto"/>
              </w:rPr>
              <w:t>Operating lease right-of-use assets</w:t>
            </w:r>
          </w:p>
        </w:tc>
        <w:tc>
          <w:tcPr>
            <w:tcW w:w="80" w:type="dxa"/>
            <w:vAlign w:val="bottom"/>
          </w:tcPr>
          <w:p>
            <w:pPr>
              <w:spacing w:after="0"/>
              <w:rPr>
                <w:sz w:val="24"/>
                <w:szCs w:val="24"/>
                <w:color w:val="auto"/>
              </w:rPr>
            </w:pPr>
          </w:p>
        </w:tc>
        <w:tc>
          <w:tcPr>
            <w:tcW w:w="4120" w:type="dxa"/>
            <w:vAlign w:val="bottom"/>
            <w:gridSpan w:val="3"/>
          </w:tcPr>
          <w:p>
            <w:pPr>
              <w:jc w:val="center"/>
              <w:ind w:right="80"/>
              <w:spacing w:after="0"/>
              <w:rPr>
                <w:sz w:val="20"/>
                <w:szCs w:val="20"/>
                <w:color w:val="auto"/>
              </w:rPr>
            </w:pPr>
            <w:r>
              <w:rPr>
                <w:rFonts w:ascii="Arial" w:cs="Arial" w:eastAsia="Arial" w:hAnsi="Arial"/>
                <w:sz w:val="19"/>
                <w:szCs w:val="19"/>
                <w:color w:val="auto"/>
                <w:w w:val="92"/>
              </w:rPr>
              <w:t>Long-term operating lease right-of-use assets, net</w:t>
            </w: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313</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349</w:t>
            </w:r>
          </w:p>
        </w:tc>
        <w:tc>
          <w:tcPr>
            <w:tcW w:w="0" w:type="dxa"/>
            <w:vAlign w:val="bottom"/>
          </w:tcPr>
          <w:p>
            <w:pPr>
              <w:spacing w:after="0"/>
              <w:rPr>
                <w:sz w:val="1"/>
                <w:szCs w:val="1"/>
                <w:color w:val="auto"/>
              </w:rPr>
            </w:pPr>
          </w:p>
        </w:tc>
      </w:tr>
      <w:tr>
        <w:trPr>
          <w:trHeight w:val="624"/>
        </w:trPr>
        <w:tc>
          <w:tcPr>
            <w:tcW w:w="3200" w:type="dxa"/>
            <w:vAlign w:val="bottom"/>
          </w:tcPr>
          <w:p>
            <w:pPr>
              <w:ind w:left="160"/>
              <w:spacing w:after="0"/>
              <w:rPr>
                <w:sz w:val="20"/>
                <w:szCs w:val="20"/>
                <w:color w:val="auto"/>
              </w:rPr>
            </w:pPr>
            <w:r>
              <w:rPr>
                <w:rFonts w:ascii="Arial" w:cs="Arial" w:eastAsia="Arial" w:hAnsi="Arial"/>
                <w:sz w:val="19"/>
                <w:szCs w:val="19"/>
                <w:color w:val="auto"/>
                <w:w w:val="98"/>
              </w:rPr>
              <w:t xml:space="preserve">Finance lease right-of-use assets </w:t>
            </w:r>
            <w:r>
              <w:rPr>
                <w:rFonts w:ascii="Arial" w:cs="Arial" w:eastAsia="Arial" w:hAnsi="Arial"/>
                <w:sz w:val="25"/>
                <w:szCs w:val="25"/>
                <w:color w:val="auto"/>
                <w:w w:val="98"/>
                <w:vertAlign w:val="superscript"/>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gridSpan w:val="2"/>
          </w:tcPr>
          <w:p>
            <w:pPr>
              <w:jc w:val="center"/>
              <w:ind w:right="240"/>
              <w:spacing w:after="0"/>
              <w:rPr>
                <w:sz w:val="20"/>
                <w:szCs w:val="20"/>
                <w:color w:val="auto"/>
              </w:rPr>
            </w:pPr>
            <w:r>
              <w:rPr>
                <w:rFonts w:ascii="Arial" w:cs="Arial" w:eastAsia="Arial" w:hAnsi="Arial"/>
                <w:sz w:val="19"/>
                <w:szCs w:val="19"/>
                <w:color w:val="auto"/>
                <w:w w:val="92"/>
              </w:rPr>
              <w:t>Property and equipment</w:t>
            </w: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144</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124</w:t>
            </w:r>
          </w:p>
        </w:tc>
        <w:tc>
          <w:tcPr>
            <w:tcW w:w="0" w:type="dxa"/>
            <w:vAlign w:val="bottom"/>
          </w:tcPr>
          <w:p>
            <w:pPr>
              <w:spacing w:after="0"/>
              <w:rPr>
                <w:sz w:val="1"/>
                <w:szCs w:val="1"/>
                <w:color w:val="auto"/>
              </w:rPr>
            </w:pPr>
          </w:p>
        </w:tc>
      </w:tr>
      <w:tr>
        <w:trPr>
          <w:trHeight w:val="257"/>
        </w:trPr>
        <w:tc>
          <w:tcPr>
            <w:tcW w:w="3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60" w:type="dxa"/>
            <w:vAlign w:val="bottom"/>
            <w:gridSpan w:val="2"/>
          </w:tcPr>
          <w:p>
            <w:pPr>
              <w:jc w:val="center"/>
              <w:ind w:right="240"/>
              <w:spacing w:after="0"/>
              <w:rPr>
                <w:sz w:val="20"/>
                <w:szCs w:val="20"/>
                <w:color w:val="auto"/>
              </w:rPr>
            </w:pPr>
            <w:r>
              <w:rPr>
                <w:rFonts w:ascii="Arial" w:cs="Arial" w:eastAsia="Arial" w:hAnsi="Arial"/>
                <w:sz w:val="19"/>
                <w:szCs w:val="19"/>
                <w:color w:val="auto"/>
                <w:w w:val="93"/>
              </w:rPr>
              <w:t>Accumulated depreciation</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w:t>
            </w:r>
          </w:p>
        </w:tc>
        <w:tc>
          <w:tcPr>
            <w:tcW w:w="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w:t>
            </w:r>
          </w:p>
        </w:tc>
        <w:tc>
          <w:tcPr>
            <w:tcW w:w="0" w:type="dxa"/>
            <w:vAlign w:val="bottom"/>
          </w:tcPr>
          <w:p>
            <w:pPr>
              <w:spacing w:after="0"/>
              <w:rPr>
                <w:sz w:val="1"/>
                <w:szCs w:val="1"/>
                <w:color w:val="auto"/>
              </w:rPr>
            </w:pPr>
          </w:p>
        </w:tc>
      </w:tr>
      <w:tr>
        <w:trPr>
          <w:trHeight w:val="269"/>
        </w:trPr>
        <w:tc>
          <w:tcPr>
            <w:tcW w:w="3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960" w:type="dxa"/>
            <w:vAlign w:val="bottom"/>
            <w:gridSpan w:val="2"/>
          </w:tcPr>
          <w:p>
            <w:pPr>
              <w:jc w:val="center"/>
              <w:ind w:right="240"/>
              <w:spacing w:after="0"/>
              <w:rPr>
                <w:sz w:val="20"/>
                <w:szCs w:val="20"/>
                <w:color w:val="auto"/>
              </w:rPr>
            </w:pPr>
            <w:r>
              <w:rPr>
                <w:rFonts w:ascii="Arial" w:cs="Arial" w:eastAsia="Arial" w:hAnsi="Arial"/>
                <w:sz w:val="19"/>
                <w:szCs w:val="19"/>
                <w:color w:val="auto"/>
                <w:w w:val="91"/>
              </w:rPr>
              <w:t>Property and equipment, net</w:t>
            </w: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98</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83</w:t>
            </w:r>
          </w:p>
        </w:tc>
        <w:tc>
          <w:tcPr>
            <w:tcW w:w="0" w:type="dxa"/>
            <w:vAlign w:val="bottom"/>
          </w:tcPr>
          <w:p>
            <w:pPr>
              <w:spacing w:after="0"/>
              <w:rPr>
                <w:sz w:val="1"/>
                <w:szCs w:val="1"/>
                <w:color w:val="auto"/>
              </w:rPr>
            </w:pPr>
          </w:p>
        </w:tc>
      </w:tr>
      <w:tr>
        <w:trPr>
          <w:trHeight w:val="296"/>
        </w:trPr>
        <w:tc>
          <w:tcPr>
            <w:tcW w:w="320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Total lease right-of-use assets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2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411</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432</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Liabilities</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200" w:type="dxa"/>
            <w:vAlign w:val="bottom"/>
          </w:tcPr>
          <w:p>
            <w:pPr>
              <w:ind w:left="160"/>
              <w:spacing w:after="0"/>
              <w:rPr>
                <w:sz w:val="20"/>
                <w:szCs w:val="20"/>
                <w:color w:val="auto"/>
              </w:rPr>
            </w:pPr>
            <w:r>
              <w:rPr>
                <w:rFonts w:ascii="Arial" w:cs="Arial" w:eastAsia="Arial" w:hAnsi="Arial"/>
                <w:sz w:val="19"/>
                <w:szCs w:val="19"/>
                <w:color w:val="auto"/>
              </w:rPr>
              <w:t>Operating lease liabilities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200" w:type="dxa"/>
            <w:vAlign w:val="bottom"/>
          </w:tcPr>
          <w:p>
            <w:pPr>
              <w:ind w:left="280"/>
              <w:spacing w:after="0"/>
              <w:rPr>
                <w:sz w:val="20"/>
                <w:szCs w:val="20"/>
                <w:color w:val="auto"/>
              </w:rPr>
            </w:pPr>
            <w:r>
              <w:rPr>
                <w:rFonts w:ascii="Arial" w:cs="Arial" w:eastAsia="Arial" w:hAnsi="Arial"/>
                <w:sz w:val="19"/>
                <w:szCs w:val="19"/>
                <w:color w:val="auto"/>
              </w:rPr>
              <w:t>Current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gridSpan w:val="2"/>
          </w:tcPr>
          <w:p>
            <w:pPr>
              <w:jc w:val="center"/>
              <w:ind w:right="240"/>
              <w:spacing w:after="0"/>
              <w:rPr>
                <w:sz w:val="20"/>
                <w:szCs w:val="20"/>
                <w:color w:val="auto"/>
              </w:rPr>
            </w:pPr>
            <w:r>
              <w:rPr>
                <w:rFonts w:ascii="Arial" w:cs="Arial" w:eastAsia="Arial" w:hAnsi="Arial"/>
                <w:sz w:val="19"/>
                <w:szCs w:val="19"/>
                <w:color w:val="auto"/>
                <w:w w:val="95"/>
              </w:rPr>
              <w:t>Other current liabilities</w:t>
            </w: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69</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71</w:t>
            </w:r>
          </w:p>
        </w:tc>
        <w:tc>
          <w:tcPr>
            <w:tcW w:w="0" w:type="dxa"/>
            <w:vAlign w:val="bottom"/>
          </w:tcPr>
          <w:p>
            <w:pPr>
              <w:spacing w:after="0"/>
              <w:rPr>
                <w:sz w:val="1"/>
                <w:szCs w:val="1"/>
                <w:color w:val="auto"/>
              </w:rPr>
            </w:pPr>
          </w:p>
        </w:tc>
      </w:tr>
      <w:tr>
        <w:trPr>
          <w:trHeight w:val="295"/>
        </w:trPr>
        <w:tc>
          <w:tcPr>
            <w:tcW w:w="3200" w:type="dxa"/>
            <w:vAlign w:val="bottom"/>
          </w:tcPr>
          <w:p>
            <w:pPr>
              <w:ind w:left="280"/>
              <w:spacing w:after="0"/>
              <w:rPr>
                <w:sz w:val="20"/>
                <w:szCs w:val="20"/>
                <w:color w:val="auto"/>
              </w:rPr>
            </w:pPr>
            <w:r>
              <w:rPr>
                <w:rFonts w:ascii="Arial" w:cs="Arial" w:eastAsia="Arial" w:hAnsi="Arial"/>
                <w:sz w:val="19"/>
                <w:szCs w:val="19"/>
                <w:color w:val="auto"/>
              </w:rPr>
              <w:t>Noncurrent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gridSpan w:val="2"/>
          </w:tcPr>
          <w:p>
            <w:pPr>
              <w:jc w:val="center"/>
              <w:ind w:right="240"/>
              <w:spacing w:after="0"/>
              <w:rPr>
                <w:sz w:val="20"/>
                <w:szCs w:val="20"/>
                <w:color w:val="auto"/>
              </w:rPr>
            </w:pPr>
            <w:r>
              <w:rPr>
                <w:rFonts w:ascii="Arial" w:cs="Arial" w:eastAsia="Arial" w:hAnsi="Arial"/>
                <w:sz w:val="19"/>
                <w:szCs w:val="19"/>
                <w:color w:val="auto"/>
                <w:w w:val="95"/>
              </w:rPr>
              <w:t>Long-term operating lease liabilities</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274</w:t>
            </w:r>
          </w:p>
        </w:tc>
        <w:tc>
          <w:tcPr>
            <w:tcW w:w="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308</w:t>
            </w:r>
          </w:p>
        </w:tc>
        <w:tc>
          <w:tcPr>
            <w:tcW w:w="0" w:type="dxa"/>
            <w:vAlign w:val="bottom"/>
          </w:tcPr>
          <w:p>
            <w:pPr>
              <w:spacing w:after="0"/>
              <w:rPr>
                <w:sz w:val="1"/>
                <w:szCs w:val="1"/>
                <w:color w:val="auto"/>
              </w:rPr>
            </w:pPr>
          </w:p>
        </w:tc>
      </w:tr>
      <w:tr>
        <w:trPr>
          <w:trHeight w:val="270"/>
        </w:trPr>
        <w:tc>
          <w:tcPr>
            <w:tcW w:w="3200" w:type="dxa"/>
            <w:vAlign w:val="bottom"/>
          </w:tcPr>
          <w:p>
            <w:pPr>
              <w:ind w:left="160"/>
              <w:spacing w:after="0"/>
              <w:rPr>
                <w:sz w:val="20"/>
                <w:szCs w:val="20"/>
                <w:color w:val="auto"/>
              </w:rPr>
            </w:pPr>
            <w:r>
              <w:rPr>
                <w:rFonts w:ascii="Arial" w:cs="Arial" w:eastAsia="Arial" w:hAnsi="Arial"/>
                <w:sz w:val="19"/>
                <w:szCs w:val="19"/>
                <w:color w:val="auto"/>
              </w:rPr>
              <w:t>Total operating lease liabilities</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343</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379</w:t>
            </w:r>
          </w:p>
        </w:tc>
        <w:tc>
          <w:tcPr>
            <w:tcW w:w="0" w:type="dxa"/>
            <w:vAlign w:val="bottom"/>
          </w:tcPr>
          <w:p>
            <w:pPr>
              <w:spacing w:after="0"/>
              <w:rPr>
                <w:sz w:val="1"/>
                <w:szCs w:val="1"/>
                <w:color w:val="auto"/>
              </w:rPr>
            </w:pPr>
          </w:p>
        </w:tc>
      </w:tr>
      <w:tr>
        <w:trPr>
          <w:trHeight w:val="624"/>
        </w:trPr>
        <w:tc>
          <w:tcPr>
            <w:tcW w:w="3200" w:type="dxa"/>
            <w:vAlign w:val="bottom"/>
          </w:tcPr>
          <w:p>
            <w:pPr>
              <w:ind w:left="160"/>
              <w:spacing w:after="0"/>
              <w:rPr>
                <w:sz w:val="20"/>
                <w:szCs w:val="20"/>
                <w:color w:val="auto"/>
              </w:rPr>
            </w:pPr>
            <w:r>
              <w:rPr>
                <w:rFonts w:ascii="Arial" w:cs="Arial" w:eastAsia="Arial" w:hAnsi="Arial"/>
                <w:sz w:val="19"/>
                <w:szCs w:val="19"/>
                <w:color w:val="auto"/>
              </w:rPr>
              <w:t xml:space="preserve">Finance lease liabilities </w:t>
            </w:r>
            <w:r>
              <w:rPr>
                <w:rFonts w:ascii="Arial" w:cs="Arial" w:eastAsia="Arial" w:hAnsi="Arial"/>
                <w:sz w:val="25"/>
                <w:szCs w:val="25"/>
                <w:color w:val="auto"/>
                <w:vertAlign w:val="superscript"/>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200" w:type="dxa"/>
            <w:vAlign w:val="bottom"/>
          </w:tcPr>
          <w:p>
            <w:pPr>
              <w:ind w:left="280"/>
              <w:spacing w:after="0"/>
              <w:rPr>
                <w:sz w:val="20"/>
                <w:szCs w:val="20"/>
                <w:color w:val="auto"/>
              </w:rPr>
            </w:pPr>
            <w:r>
              <w:rPr>
                <w:rFonts w:ascii="Arial" w:cs="Arial" w:eastAsia="Arial" w:hAnsi="Arial"/>
                <w:sz w:val="19"/>
                <w:szCs w:val="19"/>
                <w:color w:val="auto"/>
              </w:rPr>
              <w:t>Current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60" w:type="dxa"/>
            <w:vAlign w:val="bottom"/>
            <w:gridSpan w:val="2"/>
          </w:tcPr>
          <w:p>
            <w:pPr>
              <w:jc w:val="center"/>
              <w:ind w:right="240"/>
              <w:spacing w:after="0"/>
              <w:rPr>
                <w:sz w:val="20"/>
                <w:szCs w:val="20"/>
                <w:color w:val="auto"/>
              </w:rPr>
            </w:pPr>
            <w:r>
              <w:rPr>
                <w:rFonts w:ascii="Arial" w:cs="Arial" w:eastAsia="Arial" w:hAnsi="Arial"/>
                <w:sz w:val="19"/>
                <w:szCs w:val="19"/>
                <w:color w:val="auto"/>
                <w:w w:val="93"/>
              </w:rPr>
              <w:t>Short-term debt</w:t>
            </w: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13</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10</w:t>
            </w:r>
          </w:p>
        </w:tc>
        <w:tc>
          <w:tcPr>
            <w:tcW w:w="0" w:type="dxa"/>
            <w:vAlign w:val="bottom"/>
          </w:tcPr>
          <w:p>
            <w:pPr>
              <w:spacing w:after="0"/>
              <w:rPr>
                <w:sz w:val="1"/>
                <w:szCs w:val="1"/>
                <w:color w:val="auto"/>
              </w:rPr>
            </w:pPr>
          </w:p>
        </w:tc>
      </w:tr>
      <w:tr>
        <w:trPr>
          <w:trHeight w:val="295"/>
        </w:trPr>
        <w:tc>
          <w:tcPr>
            <w:tcW w:w="3200" w:type="dxa"/>
            <w:vAlign w:val="bottom"/>
          </w:tcPr>
          <w:p>
            <w:pPr>
              <w:ind w:left="280"/>
              <w:spacing w:after="0"/>
              <w:rPr>
                <w:sz w:val="20"/>
                <w:szCs w:val="20"/>
                <w:color w:val="auto"/>
              </w:rPr>
            </w:pPr>
            <w:r>
              <w:rPr>
                <w:rFonts w:ascii="Arial" w:cs="Arial" w:eastAsia="Arial" w:hAnsi="Arial"/>
                <w:sz w:val="19"/>
                <w:szCs w:val="19"/>
                <w:color w:val="auto"/>
              </w:rPr>
              <w:t>Noncurrent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gridSpan w:val="2"/>
          </w:tcPr>
          <w:p>
            <w:pPr>
              <w:jc w:val="center"/>
              <w:ind w:right="260"/>
              <w:spacing w:after="0"/>
              <w:rPr>
                <w:sz w:val="20"/>
                <w:szCs w:val="20"/>
                <w:color w:val="auto"/>
              </w:rPr>
            </w:pPr>
            <w:r>
              <w:rPr>
                <w:rFonts w:ascii="Arial" w:cs="Arial" w:eastAsia="Arial" w:hAnsi="Arial"/>
                <w:sz w:val="19"/>
                <w:szCs w:val="19"/>
                <w:color w:val="auto"/>
                <w:w w:val="93"/>
              </w:rPr>
              <w:t>Other long-term debt, net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w:t>
            </w:r>
          </w:p>
        </w:tc>
        <w:tc>
          <w:tcPr>
            <w:tcW w:w="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w:t>
            </w:r>
          </w:p>
        </w:tc>
        <w:tc>
          <w:tcPr>
            <w:tcW w:w="0" w:type="dxa"/>
            <w:vAlign w:val="bottom"/>
          </w:tcPr>
          <w:p>
            <w:pPr>
              <w:spacing w:after="0"/>
              <w:rPr>
                <w:sz w:val="1"/>
                <w:szCs w:val="1"/>
                <w:color w:val="auto"/>
              </w:rPr>
            </w:pPr>
          </w:p>
        </w:tc>
      </w:tr>
      <w:tr>
        <w:trPr>
          <w:trHeight w:val="270"/>
        </w:trPr>
        <w:tc>
          <w:tcPr>
            <w:tcW w:w="3200" w:type="dxa"/>
            <w:vAlign w:val="bottom"/>
          </w:tcPr>
          <w:p>
            <w:pPr>
              <w:ind w:left="160"/>
              <w:spacing w:after="0"/>
              <w:rPr>
                <w:sz w:val="20"/>
                <w:szCs w:val="20"/>
                <w:color w:val="auto"/>
              </w:rPr>
            </w:pPr>
            <w:r>
              <w:rPr>
                <w:rFonts w:ascii="Arial" w:cs="Arial" w:eastAsia="Arial" w:hAnsi="Arial"/>
                <w:sz w:val="19"/>
                <w:szCs w:val="19"/>
                <w:color w:val="auto"/>
              </w:rPr>
              <w:t>Total finance lease liabilities</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76</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60</w:t>
            </w:r>
          </w:p>
        </w:tc>
        <w:tc>
          <w:tcPr>
            <w:tcW w:w="0" w:type="dxa"/>
            <w:vAlign w:val="bottom"/>
          </w:tcPr>
          <w:p>
            <w:pPr>
              <w:spacing w:after="0"/>
              <w:rPr>
                <w:sz w:val="1"/>
                <w:szCs w:val="1"/>
                <w:color w:val="auto"/>
              </w:rPr>
            </w:pPr>
          </w:p>
        </w:tc>
      </w:tr>
      <w:tr>
        <w:trPr>
          <w:trHeight w:val="295"/>
        </w:trPr>
        <w:tc>
          <w:tcPr>
            <w:tcW w:w="320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Total lease liabilities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2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419</w:t>
            </w:r>
          </w:p>
        </w:tc>
        <w:tc>
          <w:tcPr>
            <w:tcW w:w="50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439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-4026535</wp:posOffset>
            </wp:positionV>
            <wp:extent cx="6376670" cy="39376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99">
                      <a:extLst>
                        <a:ext uri="{28A0092B-C50C-407E-A947-70E740481C1C}"/>
                      </a:extLst>
                    </a:blip>
                    <a:srcRect/>
                    <a:stretch>
                      <a:fillRect/>
                    </a:stretch>
                  </pic:blipFill>
                  <pic:spPr bwMode="auto">
                    <a:xfrm>
                      <a:off x="0" y="0"/>
                      <a:ext cx="6376670" cy="3937635"/>
                    </a:xfrm>
                    <a:prstGeom prst="rect">
                      <a:avLst/>
                    </a:prstGeom>
                    <a:noFill/>
                  </pic:spPr>
                </pic:pic>
              </a:graphicData>
            </a:graphic>
          </wp:anchor>
        </w:drawing>
      </w:r>
    </w:p>
    <w:p>
      <w:pPr>
        <w:spacing w:after="0" w:line="65" w:lineRule="exact"/>
        <w:rPr>
          <w:sz w:val="20"/>
          <w:szCs w:val="20"/>
          <w:color w:val="auto"/>
        </w:rPr>
      </w:pPr>
    </w:p>
    <w:p>
      <w:pPr>
        <w:ind w:left="701" w:right="120" w:hanging="701"/>
        <w:spacing w:after="0" w:line="239" w:lineRule="auto"/>
        <w:tabs>
          <w:tab w:leader="none" w:pos="701" w:val="left"/>
        </w:tabs>
        <w:numPr>
          <w:ilvl w:val="0"/>
          <w:numId w:val="96"/>
        </w:numPr>
        <w:rPr>
          <w:rFonts w:ascii="Arial" w:cs="Arial" w:eastAsia="Arial" w:hAnsi="Arial"/>
          <w:sz w:val="25"/>
          <w:szCs w:val="25"/>
          <w:color w:val="auto"/>
          <w:vertAlign w:val="superscript"/>
        </w:rPr>
      </w:pPr>
      <w:r>
        <w:rPr>
          <w:rFonts w:ascii="Arial" w:cs="Arial" w:eastAsia="Arial" w:hAnsi="Arial"/>
          <w:sz w:val="19"/>
          <w:szCs w:val="19"/>
          <w:color w:val="auto"/>
        </w:rPr>
        <w:t>Includes right-of-use assets of $28 million and $30 million and lease liabilities of $34 million and $35 million as of December 31, 2023 and 2022, respectively, associated with leased storage tanks owned by an equity method investee, in which we own a 50% interest.</w:t>
      </w:r>
    </w:p>
    <w:p>
      <w:pPr>
        <w:spacing w:after="0" w:line="214" w:lineRule="exact"/>
        <w:rPr>
          <w:sz w:val="20"/>
          <w:szCs w:val="20"/>
          <w:color w:val="auto"/>
        </w:rPr>
      </w:pPr>
    </w:p>
    <w:p>
      <w:pPr>
        <w:ind w:left="1" w:right="40" w:firstLine="702"/>
        <w:spacing w:after="0" w:line="276" w:lineRule="auto"/>
        <w:rPr>
          <w:sz w:val="20"/>
          <w:szCs w:val="20"/>
          <w:color w:val="auto"/>
        </w:rPr>
      </w:pPr>
      <w:r>
        <w:rPr>
          <w:rFonts w:ascii="Arial" w:cs="Arial" w:eastAsia="Arial" w:hAnsi="Arial"/>
          <w:sz w:val="19"/>
          <w:szCs w:val="19"/>
          <w:color w:val="auto"/>
        </w:rPr>
        <w:t>The following table presents the maturity of undiscounted cash flows for future minimum lease payments under noncancelable leases as of December 31, 2023 reconciled to our lease liabilities on our Consolidated Balance Sheet (amounts in millions):</w:t>
      </w:r>
    </w:p>
    <w:p>
      <w:pPr>
        <w:spacing w:after="0" w:line="310"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34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b w:val="1"/>
                <w:bCs w:val="1"/>
                <w:color w:val="auto"/>
              </w:rPr>
              <w:t>Operating</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w w:val="98"/>
              </w:rPr>
              <w:t xml:space="preserve">Finance </w:t>
            </w:r>
            <w:r>
              <w:rPr>
                <w:rFonts w:ascii="Arial" w:cs="Arial" w:eastAsia="Arial" w:hAnsi="Arial"/>
                <w:sz w:val="20"/>
                <w:szCs w:val="20"/>
                <w:b w:val="1"/>
                <w:bCs w:val="1"/>
                <w:color w:val="auto"/>
                <w:w w:val="98"/>
                <w:vertAlign w:val="superscript"/>
              </w:rPr>
              <w:t>(2)</w:t>
            </w:r>
          </w:p>
        </w:tc>
      </w:tr>
      <w:tr>
        <w:trPr>
          <w:trHeight w:val="337"/>
        </w:trPr>
        <w:tc>
          <w:tcPr>
            <w:tcW w:w="6860" w:type="dxa"/>
            <w:vAlign w:val="bottom"/>
            <w:gridSpan w:val="2"/>
          </w:tcPr>
          <w:p>
            <w:pPr>
              <w:ind w:left="60"/>
              <w:spacing w:after="0"/>
              <w:rPr>
                <w:sz w:val="20"/>
                <w:szCs w:val="20"/>
                <w:color w:val="auto"/>
              </w:rPr>
            </w:pPr>
            <w:r>
              <w:rPr>
                <w:rFonts w:ascii="Arial" w:cs="Arial" w:eastAsia="Arial" w:hAnsi="Arial"/>
                <w:sz w:val="19"/>
                <w:szCs w:val="19"/>
                <w:color w:val="auto"/>
              </w:rPr>
              <w:t xml:space="preserve">Future minimum lease payments </w:t>
            </w:r>
            <w:r>
              <w:rPr>
                <w:rFonts w:ascii="Arial" w:cs="Arial" w:eastAsia="Arial" w:hAnsi="Arial"/>
                <w:sz w:val="25"/>
                <w:szCs w:val="25"/>
                <w:color w:val="auto"/>
                <w:vertAlign w:val="superscript"/>
              </w:rPr>
              <w:t>(1)</w:t>
            </w:r>
            <w:r>
              <w:rPr>
                <w:rFonts w:ascii="Arial" w:cs="Arial" w:eastAsia="Arial" w:hAnsi="Arial"/>
                <w:sz w:val="19"/>
                <w:szCs w:val="19"/>
                <w:color w:val="auto"/>
              </w:rPr>
              <w:t>:</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4"/>
        </w:trPr>
        <w:tc>
          <w:tcPr>
            <w:tcW w:w="3440" w:type="dxa"/>
            <w:vAlign w:val="bottom"/>
          </w:tcPr>
          <w:p>
            <w:pPr>
              <w:ind w:left="160"/>
              <w:spacing w:after="0"/>
              <w:rPr>
                <w:sz w:val="20"/>
                <w:szCs w:val="20"/>
                <w:color w:val="auto"/>
              </w:rPr>
            </w:pPr>
            <w:r>
              <w:rPr>
                <w:rFonts w:ascii="Arial" w:cs="Arial" w:eastAsia="Arial" w:hAnsi="Arial"/>
                <w:sz w:val="19"/>
                <w:szCs w:val="19"/>
                <w:color w:val="auto"/>
              </w:rPr>
              <w:t>2024</w:t>
            </w:r>
          </w:p>
        </w:tc>
        <w:tc>
          <w:tcPr>
            <w:tcW w:w="3420" w:type="dxa"/>
            <w:vAlign w:val="bottom"/>
          </w:tcPr>
          <w:p>
            <w:pPr>
              <w:spacing w:after="0"/>
              <w:rPr>
                <w:sz w:val="22"/>
                <w:szCs w:val="22"/>
                <w:color w:val="auto"/>
              </w:rPr>
            </w:pP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80</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307"/>
        </w:trPr>
        <w:tc>
          <w:tcPr>
            <w:tcW w:w="3440" w:type="dxa"/>
            <w:vAlign w:val="bottom"/>
          </w:tcPr>
          <w:p>
            <w:pPr>
              <w:ind w:left="160"/>
              <w:spacing w:after="0"/>
              <w:rPr>
                <w:sz w:val="20"/>
                <w:szCs w:val="20"/>
                <w:color w:val="auto"/>
              </w:rPr>
            </w:pPr>
            <w:r>
              <w:rPr>
                <w:rFonts w:ascii="Arial" w:cs="Arial" w:eastAsia="Arial" w:hAnsi="Arial"/>
                <w:sz w:val="19"/>
                <w:szCs w:val="19"/>
                <w:color w:val="auto"/>
              </w:rPr>
              <w:t>2025</w:t>
            </w:r>
          </w:p>
        </w:tc>
        <w:tc>
          <w:tcPr>
            <w:tcW w:w="3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68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307"/>
        </w:trPr>
        <w:tc>
          <w:tcPr>
            <w:tcW w:w="3440" w:type="dxa"/>
            <w:vAlign w:val="bottom"/>
          </w:tcPr>
          <w:p>
            <w:pPr>
              <w:ind w:left="160"/>
              <w:spacing w:after="0"/>
              <w:rPr>
                <w:sz w:val="20"/>
                <w:szCs w:val="20"/>
                <w:color w:val="auto"/>
              </w:rPr>
            </w:pPr>
            <w:r>
              <w:rPr>
                <w:rFonts w:ascii="Arial" w:cs="Arial" w:eastAsia="Arial" w:hAnsi="Arial"/>
                <w:sz w:val="19"/>
                <w:szCs w:val="19"/>
                <w:color w:val="auto"/>
              </w:rPr>
              <w:t>2026</w:t>
            </w:r>
          </w:p>
        </w:tc>
        <w:tc>
          <w:tcPr>
            <w:tcW w:w="3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51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307"/>
        </w:trPr>
        <w:tc>
          <w:tcPr>
            <w:tcW w:w="3440" w:type="dxa"/>
            <w:vAlign w:val="bottom"/>
          </w:tcPr>
          <w:p>
            <w:pPr>
              <w:ind w:left="160"/>
              <w:spacing w:after="0"/>
              <w:rPr>
                <w:sz w:val="20"/>
                <w:szCs w:val="20"/>
                <w:color w:val="auto"/>
              </w:rPr>
            </w:pPr>
            <w:r>
              <w:rPr>
                <w:rFonts w:ascii="Arial" w:cs="Arial" w:eastAsia="Arial" w:hAnsi="Arial"/>
                <w:sz w:val="19"/>
                <w:szCs w:val="19"/>
                <w:color w:val="auto"/>
              </w:rPr>
              <w:t>2027</w:t>
            </w:r>
          </w:p>
        </w:tc>
        <w:tc>
          <w:tcPr>
            <w:tcW w:w="3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43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307"/>
        </w:trPr>
        <w:tc>
          <w:tcPr>
            <w:tcW w:w="3440" w:type="dxa"/>
            <w:vAlign w:val="bottom"/>
          </w:tcPr>
          <w:p>
            <w:pPr>
              <w:ind w:left="160"/>
              <w:spacing w:after="0"/>
              <w:rPr>
                <w:sz w:val="20"/>
                <w:szCs w:val="20"/>
                <w:color w:val="auto"/>
              </w:rPr>
            </w:pPr>
            <w:r>
              <w:rPr>
                <w:rFonts w:ascii="Arial" w:cs="Arial" w:eastAsia="Arial" w:hAnsi="Arial"/>
                <w:sz w:val="19"/>
                <w:szCs w:val="19"/>
                <w:color w:val="auto"/>
              </w:rPr>
              <w:t>2028</w:t>
            </w:r>
          </w:p>
        </w:tc>
        <w:tc>
          <w:tcPr>
            <w:tcW w:w="3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34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310"/>
        </w:trPr>
        <w:tc>
          <w:tcPr>
            <w:tcW w:w="6860" w:type="dxa"/>
            <w:vAlign w:val="bottom"/>
            <w:gridSpan w:val="2"/>
          </w:tcPr>
          <w:p>
            <w:pPr>
              <w:ind w:left="160"/>
              <w:spacing w:after="0"/>
              <w:rPr>
                <w:sz w:val="20"/>
                <w:szCs w:val="20"/>
                <w:color w:val="auto"/>
              </w:rPr>
            </w:pPr>
            <w:r>
              <w:rPr>
                <w:rFonts w:ascii="Arial" w:cs="Arial" w:eastAsia="Arial" w:hAnsi="Arial"/>
                <w:sz w:val="19"/>
                <w:szCs w:val="19"/>
                <w:color w:val="auto"/>
              </w:rPr>
              <w:t>Thereafter</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w:t>
            </w:r>
          </w:p>
        </w:tc>
      </w:tr>
      <w:tr>
        <w:trPr>
          <w:trHeight w:val="284"/>
        </w:trPr>
        <w:tc>
          <w:tcPr>
            <w:tcW w:w="6860" w:type="dxa"/>
            <w:vAlign w:val="bottom"/>
            <w:gridSpan w:val="2"/>
          </w:tcPr>
          <w:p>
            <w:pPr>
              <w:ind w:left="280"/>
              <w:spacing w:after="0"/>
              <w:rPr>
                <w:sz w:val="20"/>
                <w:szCs w:val="20"/>
                <w:color w:val="auto"/>
              </w:rPr>
            </w:pPr>
            <w:r>
              <w:rPr>
                <w:rFonts w:ascii="Arial" w:cs="Arial" w:eastAsia="Arial" w:hAnsi="Arial"/>
                <w:sz w:val="19"/>
                <w:szCs w:val="19"/>
                <w:color w:val="auto"/>
              </w:rPr>
              <w:t>Total</w:t>
            </w: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514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125</w:t>
            </w:r>
          </w:p>
        </w:tc>
      </w:tr>
      <w:tr>
        <w:trPr>
          <w:trHeight w:val="310"/>
        </w:trPr>
        <w:tc>
          <w:tcPr>
            <w:tcW w:w="6860" w:type="dxa"/>
            <w:vAlign w:val="bottom"/>
            <w:gridSpan w:val="2"/>
          </w:tcPr>
          <w:p>
            <w:pPr>
              <w:ind w:left="60"/>
              <w:spacing w:after="0"/>
              <w:rPr>
                <w:sz w:val="20"/>
                <w:szCs w:val="20"/>
                <w:color w:val="auto"/>
              </w:rPr>
            </w:pPr>
            <w:r>
              <w:rPr>
                <w:rFonts w:ascii="Arial" w:cs="Arial" w:eastAsia="Arial" w:hAnsi="Arial"/>
                <w:sz w:val="19"/>
                <w:szCs w:val="19"/>
                <w:color w:val="auto"/>
              </w:rPr>
              <w:t>Less: Present value discount</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(49)</w:t>
            </w:r>
          </w:p>
        </w:tc>
      </w:tr>
      <w:tr>
        <w:trPr>
          <w:trHeight w:val="268"/>
        </w:trPr>
        <w:tc>
          <w:tcPr>
            <w:tcW w:w="6860" w:type="dxa"/>
            <w:vAlign w:val="bottom"/>
            <w:gridSpan w:val="2"/>
          </w:tcPr>
          <w:p>
            <w:pPr>
              <w:ind w:left="60"/>
              <w:spacing w:after="0"/>
              <w:rPr>
                <w:sz w:val="20"/>
                <w:szCs w:val="20"/>
                <w:color w:val="auto"/>
              </w:rPr>
            </w:pPr>
            <w:r>
              <w:rPr>
                <w:rFonts w:ascii="Arial" w:cs="Arial" w:eastAsia="Arial" w:hAnsi="Arial"/>
                <w:sz w:val="19"/>
                <w:szCs w:val="19"/>
                <w:color w:val="auto"/>
              </w:rPr>
              <w:t>Lease liabilities</w:t>
            </w: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343</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76</w:t>
            </w:r>
          </w:p>
        </w:tc>
      </w:tr>
      <w:tr>
        <w:trPr>
          <w:trHeight w:val="20"/>
        </w:trPr>
        <w:tc>
          <w:tcPr>
            <w:tcW w:w="34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30"/>
        </w:trPr>
        <w:tc>
          <w:tcPr>
            <w:tcW w:w="3440" w:type="dxa"/>
            <w:vAlign w:val="bottom"/>
            <w:tcBorders>
              <w:bottom w:val="single" w:sz="8" w:color="auto"/>
            </w:tcBorders>
          </w:tcPr>
          <w:p>
            <w:pPr>
              <w:spacing w:after="0"/>
              <w:rPr>
                <w:sz w:val="11"/>
                <w:szCs w:val="11"/>
                <w:color w:val="auto"/>
              </w:rPr>
            </w:pPr>
          </w:p>
        </w:tc>
        <w:tc>
          <w:tcPr>
            <w:tcW w:w="3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-2076450</wp:posOffset>
            </wp:positionV>
            <wp:extent cx="6376670" cy="19875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00">
                      <a:extLst>
                        <a:ext uri="{28A0092B-C50C-407E-A947-70E740481C1C}"/>
                      </a:extLst>
                    </a:blip>
                    <a:srcRect/>
                    <a:stretch>
                      <a:fillRect/>
                    </a:stretch>
                  </pic:blipFill>
                  <pic:spPr bwMode="auto">
                    <a:xfrm>
                      <a:off x="0" y="0"/>
                      <a:ext cx="6376670" cy="1987550"/>
                    </a:xfrm>
                    <a:prstGeom prst="rect">
                      <a:avLst/>
                    </a:prstGeom>
                    <a:noFill/>
                  </pic:spPr>
                </pic:pic>
              </a:graphicData>
            </a:graphic>
          </wp:anchor>
        </w:drawing>
      </w:r>
    </w:p>
    <w:p>
      <w:pPr>
        <w:sectPr>
          <w:pgSz w:w="11880" w:h="15480" w:orient="portrait"/>
          <w:cols w:equalWidth="0" w:num="1">
            <w:col w:w="10001"/>
          </w:cols>
          <w:pgMar w:left="939" w:top="43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ectPr>
          <w:pgSz w:w="11880" w:h="15480" w:orient="portrait"/>
          <w:cols w:equalWidth="0" w:num="1">
            <w:col w:w="10001"/>
          </w:cols>
          <w:pgMar w:left="939" w:top="432" w:right="940" w:bottom="0" w:gutter="0" w:footer="0" w:header="0"/>
          <w:type w:val="continuous"/>
        </w:sectPr>
      </w:pPr>
    </w:p>
    <w:bookmarkStart w:id="149" w:name="page150"/>
    <w:bookmarkEnd w:id="149"/>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left="701" w:right="500" w:hanging="701"/>
        <w:spacing w:after="0" w:line="231" w:lineRule="auto"/>
        <w:tabs>
          <w:tab w:leader="none" w:pos="701" w:val="left"/>
        </w:tabs>
        <w:numPr>
          <w:ilvl w:val="0"/>
          <w:numId w:val="97"/>
        </w:numPr>
        <w:rPr>
          <w:rFonts w:ascii="Arial" w:cs="Arial" w:eastAsia="Arial" w:hAnsi="Arial"/>
          <w:sz w:val="25"/>
          <w:szCs w:val="25"/>
          <w:color w:val="auto"/>
          <w:vertAlign w:val="superscript"/>
        </w:rPr>
      </w:pPr>
      <w:r>
        <w:rPr>
          <w:rFonts w:ascii="Arial" w:cs="Arial" w:eastAsia="Arial" w:hAnsi="Arial"/>
          <w:sz w:val="19"/>
          <w:szCs w:val="19"/>
          <w:color w:val="auto"/>
        </w:rPr>
        <w:t>Excludes future minimum payments for short-term and other immaterial leases not included on our Consolidated Balance Sheet.</w:t>
      </w:r>
    </w:p>
    <w:p>
      <w:pPr>
        <w:spacing w:after="0" w:line="97" w:lineRule="exact"/>
        <w:rPr>
          <w:rFonts w:ascii="Arial" w:cs="Arial" w:eastAsia="Arial" w:hAnsi="Arial"/>
          <w:sz w:val="25"/>
          <w:szCs w:val="25"/>
          <w:color w:val="auto"/>
          <w:vertAlign w:val="superscript"/>
        </w:rPr>
      </w:pPr>
    </w:p>
    <w:p>
      <w:pPr>
        <w:ind w:left="701" w:right="280" w:hanging="701"/>
        <w:spacing w:after="0" w:line="239" w:lineRule="auto"/>
        <w:tabs>
          <w:tab w:leader="none" w:pos="701" w:val="left"/>
        </w:tabs>
        <w:numPr>
          <w:ilvl w:val="0"/>
          <w:numId w:val="97"/>
        </w:numPr>
        <w:rPr>
          <w:rFonts w:ascii="Arial" w:cs="Arial" w:eastAsia="Arial" w:hAnsi="Arial"/>
          <w:sz w:val="25"/>
          <w:szCs w:val="25"/>
          <w:color w:val="auto"/>
          <w:vertAlign w:val="superscript"/>
        </w:rPr>
      </w:pPr>
      <w:r>
        <w:rPr>
          <w:rFonts w:ascii="Arial" w:cs="Arial" w:eastAsia="Arial" w:hAnsi="Arial"/>
          <w:sz w:val="19"/>
          <w:szCs w:val="19"/>
          <w:color w:val="auto"/>
        </w:rPr>
        <w:t>Includes payments of approximately $6 million for each of the years ending 2024 through 2028 and approximately $45 million thereafter associated with leased storage tanks owned by an equity method investee, in which we own a 50% interest.</w:t>
      </w:r>
    </w:p>
    <w:p>
      <w:pPr>
        <w:spacing w:after="0" w:line="207"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Lessor</w:t>
      </w:r>
    </w:p>
    <w:p>
      <w:pPr>
        <w:spacing w:after="0" w:line="257" w:lineRule="exact"/>
        <w:rPr>
          <w:sz w:val="20"/>
          <w:szCs w:val="20"/>
          <w:color w:val="auto"/>
        </w:rPr>
      </w:pPr>
    </w:p>
    <w:p>
      <w:pPr>
        <w:ind w:left="1" w:right="120" w:firstLine="702"/>
        <w:spacing w:after="0" w:line="266" w:lineRule="auto"/>
        <w:rPr>
          <w:sz w:val="20"/>
          <w:szCs w:val="20"/>
          <w:color w:val="auto"/>
        </w:rPr>
      </w:pPr>
      <w:r>
        <w:rPr>
          <w:rFonts w:ascii="Arial" w:cs="Arial" w:eastAsia="Arial" w:hAnsi="Arial"/>
          <w:sz w:val="19"/>
          <w:szCs w:val="19"/>
          <w:color w:val="auto"/>
        </w:rPr>
        <w:t>We evaluate all agreements entered into or modified that convey to others the use of property or equipment for a term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 We have elected the non-lease component separation practical expedient for all classes of assets where we are the lessor.</w:t>
      </w:r>
    </w:p>
    <w:p>
      <w:pPr>
        <w:spacing w:after="0" w:line="193" w:lineRule="exact"/>
        <w:rPr>
          <w:sz w:val="20"/>
          <w:szCs w:val="20"/>
          <w:color w:val="auto"/>
        </w:rPr>
      </w:pPr>
    </w:p>
    <w:p>
      <w:pPr>
        <w:ind w:left="1" w:firstLine="702"/>
        <w:spacing w:after="0" w:line="264" w:lineRule="auto"/>
        <w:rPr>
          <w:sz w:val="20"/>
          <w:szCs w:val="20"/>
          <w:color w:val="auto"/>
        </w:rPr>
      </w:pPr>
      <w:r>
        <w:rPr>
          <w:rFonts w:ascii="Arial" w:cs="Arial" w:eastAsia="Arial" w:hAnsi="Arial"/>
          <w:sz w:val="19"/>
          <w:szCs w:val="19"/>
          <w:color w:val="auto"/>
        </w:rPr>
        <w:t>We enter into agreements to conduct activities associated with (i) providing storage services primarily for crude oil and NGL and (ii) transporting crude oil and NGL. Certain of these agreements convey counterparties the right to direct the operation of physically distinct assets. Such agreements include (i) fixed consideration, which is measured based on an available capacity during the period multiplied by the rate in the agreement, or (ii) a fixed monthly fee and variable consideration based on usage. These agreements often include options to extend or terminate the lease, with advance notice. These agreements are operating leases.</w:t>
      </w:r>
    </w:p>
    <w:p>
      <w:pPr>
        <w:spacing w:after="0" w:line="196" w:lineRule="exact"/>
        <w:rPr>
          <w:sz w:val="20"/>
          <w:szCs w:val="20"/>
          <w:color w:val="auto"/>
        </w:rPr>
      </w:pPr>
    </w:p>
    <w:p>
      <w:pPr>
        <w:ind w:left="701"/>
        <w:spacing w:after="0"/>
        <w:rPr>
          <w:sz w:val="20"/>
          <w:szCs w:val="20"/>
          <w:color w:val="auto"/>
        </w:rPr>
      </w:pPr>
      <w:r>
        <w:rPr>
          <w:rFonts w:ascii="Arial" w:cs="Arial" w:eastAsia="Arial" w:hAnsi="Arial"/>
          <w:sz w:val="19"/>
          <w:szCs w:val="19"/>
          <w:color w:val="auto"/>
        </w:rPr>
        <w:t>The following table presents our lease revenue for the periods indicated (in millions):</w:t>
      </w:r>
    </w:p>
    <w:p>
      <w:pPr>
        <w:spacing w:after="0" w:line="337" w:lineRule="exact"/>
        <w:rPr>
          <w:sz w:val="20"/>
          <w:szCs w:val="20"/>
          <w:color w:val="auto"/>
        </w:rPr>
      </w:pPr>
    </w:p>
    <w:tbl>
      <w:tblPr>
        <w:tblLayout w:type="fixed"/>
        <w:tblInd w:w="61" w:type="dxa"/>
        <w:tblCellMar>
          <w:top w:w="0" w:type="dxa"/>
          <w:left w:w="0" w:type="dxa"/>
          <w:bottom w:w="0" w:type="dxa"/>
          <w:right w:w="0" w:type="dxa"/>
        </w:tblCellMar>
      </w:tblPr>
      <w:tr>
        <w:trPr>
          <w:trHeight w:val="212"/>
        </w:trPr>
        <w:tc>
          <w:tcPr>
            <w:tcW w:w="60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9"/>
              </w:rPr>
              <w:t>Year Ended December 31,</w:t>
            </w:r>
          </w:p>
        </w:tc>
        <w:tc>
          <w:tcPr>
            <w:tcW w:w="940" w:type="dxa"/>
            <w:vAlign w:val="bottom"/>
            <w:tcBorders>
              <w:bottom w:val="single" w:sz="8" w:color="auto"/>
            </w:tcBorders>
          </w:tcPr>
          <w:p>
            <w:pPr>
              <w:spacing w:after="0"/>
              <w:rPr>
                <w:sz w:val="18"/>
                <w:szCs w:val="18"/>
                <w:color w:val="auto"/>
              </w:rPr>
            </w:pPr>
          </w:p>
        </w:tc>
      </w:tr>
      <w:tr>
        <w:trPr>
          <w:trHeight w:val="229"/>
        </w:trPr>
        <w:tc>
          <w:tcPr>
            <w:tcW w:w="6020" w:type="dxa"/>
            <w:vAlign w:val="bottom"/>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346"/>
        </w:trPr>
        <w:tc>
          <w:tcPr>
            <w:tcW w:w="6020" w:type="dxa"/>
            <w:vAlign w:val="bottom"/>
          </w:tcPr>
          <w:p>
            <w:pPr>
              <w:spacing w:after="0"/>
              <w:rPr>
                <w:sz w:val="20"/>
                <w:szCs w:val="20"/>
                <w:color w:val="auto"/>
              </w:rPr>
            </w:pPr>
            <w:r>
              <w:rPr>
                <w:rFonts w:ascii="Arial" w:cs="Arial" w:eastAsia="Arial" w:hAnsi="Arial"/>
                <w:sz w:val="19"/>
                <w:szCs w:val="19"/>
                <w:color w:val="auto"/>
              </w:rPr>
              <w:t xml:space="preserve">Operating lease revenue </w:t>
            </w:r>
            <w:r>
              <w:rPr>
                <w:rFonts w:ascii="Arial" w:cs="Arial" w:eastAsia="Arial" w:hAnsi="Arial"/>
                <w:sz w:val="25"/>
                <w:szCs w:val="25"/>
                <w:color w:val="auto"/>
                <w:vertAlign w:val="superscript"/>
              </w:rPr>
              <w:t>(1)</w:t>
            </w:r>
          </w:p>
        </w:tc>
        <w:tc>
          <w:tcPr>
            <w:tcW w:w="880" w:type="dxa"/>
            <w:vAlign w:val="bottom"/>
          </w:tcPr>
          <w:p>
            <w:pPr>
              <w:jc w:val="right"/>
              <w:ind w:right="632"/>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rPr>
              <w:t>32</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29</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-238125</wp:posOffset>
            </wp:positionV>
            <wp:extent cx="6376670" cy="2203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01">
                      <a:extLst>
                        <a:ext uri="{28A0092B-C50C-407E-A947-70E740481C1C}"/>
                      </a:extLst>
                    </a:blip>
                    <a:srcRect/>
                    <a:stretch>
                      <a:fillRect/>
                    </a:stretch>
                  </pic:blipFill>
                  <pic:spPr bwMode="auto">
                    <a:xfrm>
                      <a:off x="0" y="0"/>
                      <a:ext cx="6376670" cy="22034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76835</wp:posOffset>
                </wp:positionV>
                <wp:extent cx="2190750"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07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05pt" to="172.5pt,6.05pt" o:allowincell="f" strokecolor="#000000" strokeweight="1pt"/>
            </w:pict>
          </mc:Fallback>
        </mc:AlternateContent>
      </w:r>
    </w:p>
    <w:p>
      <w:pPr>
        <w:spacing w:after="0" w:line="104" w:lineRule="exact"/>
        <w:rPr>
          <w:sz w:val="20"/>
          <w:szCs w:val="20"/>
          <w:color w:val="auto"/>
        </w:rPr>
      </w:pPr>
    </w:p>
    <w:p>
      <w:pPr>
        <w:ind w:left="701" w:hanging="701"/>
        <w:spacing w:after="0"/>
        <w:tabs>
          <w:tab w:leader="none" w:pos="701" w:val="left"/>
        </w:tabs>
        <w:numPr>
          <w:ilvl w:val="0"/>
          <w:numId w:val="98"/>
        </w:numPr>
        <w:rPr>
          <w:rFonts w:ascii="Arial" w:cs="Arial" w:eastAsia="Arial" w:hAnsi="Arial"/>
          <w:sz w:val="25"/>
          <w:szCs w:val="25"/>
          <w:color w:val="auto"/>
          <w:vertAlign w:val="superscript"/>
        </w:rPr>
      </w:pPr>
      <w:r>
        <w:rPr>
          <w:rFonts w:ascii="Arial" w:cs="Arial" w:eastAsia="Arial" w:hAnsi="Arial"/>
          <w:sz w:val="19"/>
          <w:szCs w:val="19"/>
          <w:color w:val="auto"/>
        </w:rPr>
        <w:t>These amounts are included in “Services revenues” on our Consolidated Statements of Operations.</w:t>
      </w:r>
    </w:p>
    <w:p>
      <w:pPr>
        <w:spacing w:after="0" w:line="214" w:lineRule="exact"/>
        <w:rPr>
          <w:sz w:val="20"/>
          <w:szCs w:val="20"/>
          <w:color w:val="auto"/>
        </w:rPr>
      </w:pPr>
    </w:p>
    <w:p>
      <w:pPr>
        <w:ind w:left="1" w:right="220" w:firstLine="702"/>
        <w:spacing w:after="0" w:line="289" w:lineRule="auto"/>
        <w:rPr>
          <w:sz w:val="20"/>
          <w:szCs w:val="20"/>
          <w:color w:val="auto"/>
        </w:rPr>
      </w:pPr>
      <w:r>
        <w:rPr>
          <w:rFonts w:ascii="Arial" w:cs="Arial" w:eastAsia="Arial" w:hAnsi="Arial"/>
          <w:sz w:val="18"/>
          <w:szCs w:val="18"/>
          <w:color w:val="auto"/>
        </w:rPr>
        <w:t>The table below presents the maturity of lease payments for operating lease agreements in effect as of December 31, 2023. This presentation includes minimum fixed lease payments and does not include an estimate of variable lease consideration. These agreements have remaining lease terms ranging from one year to 18 years. The following table presents the undiscounted cash flows expected to be received related to these agreements (in millions):</w:t>
      </w:r>
    </w:p>
    <w:p>
      <w:pPr>
        <w:spacing w:after="0" w:line="319" w:lineRule="exact"/>
        <w:rPr>
          <w:sz w:val="20"/>
          <w:szCs w:val="20"/>
          <w:color w:val="auto"/>
        </w:rPr>
      </w:pPr>
    </w:p>
    <w:tbl>
      <w:tblPr>
        <w:tblLayout w:type="fixed"/>
        <w:tblInd w:w="81" w:type="dxa"/>
        <w:tblCellMar>
          <w:top w:w="0" w:type="dxa"/>
          <w:left w:w="0" w:type="dxa"/>
          <w:bottom w:w="0" w:type="dxa"/>
          <w:right w:w="0" w:type="dxa"/>
        </w:tblCellMar>
      </w:tblPr>
      <w:tr>
        <w:trPr>
          <w:trHeight w:val="212"/>
        </w:trPr>
        <w:tc>
          <w:tcPr>
            <w:tcW w:w="34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2027</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2028</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w w:val="89"/>
              </w:rPr>
              <w:t>Thereafter</w:t>
            </w:r>
          </w:p>
        </w:tc>
      </w:tr>
      <w:tr>
        <w:trPr>
          <w:trHeight w:val="284"/>
        </w:trPr>
        <w:tc>
          <w:tcPr>
            <w:tcW w:w="3400" w:type="dxa"/>
            <w:vAlign w:val="bottom"/>
          </w:tcPr>
          <w:p>
            <w:pPr>
              <w:spacing w:after="0"/>
              <w:rPr>
                <w:sz w:val="20"/>
                <w:szCs w:val="20"/>
                <w:color w:val="auto"/>
              </w:rPr>
            </w:pPr>
            <w:r>
              <w:rPr>
                <w:rFonts w:ascii="Arial" w:cs="Arial" w:eastAsia="Arial" w:hAnsi="Arial"/>
                <w:sz w:val="19"/>
                <w:szCs w:val="19"/>
                <w:color w:val="auto"/>
              </w:rPr>
              <w:t>Future minimum lease revenue</w:t>
            </w:r>
          </w:p>
        </w:tc>
        <w:tc>
          <w:tcPr>
            <w:tcW w:w="700" w:type="dxa"/>
            <w:vAlign w:val="bottom"/>
          </w:tcPr>
          <w:p>
            <w:pPr>
              <w:jc w:val="right"/>
              <w:ind w:right="472"/>
              <w:spacing w:after="0"/>
              <w:rPr>
                <w:sz w:val="20"/>
                <w:szCs w:val="20"/>
                <w:color w:val="auto"/>
              </w:rPr>
            </w:pPr>
            <w:r>
              <w:rPr>
                <w:rFonts w:ascii="Arial" w:cs="Arial" w:eastAsia="Arial" w:hAnsi="Arial"/>
                <w:sz w:val="19"/>
                <w:szCs w:val="19"/>
                <w:color w:val="auto"/>
              </w:rPr>
              <w:t>$</w:t>
            </w:r>
          </w:p>
        </w:tc>
        <w:tc>
          <w:tcPr>
            <w:tcW w:w="320" w:type="dxa"/>
            <w:vAlign w:val="bottom"/>
          </w:tcPr>
          <w:p>
            <w:pPr>
              <w:jc w:val="right"/>
              <w:spacing w:after="0"/>
              <w:rPr>
                <w:sz w:val="20"/>
                <w:szCs w:val="20"/>
                <w:color w:val="auto"/>
              </w:rPr>
            </w:pPr>
            <w:r>
              <w:rPr>
                <w:rFonts w:ascii="Arial" w:cs="Arial" w:eastAsia="Arial" w:hAnsi="Arial"/>
                <w:sz w:val="19"/>
                <w:szCs w:val="19"/>
                <w:color w:val="auto"/>
              </w:rPr>
              <w:t>24</w:t>
            </w:r>
          </w:p>
        </w:tc>
        <w:tc>
          <w:tcPr>
            <w:tcW w:w="780" w:type="dxa"/>
            <w:vAlign w:val="bottom"/>
            <w:gridSpan w:val="2"/>
          </w:tcPr>
          <w:p>
            <w:pPr>
              <w:jc w:val="right"/>
              <w:ind w:right="482"/>
              <w:spacing w:after="0"/>
              <w:rPr>
                <w:sz w:val="20"/>
                <w:szCs w:val="20"/>
                <w:color w:val="auto"/>
              </w:rPr>
            </w:pPr>
            <w:r>
              <w:rPr>
                <w:rFonts w:ascii="Arial" w:cs="Arial" w:eastAsia="Arial" w:hAnsi="Arial"/>
                <w:sz w:val="19"/>
                <w:szCs w:val="19"/>
                <w:color w:val="auto"/>
              </w:rPr>
              <w:t>$</w:t>
            </w:r>
          </w:p>
        </w:tc>
        <w:tc>
          <w:tcPr>
            <w:tcW w:w="320" w:type="dxa"/>
            <w:vAlign w:val="bottom"/>
          </w:tcPr>
          <w:p>
            <w:pPr>
              <w:jc w:val="right"/>
              <w:spacing w:after="0"/>
              <w:rPr>
                <w:sz w:val="20"/>
                <w:szCs w:val="20"/>
                <w:color w:val="auto"/>
              </w:rPr>
            </w:pPr>
            <w:r>
              <w:rPr>
                <w:rFonts w:ascii="Arial" w:cs="Arial" w:eastAsia="Arial" w:hAnsi="Arial"/>
                <w:sz w:val="19"/>
                <w:szCs w:val="19"/>
                <w:color w:val="auto"/>
              </w:rPr>
              <w:t>18</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15</w:t>
            </w:r>
          </w:p>
        </w:tc>
        <w:tc>
          <w:tcPr>
            <w:tcW w:w="34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16</w:t>
            </w:r>
          </w:p>
        </w:tc>
        <w:tc>
          <w:tcPr>
            <w:tcW w:w="3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16</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-198755</wp:posOffset>
            </wp:positionV>
            <wp:extent cx="6330315" cy="2203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02">
                      <a:extLst>
                        <a:ext uri="{28A0092B-C50C-407E-A947-70E740481C1C}"/>
                      </a:extLst>
                    </a:blip>
                    <a:srcRect/>
                    <a:stretch>
                      <a:fillRect/>
                    </a:stretch>
                  </pic:blipFill>
                  <pic:spPr bwMode="auto">
                    <a:xfrm>
                      <a:off x="0" y="0"/>
                      <a:ext cx="6330315" cy="220345"/>
                    </a:xfrm>
                    <a:prstGeom prst="rect">
                      <a:avLst/>
                    </a:prstGeom>
                    <a:noFill/>
                  </pic:spPr>
                </pic:pic>
              </a:graphicData>
            </a:graphic>
          </wp:anchor>
        </w:drawing>
      </w:r>
    </w:p>
    <w:p>
      <w:pPr>
        <w:spacing w:after="0" w:line="257"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Note 14—Income Taxes</w:t>
      </w:r>
    </w:p>
    <w:p>
      <w:pPr>
        <w:spacing w:after="0" w:line="257" w:lineRule="exact"/>
        <w:rPr>
          <w:sz w:val="20"/>
          <w:szCs w:val="20"/>
          <w:color w:val="auto"/>
        </w:rPr>
      </w:pPr>
    </w:p>
    <w:p>
      <w:pPr>
        <w:ind w:left="1" w:right="80" w:firstLine="702"/>
        <w:spacing w:after="0" w:line="280" w:lineRule="auto"/>
        <w:rPr>
          <w:sz w:val="20"/>
          <w:szCs w:val="20"/>
          <w:color w:val="auto"/>
        </w:rPr>
      </w:pPr>
      <w:r>
        <w:rPr>
          <w:rFonts w:ascii="Arial" w:cs="Arial" w:eastAsia="Arial" w:hAnsi="Arial"/>
          <w:sz w:val="18"/>
          <w:szCs w:val="18"/>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181" w:lineRule="exact"/>
        <w:rPr>
          <w:sz w:val="20"/>
          <w:szCs w:val="20"/>
          <w:color w:val="auto"/>
        </w:rPr>
      </w:pPr>
    </w:p>
    <w:p>
      <w:pPr>
        <w:ind w:left="1" w:right="160" w:firstLine="702"/>
        <w:spacing w:after="0" w:line="266" w:lineRule="auto"/>
        <w:rPr>
          <w:sz w:val="20"/>
          <w:szCs w:val="20"/>
          <w:color w:val="auto"/>
        </w:rPr>
      </w:pPr>
      <w:r>
        <w:rPr>
          <w:rFonts w:ascii="Arial" w:cs="Arial" w:eastAsia="Arial" w:hAnsi="Arial"/>
          <w:sz w:val="19"/>
          <w:szCs w:val="19"/>
          <w:color w:val="auto"/>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2023 and 2022, we had not recognized any material amounts in connection with uncertainty in income taxes.</w:t>
      </w:r>
    </w:p>
    <w:p>
      <w:pPr>
        <w:sectPr>
          <w:pgSz w:w="11880" w:h="15480" w:orient="portrait"/>
          <w:cols w:equalWidth="0" w:num="1">
            <w:col w:w="10001"/>
          </w:cols>
          <w:pgMar w:left="939" w:top="43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ectPr>
          <w:pgSz w:w="11880" w:h="15480" w:orient="portrait"/>
          <w:cols w:equalWidth="0" w:num="1">
            <w:col w:w="10001"/>
          </w:cols>
          <w:pgMar w:left="939" w:top="431" w:right="940" w:bottom="0" w:gutter="0" w:footer="0" w:header="0"/>
          <w:type w:val="continuous"/>
        </w:sectPr>
      </w:pPr>
    </w:p>
    <w:bookmarkStart w:id="150" w:name="page151"/>
    <w:bookmarkEnd w:id="150"/>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 Federal and State Taxes</w:t>
      </w:r>
    </w:p>
    <w:p>
      <w:pPr>
        <w:spacing w:after="0" w:line="257" w:lineRule="exact"/>
        <w:rPr>
          <w:sz w:val="20"/>
          <w:szCs w:val="20"/>
          <w:color w:val="auto"/>
        </w:rPr>
      </w:pPr>
    </w:p>
    <w:p>
      <w:pPr>
        <w:ind w:right="400" w:firstLine="702"/>
        <w:spacing w:after="0" w:line="295" w:lineRule="auto"/>
        <w:rPr>
          <w:sz w:val="20"/>
          <w:szCs w:val="20"/>
          <w:color w:val="auto"/>
        </w:rPr>
      </w:pPr>
      <w:r>
        <w:rPr>
          <w:rFonts w:ascii="Arial" w:cs="Arial" w:eastAsia="Arial" w:hAnsi="Arial"/>
          <w:sz w:val="19"/>
          <w:szCs w:val="19"/>
          <w:color w:val="auto"/>
        </w:rPr>
        <w:t>Although we are organized as a limited partnership, we have elected to be treated as a corporation for U.S. federal income tax purposes and are therefore subject to both U.S. federal and state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Canadian Federal and Provincial Taxes</w:t>
      </w:r>
    </w:p>
    <w:p>
      <w:pPr>
        <w:spacing w:after="0" w:line="257" w:lineRule="exact"/>
        <w:rPr>
          <w:sz w:val="20"/>
          <w:szCs w:val="20"/>
          <w:color w:val="auto"/>
        </w:rPr>
      </w:pPr>
    </w:p>
    <w:p>
      <w:pPr>
        <w:ind w:right="220" w:firstLine="702"/>
        <w:spacing w:after="0" w:line="269" w:lineRule="auto"/>
        <w:rPr>
          <w:sz w:val="20"/>
          <w:szCs w:val="20"/>
          <w:color w:val="auto"/>
        </w:rPr>
      </w:pPr>
      <w:r>
        <w:rPr>
          <w:rFonts w:ascii="Arial" w:cs="Arial" w:eastAsia="Arial" w:hAnsi="Arial"/>
          <w:sz w:val="19"/>
          <w:szCs w:val="19"/>
          <w:color w:val="auto"/>
        </w:rPr>
        <w:t>All of our Canadian operations are conducted by entities that are treated as corporations for Canadian tax purposes (flow through for U.S. income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 Components</w:t>
      </w:r>
    </w:p>
    <w:p>
      <w:pPr>
        <w:spacing w:after="0" w:line="25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Components of income tax expense are as follows (in millions):</w:t>
      </w:r>
    </w:p>
    <w:p>
      <w:pPr>
        <w:spacing w:after="0" w:line="322"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jc w:val="right"/>
              <w:ind w:right="63"/>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14"/>
        </w:trPr>
        <w:tc>
          <w:tcPr>
            <w:tcW w:w="59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rPr>
              <w:t>2021</w:t>
            </w:r>
          </w:p>
        </w:tc>
      </w:tr>
      <w:tr>
        <w:trPr>
          <w:trHeight w:val="256"/>
        </w:trPr>
        <w:tc>
          <w:tcPr>
            <w:tcW w:w="5980" w:type="dxa"/>
            <w:vAlign w:val="bottom"/>
          </w:tcPr>
          <w:p>
            <w:pPr>
              <w:spacing w:after="0"/>
              <w:rPr>
                <w:sz w:val="20"/>
                <w:szCs w:val="20"/>
                <w:color w:val="auto"/>
              </w:rPr>
            </w:pPr>
            <w:r>
              <w:rPr>
                <w:rFonts w:ascii="Arial" w:cs="Arial" w:eastAsia="Arial" w:hAnsi="Arial"/>
                <w:sz w:val="19"/>
                <w:szCs w:val="19"/>
                <w:color w:val="auto"/>
              </w:rPr>
              <w:t>Current income tax expense:</w:t>
            </w: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5980" w:type="dxa"/>
            <w:vAlign w:val="bottom"/>
          </w:tcPr>
          <w:p>
            <w:pPr>
              <w:ind w:left="120"/>
              <w:spacing w:after="0"/>
              <w:rPr>
                <w:sz w:val="20"/>
                <w:szCs w:val="20"/>
                <w:color w:val="auto"/>
              </w:rPr>
            </w:pPr>
            <w:r>
              <w:rPr>
                <w:rFonts w:ascii="Arial" w:cs="Arial" w:eastAsia="Arial" w:hAnsi="Arial"/>
                <w:sz w:val="19"/>
                <w:szCs w:val="19"/>
                <w:color w:val="auto"/>
              </w:rPr>
              <w:t>State income tax</w:t>
            </w:r>
          </w:p>
        </w:tc>
        <w:tc>
          <w:tcPr>
            <w:tcW w:w="840" w:type="dxa"/>
            <w:vAlign w:val="bottom"/>
          </w:tcPr>
          <w:p>
            <w:pPr>
              <w:jc w:val="right"/>
              <w:ind w:right="606"/>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2</w:t>
            </w:r>
          </w:p>
        </w:tc>
        <w:tc>
          <w:tcPr>
            <w:tcW w:w="40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w:t>
            </w:r>
          </w:p>
        </w:tc>
        <w:tc>
          <w:tcPr>
            <w:tcW w:w="40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2</w:t>
            </w:r>
          </w:p>
        </w:tc>
      </w:tr>
      <w:tr>
        <w:trPr>
          <w:trHeight w:val="279"/>
        </w:trPr>
        <w:tc>
          <w:tcPr>
            <w:tcW w:w="5980" w:type="dxa"/>
            <w:vAlign w:val="bottom"/>
          </w:tcPr>
          <w:p>
            <w:pPr>
              <w:ind w:left="120"/>
              <w:spacing w:after="0"/>
              <w:rPr>
                <w:sz w:val="20"/>
                <w:szCs w:val="20"/>
                <w:color w:val="auto"/>
              </w:rPr>
            </w:pPr>
            <w:r>
              <w:rPr>
                <w:rFonts w:ascii="Arial" w:cs="Arial" w:eastAsia="Arial" w:hAnsi="Arial"/>
                <w:sz w:val="19"/>
                <w:szCs w:val="19"/>
                <w:color w:val="auto"/>
              </w:rPr>
              <w:t>Canadian federal and provincial income tax</w:t>
            </w: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143</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83</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w:t>
            </w:r>
          </w:p>
        </w:tc>
      </w:tr>
      <w:tr>
        <w:trPr>
          <w:trHeight w:val="258"/>
        </w:trPr>
        <w:tc>
          <w:tcPr>
            <w:tcW w:w="5980" w:type="dxa"/>
            <w:vAlign w:val="bottom"/>
          </w:tcPr>
          <w:p>
            <w:pPr>
              <w:spacing w:after="0"/>
              <w:rPr>
                <w:sz w:val="20"/>
                <w:szCs w:val="20"/>
                <w:color w:val="auto"/>
              </w:rPr>
            </w:pPr>
            <w:r>
              <w:rPr>
                <w:rFonts w:ascii="Arial" w:cs="Arial" w:eastAsia="Arial" w:hAnsi="Arial"/>
                <w:sz w:val="19"/>
                <w:szCs w:val="19"/>
                <w:color w:val="auto"/>
              </w:rPr>
              <w:t>Total current income tax expense</w:t>
            </w:r>
          </w:p>
        </w:tc>
        <w:tc>
          <w:tcPr>
            <w:tcW w:w="840" w:type="dxa"/>
            <w:vAlign w:val="bottom"/>
          </w:tcPr>
          <w:p>
            <w:pPr>
              <w:jc w:val="right"/>
              <w:ind w:right="606"/>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145</w:t>
            </w:r>
          </w:p>
        </w:tc>
        <w:tc>
          <w:tcPr>
            <w:tcW w:w="40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84</w:t>
            </w:r>
          </w:p>
        </w:tc>
        <w:tc>
          <w:tcPr>
            <w:tcW w:w="40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534"/>
        </w:trPr>
        <w:tc>
          <w:tcPr>
            <w:tcW w:w="5980" w:type="dxa"/>
            <w:vAlign w:val="bottom"/>
          </w:tcPr>
          <w:p>
            <w:pPr>
              <w:spacing w:after="0"/>
              <w:rPr>
                <w:sz w:val="20"/>
                <w:szCs w:val="20"/>
                <w:color w:val="auto"/>
              </w:rPr>
            </w:pPr>
            <w:r>
              <w:rPr>
                <w:rFonts w:ascii="Arial" w:cs="Arial" w:eastAsia="Arial" w:hAnsi="Arial"/>
                <w:sz w:val="19"/>
                <w:szCs w:val="19"/>
                <w:color w:val="auto"/>
              </w:rPr>
              <w:t>Deferred income tax expense/(benefit):</w:t>
            </w:r>
          </w:p>
        </w:tc>
        <w:tc>
          <w:tcPr>
            <w:tcW w:w="8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78"/>
        </w:trPr>
        <w:tc>
          <w:tcPr>
            <w:tcW w:w="5980" w:type="dxa"/>
            <w:vAlign w:val="bottom"/>
          </w:tcPr>
          <w:p>
            <w:pPr>
              <w:ind w:left="120"/>
              <w:spacing w:after="0"/>
              <w:rPr>
                <w:sz w:val="20"/>
                <w:szCs w:val="20"/>
                <w:color w:val="auto"/>
              </w:rPr>
            </w:pPr>
            <w:r>
              <w:rPr>
                <w:rFonts w:ascii="Arial" w:cs="Arial" w:eastAsia="Arial" w:hAnsi="Arial"/>
                <w:sz w:val="19"/>
                <w:szCs w:val="19"/>
                <w:color w:val="auto"/>
              </w:rPr>
              <w:t>Federal income tax</w:t>
            </w:r>
          </w:p>
        </w:tc>
        <w:tc>
          <w:tcPr>
            <w:tcW w:w="840" w:type="dxa"/>
            <w:vAlign w:val="bottom"/>
          </w:tcPr>
          <w:p>
            <w:pPr>
              <w:jc w:val="right"/>
              <w:ind w:right="606"/>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55</w:t>
            </w:r>
          </w:p>
        </w:tc>
        <w:tc>
          <w:tcPr>
            <w:tcW w:w="40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46</w:t>
            </w:r>
          </w:p>
        </w:tc>
        <w:tc>
          <w:tcPr>
            <w:tcW w:w="40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78"/>
        </w:trPr>
        <w:tc>
          <w:tcPr>
            <w:tcW w:w="5980" w:type="dxa"/>
            <w:vAlign w:val="bottom"/>
          </w:tcPr>
          <w:p>
            <w:pPr>
              <w:ind w:left="120"/>
              <w:spacing w:after="0"/>
              <w:rPr>
                <w:sz w:val="20"/>
                <w:szCs w:val="20"/>
                <w:color w:val="auto"/>
              </w:rPr>
            </w:pPr>
            <w:r>
              <w:rPr>
                <w:rFonts w:ascii="Arial" w:cs="Arial" w:eastAsia="Arial" w:hAnsi="Arial"/>
                <w:sz w:val="19"/>
                <w:szCs w:val="19"/>
                <w:color w:val="auto"/>
              </w:rPr>
              <w:t>State income tax</w:t>
            </w:r>
          </w:p>
        </w:tc>
        <w:tc>
          <w:tcPr>
            <w:tcW w:w="8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13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23</w:t>
            </w:r>
          </w:p>
        </w:tc>
      </w:tr>
      <w:tr>
        <w:trPr>
          <w:trHeight w:val="279"/>
        </w:trPr>
        <w:tc>
          <w:tcPr>
            <w:tcW w:w="5980" w:type="dxa"/>
            <w:vAlign w:val="bottom"/>
          </w:tcPr>
          <w:p>
            <w:pPr>
              <w:ind w:left="120"/>
              <w:spacing w:after="0"/>
              <w:rPr>
                <w:sz w:val="20"/>
                <w:szCs w:val="20"/>
                <w:color w:val="auto"/>
              </w:rPr>
            </w:pPr>
            <w:r>
              <w:rPr>
                <w:rFonts w:ascii="Arial" w:cs="Arial" w:eastAsia="Arial" w:hAnsi="Arial"/>
                <w:sz w:val="19"/>
                <w:szCs w:val="19"/>
                <w:color w:val="auto"/>
              </w:rPr>
              <w:t>Canadian federal and provincial income tax</w:t>
            </w: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w:t>
            </w:r>
          </w:p>
        </w:tc>
      </w:tr>
      <w:tr>
        <w:trPr>
          <w:trHeight w:val="258"/>
        </w:trPr>
        <w:tc>
          <w:tcPr>
            <w:tcW w:w="5980" w:type="dxa"/>
            <w:vAlign w:val="bottom"/>
          </w:tcPr>
          <w:p>
            <w:pPr>
              <w:spacing w:after="0"/>
              <w:rPr>
                <w:sz w:val="20"/>
                <w:szCs w:val="20"/>
                <w:color w:val="auto"/>
              </w:rPr>
            </w:pPr>
            <w:r>
              <w:rPr>
                <w:rFonts w:ascii="Arial" w:cs="Arial" w:eastAsia="Arial" w:hAnsi="Arial"/>
                <w:sz w:val="19"/>
                <w:szCs w:val="19"/>
                <w:color w:val="auto"/>
              </w:rPr>
              <w:t>Total deferred income tax expense</w:t>
            </w:r>
          </w:p>
        </w:tc>
        <w:tc>
          <w:tcPr>
            <w:tcW w:w="840" w:type="dxa"/>
            <w:vAlign w:val="bottom"/>
            <w:tcBorders>
              <w:bottom w:val="single" w:sz="8" w:color="auto"/>
            </w:tcBorders>
          </w:tcPr>
          <w:p>
            <w:pPr>
              <w:jc w:val="right"/>
              <w:ind w:right="606"/>
              <w:spacing w:after="0"/>
              <w:rPr>
                <w:sz w:val="20"/>
                <w:szCs w:val="20"/>
                <w:color w:val="auto"/>
              </w:rPr>
            </w:pPr>
            <w:r>
              <w:rPr>
                <w:rFonts w:ascii="Arial" w:cs="Arial" w:eastAsia="Arial" w:hAnsi="Arial"/>
                <w:sz w:val="19"/>
                <w:szCs w:val="19"/>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162</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62</w:t>
            </w:r>
          </w:p>
        </w:tc>
      </w:tr>
      <w:tr>
        <w:trPr>
          <w:trHeight w:val="238"/>
        </w:trPr>
        <w:tc>
          <w:tcPr>
            <w:tcW w:w="5980" w:type="dxa"/>
            <w:vAlign w:val="bottom"/>
          </w:tcPr>
          <w:p>
            <w:pPr>
              <w:spacing w:after="0"/>
              <w:rPr>
                <w:sz w:val="20"/>
                <w:szCs w:val="20"/>
                <w:color w:val="auto"/>
              </w:rPr>
            </w:pPr>
            <w:r>
              <w:rPr>
                <w:rFonts w:ascii="Arial" w:cs="Arial" w:eastAsia="Arial" w:hAnsi="Arial"/>
                <w:sz w:val="19"/>
                <w:szCs w:val="19"/>
                <w:color w:val="auto"/>
              </w:rPr>
              <w:t>Total income tax expense</w:t>
            </w:r>
          </w:p>
        </w:tc>
        <w:tc>
          <w:tcPr>
            <w:tcW w:w="840" w:type="dxa"/>
            <w:vAlign w:val="bottom"/>
          </w:tcPr>
          <w:p>
            <w:pPr>
              <w:jc w:val="right"/>
              <w:ind w:right="606"/>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189</w:t>
            </w:r>
          </w:p>
        </w:tc>
        <w:tc>
          <w:tcPr>
            <w:tcW w:w="400" w:type="dxa"/>
            <w:vAlign w:val="bottom"/>
            <w:gridSpan w:val="2"/>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246</w:t>
            </w:r>
          </w:p>
        </w:tc>
        <w:tc>
          <w:tcPr>
            <w:tcW w:w="40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112</w:t>
            </w:r>
          </w:p>
        </w:tc>
      </w:tr>
      <w:tr>
        <w:trPr>
          <w:trHeight w:val="20"/>
        </w:trPr>
        <w:tc>
          <w:tcPr>
            <w:tcW w:w="5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-1971675</wp:posOffset>
            </wp:positionV>
            <wp:extent cx="6367145" cy="19786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03">
                      <a:extLst>
                        <a:ext uri="{28A0092B-C50C-407E-A947-70E740481C1C}"/>
                      </a:extLst>
                    </a:blip>
                    <a:srcRect/>
                    <a:stretch>
                      <a:fillRect/>
                    </a:stretch>
                  </pic:blipFill>
                  <pic:spPr bwMode="auto">
                    <a:xfrm>
                      <a:off x="0" y="0"/>
                      <a:ext cx="6367145" cy="1978660"/>
                    </a:xfrm>
                    <a:prstGeom prst="rect">
                      <a:avLst/>
                    </a:prstGeom>
                    <a:noFill/>
                  </pic:spPr>
                </pic:pic>
              </a:graphicData>
            </a:graphic>
          </wp:anchor>
        </w:drawing>
      </w:r>
    </w:p>
    <w:p>
      <w:pPr>
        <w:spacing w:after="0" w:line="221" w:lineRule="exact"/>
        <w:rPr>
          <w:sz w:val="20"/>
          <w:szCs w:val="20"/>
          <w:color w:val="auto"/>
        </w:rPr>
      </w:pPr>
    </w:p>
    <w:p>
      <w:pPr>
        <w:jc w:val="both"/>
        <w:ind w:firstLine="702"/>
        <w:spacing w:after="0" w:line="295" w:lineRule="auto"/>
        <w:rPr>
          <w:sz w:val="20"/>
          <w:szCs w:val="20"/>
          <w:color w:val="auto"/>
        </w:rPr>
      </w:pPr>
      <w:r>
        <w:rPr>
          <w:rFonts w:ascii="Arial" w:cs="Arial" w:eastAsia="Arial" w:hAnsi="Arial"/>
          <w:sz w:val="19"/>
          <w:szCs w:val="19"/>
          <w:color w:val="auto"/>
        </w:rPr>
        <w:t>The difference between income tax expense based on the statutory federal income tax rate and our effective income tax expense is summarized as follows (in millions):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w w:val="87"/>
              </w:rPr>
              <w:t>Year Ended December 31,</w:t>
            </w:r>
          </w:p>
        </w:tc>
        <w:tc>
          <w:tcPr>
            <w:tcW w:w="960" w:type="dxa"/>
            <w:vAlign w:val="bottom"/>
            <w:tcBorders>
              <w:bottom w:val="single" w:sz="8" w:color="auto"/>
            </w:tcBorders>
          </w:tcPr>
          <w:p>
            <w:pPr>
              <w:spacing w:after="0"/>
              <w:rPr>
                <w:sz w:val="18"/>
                <w:szCs w:val="18"/>
                <w:color w:val="auto"/>
              </w:rPr>
            </w:pPr>
          </w:p>
        </w:tc>
      </w:tr>
      <w:tr>
        <w:trPr>
          <w:trHeight w:val="229"/>
        </w:trPr>
        <w:tc>
          <w:tcPr>
            <w:tcW w:w="59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2021</w:t>
            </w:r>
          </w:p>
        </w:tc>
      </w:tr>
      <w:tr>
        <w:trPr>
          <w:trHeight w:val="269"/>
        </w:trPr>
        <w:tc>
          <w:tcPr>
            <w:tcW w:w="5980" w:type="dxa"/>
            <w:vAlign w:val="bottom"/>
          </w:tcPr>
          <w:p>
            <w:pPr>
              <w:spacing w:after="0"/>
              <w:rPr>
                <w:sz w:val="20"/>
                <w:szCs w:val="20"/>
                <w:color w:val="auto"/>
              </w:rPr>
            </w:pPr>
            <w:r>
              <w:rPr>
                <w:rFonts w:ascii="Arial" w:cs="Arial" w:eastAsia="Arial" w:hAnsi="Arial"/>
                <w:sz w:val="19"/>
                <w:szCs w:val="19"/>
                <w:color w:val="auto"/>
              </w:rPr>
              <w:t>Income before tax</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1,614</w:t>
            </w:r>
          </w:p>
        </w:tc>
        <w:tc>
          <w:tcPr>
            <w:tcW w:w="560" w:type="dxa"/>
            <w:vAlign w:val="bottom"/>
            <w:gridSpan w:val="3"/>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ind w:right="144"/>
              <w:spacing w:after="0"/>
              <w:rPr>
                <w:sz w:val="20"/>
                <w:szCs w:val="20"/>
                <w:color w:val="auto"/>
              </w:rPr>
            </w:pPr>
            <w:r>
              <w:rPr>
                <w:rFonts w:ascii="Arial" w:cs="Arial" w:eastAsia="Arial" w:hAnsi="Arial"/>
                <w:sz w:val="19"/>
                <w:szCs w:val="19"/>
                <w:color w:val="auto"/>
              </w:rPr>
              <w:t>1,409</w:t>
            </w:r>
          </w:p>
        </w:tc>
        <w:tc>
          <w:tcPr>
            <w:tcW w:w="40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144"/>
              <w:spacing w:after="0"/>
              <w:rPr>
                <w:sz w:val="20"/>
                <w:szCs w:val="20"/>
                <w:color w:val="auto"/>
              </w:rPr>
            </w:pPr>
            <w:r>
              <w:rPr>
                <w:rFonts w:ascii="Arial" w:cs="Arial" w:eastAsia="Arial" w:hAnsi="Arial"/>
                <w:sz w:val="19"/>
                <w:szCs w:val="19"/>
                <w:color w:val="auto"/>
              </w:rPr>
              <w:t>712</w:t>
            </w:r>
          </w:p>
        </w:tc>
      </w:tr>
      <w:tr>
        <w:trPr>
          <w:trHeight w:val="292"/>
        </w:trPr>
        <w:tc>
          <w:tcPr>
            <w:tcW w:w="5980" w:type="dxa"/>
            <w:vAlign w:val="bottom"/>
          </w:tcPr>
          <w:p>
            <w:pPr>
              <w:spacing w:after="0"/>
              <w:rPr>
                <w:sz w:val="20"/>
                <w:szCs w:val="20"/>
                <w:color w:val="auto"/>
              </w:rPr>
            </w:pPr>
            <w:r>
              <w:rPr>
                <w:rFonts w:ascii="Arial" w:cs="Arial" w:eastAsia="Arial" w:hAnsi="Arial"/>
                <w:sz w:val="19"/>
                <w:szCs w:val="19"/>
                <w:color w:val="auto"/>
              </w:rPr>
              <w:t>Net income attributable to noncontrolling interests</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(1,227)</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64"/>
              <w:spacing w:after="0"/>
              <w:rPr>
                <w:sz w:val="20"/>
                <w:szCs w:val="20"/>
                <w:color w:val="auto"/>
              </w:rPr>
            </w:pPr>
            <w:r>
              <w:rPr>
                <w:rFonts w:ascii="Arial" w:cs="Arial" w:eastAsia="Arial" w:hAnsi="Arial"/>
                <w:sz w:val="19"/>
                <w:szCs w:val="19"/>
                <w:color w:val="auto"/>
              </w:rPr>
              <w:t>(995)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84"/>
              <w:spacing w:after="0"/>
              <w:rPr>
                <w:sz w:val="20"/>
                <w:szCs w:val="20"/>
                <w:color w:val="auto"/>
              </w:rPr>
            </w:pPr>
            <w:r>
              <w:rPr>
                <w:rFonts w:ascii="Arial" w:cs="Arial" w:eastAsia="Arial" w:hAnsi="Arial"/>
                <w:sz w:val="19"/>
                <w:szCs w:val="19"/>
                <w:color w:val="auto"/>
              </w:rPr>
              <w:t>(540)</w:t>
            </w:r>
          </w:p>
        </w:tc>
      </w:tr>
      <w:tr>
        <w:trPr>
          <w:trHeight w:val="296"/>
        </w:trPr>
        <w:tc>
          <w:tcPr>
            <w:tcW w:w="5980" w:type="dxa"/>
            <w:vAlign w:val="bottom"/>
          </w:tcPr>
          <w:p>
            <w:pPr>
              <w:spacing w:after="0"/>
              <w:rPr>
                <w:sz w:val="20"/>
                <w:szCs w:val="20"/>
                <w:color w:val="auto"/>
              </w:rPr>
            </w:pPr>
            <w:r>
              <w:rPr>
                <w:rFonts w:ascii="Arial" w:cs="Arial" w:eastAsia="Arial" w:hAnsi="Arial"/>
                <w:sz w:val="19"/>
                <w:szCs w:val="19"/>
                <w:color w:val="auto"/>
              </w:rPr>
              <w:t>Income taxes attributable to noncontrolling interests</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(121)</w:t>
            </w: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(189)</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4"/>
              <w:spacing w:after="0"/>
              <w:rPr>
                <w:sz w:val="20"/>
                <w:szCs w:val="20"/>
                <w:color w:val="auto"/>
              </w:rPr>
            </w:pPr>
            <w:r>
              <w:rPr>
                <w:rFonts w:ascii="Arial" w:cs="Arial" w:eastAsia="Arial" w:hAnsi="Arial"/>
                <w:sz w:val="19"/>
                <w:szCs w:val="19"/>
                <w:color w:val="auto"/>
              </w:rPr>
              <w:t>(73)</w:t>
            </w:r>
          </w:p>
        </w:tc>
      </w:tr>
      <w:tr>
        <w:trPr>
          <w:trHeight w:val="269"/>
        </w:trPr>
        <w:tc>
          <w:tcPr>
            <w:tcW w:w="5980" w:type="dxa"/>
            <w:vAlign w:val="bottom"/>
          </w:tcPr>
          <w:p>
            <w:pPr>
              <w:spacing w:after="0"/>
              <w:rPr>
                <w:sz w:val="23"/>
                <w:szCs w:val="23"/>
                <w:color w:val="auto"/>
              </w:rPr>
            </w:pP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266</w:t>
            </w:r>
          </w:p>
        </w:tc>
        <w:tc>
          <w:tcPr>
            <w:tcW w:w="560" w:type="dxa"/>
            <w:vAlign w:val="bottom"/>
            <w:gridSpan w:val="3"/>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ind w:right="144"/>
              <w:spacing w:after="0"/>
              <w:rPr>
                <w:sz w:val="20"/>
                <w:szCs w:val="20"/>
                <w:color w:val="auto"/>
              </w:rPr>
            </w:pPr>
            <w:r>
              <w:rPr>
                <w:rFonts w:ascii="Arial" w:cs="Arial" w:eastAsia="Arial" w:hAnsi="Arial"/>
                <w:sz w:val="19"/>
                <w:szCs w:val="19"/>
                <w:color w:val="auto"/>
              </w:rPr>
              <w:t>225</w:t>
            </w:r>
          </w:p>
        </w:tc>
        <w:tc>
          <w:tcPr>
            <w:tcW w:w="40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144"/>
              <w:spacing w:after="0"/>
              <w:rPr>
                <w:sz w:val="20"/>
                <w:szCs w:val="20"/>
                <w:color w:val="auto"/>
              </w:rPr>
            </w:pPr>
            <w:r>
              <w:rPr>
                <w:rFonts w:ascii="Arial" w:cs="Arial" w:eastAsia="Arial" w:hAnsi="Arial"/>
                <w:sz w:val="19"/>
                <w:szCs w:val="19"/>
                <w:color w:val="auto"/>
              </w:rPr>
              <w:t>99</w:t>
            </w:r>
          </w:p>
        </w:tc>
      </w:tr>
      <w:tr>
        <w:trPr>
          <w:trHeight w:val="296"/>
        </w:trPr>
        <w:tc>
          <w:tcPr>
            <w:tcW w:w="5980" w:type="dxa"/>
            <w:vAlign w:val="bottom"/>
          </w:tcPr>
          <w:p>
            <w:pPr>
              <w:spacing w:after="0"/>
              <w:rPr>
                <w:sz w:val="20"/>
                <w:szCs w:val="20"/>
                <w:color w:val="auto"/>
              </w:rPr>
            </w:pPr>
            <w:r>
              <w:rPr>
                <w:rFonts w:ascii="Arial" w:cs="Arial" w:eastAsia="Arial" w:hAnsi="Arial"/>
                <w:sz w:val="19"/>
                <w:szCs w:val="19"/>
                <w:color w:val="auto"/>
              </w:rPr>
              <w:t>Federal statutory income tax rate</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21 %</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21 %</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21 %</w:t>
            </w:r>
          </w:p>
        </w:tc>
      </w:tr>
      <w:tr>
        <w:trPr>
          <w:trHeight w:val="269"/>
        </w:trPr>
        <w:tc>
          <w:tcPr>
            <w:tcW w:w="5980" w:type="dxa"/>
            <w:vAlign w:val="bottom"/>
          </w:tcPr>
          <w:p>
            <w:pPr>
              <w:spacing w:after="0"/>
              <w:rPr>
                <w:sz w:val="20"/>
                <w:szCs w:val="20"/>
                <w:color w:val="auto"/>
              </w:rPr>
            </w:pPr>
            <w:r>
              <w:rPr>
                <w:rFonts w:ascii="Arial" w:cs="Arial" w:eastAsia="Arial" w:hAnsi="Arial"/>
                <w:sz w:val="19"/>
                <w:szCs w:val="19"/>
                <w:color w:val="auto"/>
              </w:rPr>
              <w:t>Income tax expense at statutory rate</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56</w:t>
            </w:r>
          </w:p>
        </w:tc>
        <w:tc>
          <w:tcPr>
            <w:tcW w:w="560" w:type="dxa"/>
            <w:vAlign w:val="bottom"/>
            <w:gridSpan w:val="3"/>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ind w:right="144"/>
              <w:spacing w:after="0"/>
              <w:rPr>
                <w:sz w:val="20"/>
                <w:szCs w:val="20"/>
                <w:color w:val="auto"/>
              </w:rPr>
            </w:pPr>
            <w:r>
              <w:rPr>
                <w:rFonts w:ascii="Arial" w:cs="Arial" w:eastAsia="Arial" w:hAnsi="Arial"/>
                <w:sz w:val="19"/>
                <w:szCs w:val="19"/>
                <w:color w:val="auto"/>
              </w:rPr>
              <w:t>47</w:t>
            </w:r>
          </w:p>
        </w:tc>
        <w:tc>
          <w:tcPr>
            <w:tcW w:w="40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144"/>
              <w:spacing w:after="0"/>
              <w:rPr>
                <w:sz w:val="20"/>
                <w:szCs w:val="20"/>
                <w:color w:val="auto"/>
              </w:rPr>
            </w:pPr>
            <w:r>
              <w:rPr>
                <w:rFonts w:ascii="Arial" w:cs="Arial" w:eastAsia="Arial" w:hAnsi="Arial"/>
                <w:sz w:val="19"/>
                <w:szCs w:val="19"/>
                <w:color w:val="auto"/>
              </w:rPr>
              <w:t>21</w:t>
            </w:r>
          </w:p>
        </w:tc>
      </w:tr>
      <w:tr>
        <w:trPr>
          <w:trHeight w:val="570"/>
        </w:trPr>
        <w:tc>
          <w:tcPr>
            <w:tcW w:w="5980" w:type="dxa"/>
            <w:vAlign w:val="bottom"/>
          </w:tcPr>
          <w:p>
            <w:pPr>
              <w:spacing w:after="0"/>
              <w:rPr>
                <w:sz w:val="20"/>
                <w:szCs w:val="20"/>
                <w:color w:val="auto"/>
              </w:rPr>
            </w:pPr>
            <w:r>
              <w:rPr>
                <w:rFonts w:ascii="Arial" w:cs="Arial" w:eastAsia="Arial" w:hAnsi="Arial"/>
                <w:sz w:val="19"/>
                <w:szCs w:val="19"/>
                <w:color w:val="auto"/>
              </w:rPr>
              <w:t>Deferred tax rate adjustment</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44"/>
              <w:spacing w:after="0"/>
              <w:rPr>
                <w:sz w:val="20"/>
                <w:szCs w:val="20"/>
                <w:color w:val="auto"/>
              </w:rPr>
            </w:pPr>
            <w:r>
              <w:rPr>
                <w:rFonts w:ascii="Arial" w:cs="Arial" w:eastAsia="Arial" w:hAnsi="Arial"/>
                <w:sz w:val="19"/>
                <w:szCs w:val="19"/>
                <w:color w:val="auto"/>
              </w:rPr>
              <w:t>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144"/>
              <w:spacing w:after="0"/>
              <w:rPr>
                <w:sz w:val="20"/>
                <w:szCs w:val="20"/>
                <w:color w:val="auto"/>
              </w:rPr>
            </w:pPr>
            <w:r>
              <w:rPr>
                <w:rFonts w:ascii="Arial" w:cs="Arial" w:eastAsia="Arial" w:hAnsi="Arial"/>
                <w:sz w:val="19"/>
                <w:szCs w:val="19"/>
                <w:color w:val="auto"/>
              </w:rPr>
              <w:t>17</w:t>
            </w:r>
          </w:p>
        </w:tc>
      </w:tr>
      <w:tr>
        <w:trPr>
          <w:trHeight w:val="292"/>
        </w:trPr>
        <w:tc>
          <w:tcPr>
            <w:tcW w:w="5980" w:type="dxa"/>
            <w:vAlign w:val="bottom"/>
          </w:tcPr>
          <w:p>
            <w:pPr>
              <w:spacing w:after="0"/>
              <w:rPr>
                <w:sz w:val="20"/>
                <w:szCs w:val="20"/>
                <w:color w:val="auto"/>
              </w:rPr>
            </w:pPr>
            <w:r>
              <w:rPr>
                <w:rFonts w:ascii="Arial" w:cs="Arial" w:eastAsia="Arial" w:hAnsi="Arial"/>
                <w:sz w:val="19"/>
                <w:szCs w:val="19"/>
                <w:color w:val="auto"/>
              </w:rPr>
              <w:t>State income tax, net of federal benefit</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44"/>
              <w:spacing w:after="0"/>
              <w:rPr>
                <w:sz w:val="20"/>
                <w:szCs w:val="20"/>
                <w:color w:val="auto"/>
              </w:rPr>
            </w:pPr>
            <w:r>
              <w:rPr>
                <w:rFonts w:ascii="Arial" w:cs="Arial" w:eastAsia="Arial" w:hAnsi="Arial"/>
                <w:sz w:val="19"/>
                <w:szCs w:val="19"/>
                <w:color w:val="auto"/>
              </w:rPr>
              <w:t>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144"/>
              <w:spacing w:after="0"/>
              <w:rPr>
                <w:sz w:val="20"/>
                <w:szCs w:val="20"/>
                <w:color w:val="auto"/>
              </w:rPr>
            </w:pPr>
            <w:r>
              <w:rPr>
                <w:rFonts w:ascii="Arial" w:cs="Arial" w:eastAsia="Arial" w:hAnsi="Arial"/>
                <w:sz w:val="19"/>
                <w:szCs w:val="19"/>
                <w:color w:val="auto"/>
              </w:rPr>
              <w:t>1</w:t>
            </w:r>
          </w:p>
        </w:tc>
      </w:tr>
      <w:tr>
        <w:trPr>
          <w:trHeight w:val="279"/>
        </w:trPr>
        <w:tc>
          <w:tcPr>
            <w:tcW w:w="5980" w:type="dxa"/>
            <w:vAlign w:val="bottom"/>
          </w:tcPr>
          <w:p>
            <w:pPr>
              <w:spacing w:after="0"/>
              <w:rPr>
                <w:sz w:val="20"/>
                <w:szCs w:val="20"/>
                <w:color w:val="auto"/>
              </w:rPr>
            </w:pPr>
            <w:r>
              <w:rPr>
                <w:rFonts w:ascii="Arial" w:cs="Arial" w:eastAsia="Arial" w:hAnsi="Arial"/>
                <w:sz w:val="19"/>
                <w:szCs w:val="19"/>
                <w:color w:val="auto"/>
              </w:rPr>
              <w:t>Income taxes attributable to noncontrolling interests:</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6"/>
        </w:trPr>
        <w:tc>
          <w:tcPr>
            <w:tcW w:w="5980" w:type="dxa"/>
            <w:vAlign w:val="bottom"/>
          </w:tcPr>
          <w:p>
            <w:pPr>
              <w:ind w:left="120"/>
              <w:spacing w:after="0"/>
              <w:rPr>
                <w:sz w:val="20"/>
                <w:szCs w:val="20"/>
                <w:color w:val="auto"/>
              </w:rPr>
            </w:pPr>
            <w:r>
              <w:rPr>
                <w:rFonts w:ascii="Arial" w:cs="Arial" w:eastAsia="Arial" w:hAnsi="Arial"/>
                <w:sz w:val="19"/>
                <w:szCs w:val="19"/>
                <w:color w:val="auto"/>
              </w:rPr>
              <w:t>Canadian federal and provincial income tax</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119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44"/>
              <w:spacing w:after="0"/>
              <w:rPr>
                <w:sz w:val="20"/>
                <w:szCs w:val="20"/>
                <w:color w:val="auto"/>
              </w:rPr>
            </w:pPr>
            <w:r>
              <w:rPr>
                <w:rFonts w:ascii="Arial" w:cs="Arial" w:eastAsia="Arial" w:hAnsi="Arial"/>
                <w:sz w:val="19"/>
                <w:szCs w:val="19"/>
                <w:color w:val="auto"/>
              </w:rPr>
              <w:t>188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144"/>
              <w:spacing w:after="0"/>
              <w:rPr>
                <w:sz w:val="20"/>
                <w:szCs w:val="20"/>
                <w:color w:val="auto"/>
              </w:rPr>
            </w:pPr>
            <w:r>
              <w:rPr>
                <w:rFonts w:ascii="Arial" w:cs="Arial" w:eastAsia="Arial" w:hAnsi="Arial"/>
                <w:sz w:val="19"/>
                <w:szCs w:val="19"/>
                <w:color w:val="auto"/>
              </w:rPr>
              <w:t>71</w:t>
            </w:r>
          </w:p>
        </w:tc>
      </w:tr>
      <w:tr>
        <w:trPr>
          <w:trHeight w:val="295"/>
        </w:trPr>
        <w:tc>
          <w:tcPr>
            <w:tcW w:w="5980" w:type="dxa"/>
            <w:vAlign w:val="bottom"/>
          </w:tcPr>
          <w:p>
            <w:pPr>
              <w:ind w:left="120"/>
              <w:spacing w:after="0"/>
              <w:rPr>
                <w:sz w:val="20"/>
                <w:szCs w:val="20"/>
                <w:color w:val="auto"/>
              </w:rPr>
            </w:pPr>
            <w:r>
              <w:rPr>
                <w:rFonts w:ascii="Arial" w:cs="Arial" w:eastAsia="Arial" w:hAnsi="Arial"/>
                <w:sz w:val="19"/>
                <w:szCs w:val="19"/>
                <w:color w:val="auto"/>
              </w:rPr>
              <w:t>State income tax</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4"/>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4"/>
              <w:spacing w:after="0"/>
              <w:rPr>
                <w:sz w:val="20"/>
                <w:szCs w:val="20"/>
                <w:color w:val="auto"/>
              </w:rPr>
            </w:pPr>
            <w:r>
              <w:rPr>
                <w:rFonts w:ascii="Arial" w:cs="Arial" w:eastAsia="Arial" w:hAnsi="Arial"/>
                <w:sz w:val="19"/>
                <w:szCs w:val="19"/>
                <w:color w:val="auto"/>
              </w:rPr>
              <w:t>2</w:t>
            </w:r>
          </w:p>
        </w:tc>
      </w:tr>
      <w:tr>
        <w:trPr>
          <w:trHeight w:val="253"/>
        </w:trPr>
        <w:tc>
          <w:tcPr>
            <w:tcW w:w="5980" w:type="dxa"/>
            <w:vAlign w:val="bottom"/>
          </w:tcPr>
          <w:p>
            <w:pPr>
              <w:spacing w:after="0"/>
              <w:rPr>
                <w:sz w:val="20"/>
                <w:szCs w:val="20"/>
                <w:color w:val="auto"/>
              </w:rPr>
            </w:pPr>
            <w:r>
              <w:rPr>
                <w:rFonts w:ascii="Arial" w:cs="Arial" w:eastAsia="Arial" w:hAnsi="Arial"/>
                <w:sz w:val="19"/>
                <w:szCs w:val="19"/>
                <w:color w:val="auto"/>
              </w:rPr>
              <w:t>Total income tax expense</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189</w:t>
            </w:r>
          </w:p>
        </w:tc>
        <w:tc>
          <w:tcPr>
            <w:tcW w:w="560" w:type="dxa"/>
            <w:vAlign w:val="bottom"/>
            <w:gridSpan w:val="3"/>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ind w:right="144"/>
              <w:spacing w:after="0"/>
              <w:rPr>
                <w:sz w:val="20"/>
                <w:szCs w:val="20"/>
                <w:color w:val="auto"/>
              </w:rPr>
            </w:pPr>
            <w:r>
              <w:rPr>
                <w:rFonts w:ascii="Arial" w:cs="Arial" w:eastAsia="Arial" w:hAnsi="Arial"/>
                <w:sz w:val="19"/>
                <w:szCs w:val="19"/>
                <w:color w:val="auto"/>
              </w:rPr>
              <w:t>246</w:t>
            </w:r>
          </w:p>
        </w:tc>
        <w:tc>
          <w:tcPr>
            <w:tcW w:w="40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144"/>
              <w:spacing w:after="0"/>
              <w:rPr>
                <w:sz w:val="20"/>
                <w:szCs w:val="20"/>
                <w:color w:val="auto"/>
              </w:rPr>
            </w:pPr>
            <w:r>
              <w:rPr>
                <w:rFonts w:ascii="Arial" w:cs="Arial" w:eastAsia="Arial" w:hAnsi="Arial"/>
                <w:sz w:val="19"/>
                <w:szCs w:val="19"/>
                <w:color w:val="auto"/>
              </w:rPr>
              <w:t>112</w:t>
            </w:r>
          </w:p>
        </w:tc>
      </w:tr>
      <w:tr>
        <w:trPr>
          <w:trHeight w:val="20"/>
        </w:trPr>
        <w:tc>
          <w:tcPr>
            <w:tcW w:w="5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-2435860</wp:posOffset>
            </wp:positionV>
            <wp:extent cx="6367145" cy="2442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04">
                      <a:extLst>
                        <a:ext uri="{28A0092B-C50C-407E-A947-70E740481C1C}"/>
                      </a:extLst>
                    </a:blip>
                    <a:srcRect/>
                    <a:stretch>
                      <a:fillRect/>
                    </a:stretch>
                  </pic:blipFill>
                  <pic:spPr bwMode="auto">
                    <a:xfrm>
                      <a:off x="0" y="0"/>
                      <a:ext cx="6367145" cy="2442845"/>
                    </a:xfrm>
                    <a:prstGeom prst="rect">
                      <a:avLst/>
                    </a:prstGeom>
                    <a:noFill/>
                  </pic:spPr>
                </pic:pic>
              </a:graphicData>
            </a:graphic>
          </wp:anchor>
        </w:drawing>
      </w:r>
    </w:p>
    <w:p>
      <w:pPr>
        <w:sectPr>
          <w:pgSz w:w="11880" w:h="15480" w:orient="portrait"/>
          <w:cols w:equalWidth="0" w:num="1">
            <w:col w:w="10000"/>
          </w:cols>
          <w:pgMar w:left="940" w:top="43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F-48</w:t>
      </w:r>
    </w:p>
    <w:p>
      <w:pPr>
        <w:sectPr>
          <w:pgSz w:w="11880" w:h="15480" w:orient="portrait"/>
          <w:cols w:equalWidth="0" w:num="1">
            <w:col w:w="10000"/>
          </w:cols>
          <w:pgMar w:left="940" w:top="432" w:right="940" w:bottom="0" w:gutter="0" w:footer="0" w:header="0"/>
          <w:type w:val="continuous"/>
        </w:sectPr>
      </w:pPr>
    </w:p>
    <w:bookmarkStart w:id="151" w:name="page152"/>
    <w:bookmarkEnd w:id="151"/>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right="280" w:firstLine="702"/>
        <w:spacing w:after="0" w:line="295" w:lineRule="auto"/>
        <w:rPr>
          <w:sz w:val="20"/>
          <w:szCs w:val="20"/>
          <w:color w:val="auto"/>
        </w:rPr>
      </w:pPr>
      <w:r>
        <w:rPr>
          <w:rFonts w:ascii="Arial" w:cs="Arial" w:eastAsia="Arial" w:hAnsi="Arial"/>
          <w:sz w:val="19"/>
          <w:szCs w:val="19"/>
          <w:color w:val="auto"/>
        </w:rPr>
        <w:t>Deferred tax assets and liabilities are aggregated by the applicable tax paying entity and jurisdiction and result from the following (in millions):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7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256"/>
        </w:trPr>
        <w:tc>
          <w:tcPr>
            <w:tcW w:w="7320" w:type="dxa"/>
            <w:vAlign w:val="bottom"/>
          </w:tcPr>
          <w:p>
            <w:pPr>
              <w:spacing w:after="0"/>
              <w:rPr>
                <w:sz w:val="20"/>
                <w:szCs w:val="20"/>
                <w:color w:val="auto"/>
              </w:rPr>
            </w:pPr>
            <w:r>
              <w:rPr>
                <w:rFonts w:ascii="Arial" w:cs="Arial" w:eastAsia="Arial" w:hAnsi="Arial"/>
                <w:sz w:val="19"/>
                <w:szCs w:val="19"/>
                <w:color w:val="auto"/>
              </w:rPr>
              <w:t>Deferred tax assets:</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7320" w:type="dxa"/>
            <w:vAlign w:val="bottom"/>
          </w:tcPr>
          <w:p>
            <w:pPr>
              <w:ind w:left="120"/>
              <w:spacing w:after="0"/>
              <w:rPr>
                <w:sz w:val="20"/>
                <w:szCs w:val="20"/>
                <w:color w:val="auto"/>
              </w:rPr>
            </w:pPr>
            <w:r>
              <w:rPr>
                <w:rFonts w:ascii="Arial" w:cs="Arial" w:eastAsia="Arial" w:hAnsi="Arial"/>
                <w:sz w:val="19"/>
                <w:szCs w:val="19"/>
                <w:color w:val="auto"/>
              </w:rPr>
              <w:t>Investment in partnerships</w:t>
            </w: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523</w:t>
            </w:r>
          </w:p>
        </w:tc>
        <w:tc>
          <w:tcPr>
            <w:tcW w:w="5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623</w:t>
            </w:r>
          </w:p>
        </w:tc>
        <w:tc>
          <w:tcPr>
            <w:tcW w:w="0" w:type="dxa"/>
            <w:vAlign w:val="bottom"/>
          </w:tcPr>
          <w:p>
            <w:pPr>
              <w:spacing w:after="0"/>
              <w:rPr>
                <w:sz w:val="1"/>
                <w:szCs w:val="1"/>
                <w:color w:val="auto"/>
              </w:rPr>
            </w:pPr>
          </w:p>
        </w:tc>
      </w:tr>
      <w:tr>
        <w:trPr>
          <w:trHeight w:val="292"/>
        </w:trPr>
        <w:tc>
          <w:tcPr>
            <w:tcW w:w="7320" w:type="dxa"/>
            <w:vAlign w:val="bottom"/>
          </w:tcPr>
          <w:p>
            <w:pPr>
              <w:ind w:left="120"/>
              <w:spacing w:after="0"/>
              <w:rPr>
                <w:sz w:val="20"/>
                <w:szCs w:val="20"/>
                <w:color w:val="auto"/>
              </w:rPr>
            </w:pPr>
            <w:r>
              <w:rPr>
                <w:rFonts w:ascii="Arial" w:cs="Arial" w:eastAsia="Arial" w:hAnsi="Arial"/>
                <w:sz w:val="19"/>
                <w:szCs w:val="19"/>
                <w:color w:val="auto"/>
              </w:rPr>
              <w:t>Net operating losses</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716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686</w:t>
            </w:r>
          </w:p>
        </w:tc>
        <w:tc>
          <w:tcPr>
            <w:tcW w:w="0" w:type="dxa"/>
            <w:vAlign w:val="bottom"/>
          </w:tcPr>
          <w:p>
            <w:pPr>
              <w:spacing w:after="0"/>
              <w:rPr>
                <w:sz w:val="1"/>
                <w:szCs w:val="1"/>
                <w:color w:val="auto"/>
              </w:rPr>
            </w:pPr>
          </w:p>
        </w:tc>
      </w:tr>
      <w:tr>
        <w:trPr>
          <w:trHeight w:val="292"/>
        </w:trPr>
        <w:tc>
          <w:tcPr>
            <w:tcW w:w="7320" w:type="dxa"/>
            <w:vAlign w:val="bottom"/>
          </w:tcPr>
          <w:p>
            <w:pPr>
              <w:ind w:left="120"/>
              <w:spacing w:after="0"/>
              <w:rPr>
                <w:sz w:val="20"/>
                <w:szCs w:val="20"/>
                <w:color w:val="auto"/>
              </w:rPr>
            </w:pPr>
            <w:r>
              <w:rPr>
                <w:rFonts w:ascii="Arial" w:cs="Arial" w:eastAsia="Arial" w:hAnsi="Arial"/>
                <w:sz w:val="19"/>
                <w:szCs w:val="19"/>
                <w:color w:val="auto"/>
              </w:rPr>
              <w:t>Lease liabilities</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40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45</w:t>
            </w:r>
          </w:p>
        </w:tc>
        <w:tc>
          <w:tcPr>
            <w:tcW w:w="0" w:type="dxa"/>
            <w:vAlign w:val="bottom"/>
          </w:tcPr>
          <w:p>
            <w:pPr>
              <w:spacing w:after="0"/>
              <w:rPr>
                <w:sz w:val="1"/>
                <w:szCs w:val="1"/>
                <w:color w:val="auto"/>
              </w:rPr>
            </w:pPr>
          </w:p>
        </w:tc>
      </w:tr>
      <w:tr>
        <w:trPr>
          <w:trHeight w:val="296"/>
        </w:trPr>
        <w:tc>
          <w:tcPr>
            <w:tcW w:w="7320" w:type="dxa"/>
            <w:vAlign w:val="bottom"/>
          </w:tcPr>
          <w:p>
            <w:pPr>
              <w:ind w:left="120"/>
              <w:spacing w:after="0"/>
              <w:rPr>
                <w:sz w:val="20"/>
                <w:szCs w:val="20"/>
                <w:color w:val="auto"/>
              </w:rPr>
            </w:pPr>
            <w:r>
              <w:rPr>
                <w:rFonts w:ascii="Arial" w:cs="Arial" w:eastAsia="Arial" w:hAnsi="Arial"/>
                <w:sz w:val="19"/>
                <w:szCs w:val="19"/>
                <w:color w:val="auto"/>
              </w:rPr>
              <w:t>Other</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w:t>
            </w:r>
          </w:p>
        </w:tc>
        <w:tc>
          <w:tcPr>
            <w:tcW w:w="0" w:type="dxa"/>
            <w:vAlign w:val="bottom"/>
          </w:tcPr>
          <w:p>
            <w:pPr>
              <w:spacing w:after="0"/>
              <w:rPr>
                <w:sz w:val="1"/>
                <w:szCs w:val="1"/>
                <w:color w:val="auto"/>
              </w:rPr>
            </w:pPr>
          </w:p>
        </w:tc>
      </w:tr>
      <w:tr>
        <w:trPr>
          <w:trHeight w:val="272"/>
        </w:trPr>
        <w:tc>
          <w:tcPr>
            <w:tcW w:w="7320" w:type="dxa"/>
            <w:vAlign w:val="bottom"/>
          </w:tcPr>
          <w:p>
            <w:pPr>
              <w:spacing w:after="0"/>
              <w:rPr>
                <w:sz w:val="20"/>
                <w:szCs w:val="20"/>
                <w:color w:val="auto"/>
              </w:rPr>
            </w:pPr>
            <w:r>
              <w:rPr>
                <w:rFonts w:ascii="Arial" w:cs="Arial" w:eastAsia="Arial" w:hAnsi="Arial"/>
                <w:sz w:val="19"/>
                <w:szCs w:val="19"/>
                <w:color w:val="auto"/>
              </w:rPr>
              <w:t>Total deferred tax assets</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1,324</w:t>
            </w:r>
          </w:p>
        </w:tc>
        <w:tc>
          <w:tcPr>
            <w:tcW w:w="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1,370</w:t>
            </w:r>
          </w:p>
        </w:tc>
        <w:tc>
          <w:tcPr>
            <w:tcW w:w="0" w:type="dxa"/>
            <w:vAlign w:val="bottom"/>
          </w:tcPr>
          <w:p>
            <w:pPr>
              <w:spacing w:after="0"/>
              <w:rPr>
                <w:sz w:val="1"/>
                <w:szCs w:val="1"/>
                <w:color w:val="auto"/>
              </w:rPr>
            </w:pPr>
          </w:p>
        </w:tc>
      </w:tr>
      <w:tr>
        <w:trPr>
          <w:trHeight w:val="549"/>
        </w:trPr>
        <w:tc>
          <w:tcPr>
            <w:tcW w:w="7320" w:type="dxa"/>
            <w:vAlign w:val="bottom"/>
          </w:tcPr>
          <w:p>
            <w:pPr>
              <w:spacing w:after="0"/>
              <w:rPr>
                <w:sz w:val="20"/>
                <w:szCs w:val="20"/>
                <w:color w:val="auto"/>
              </w:rPr>
            </w:pPr>
            <w:r>
              <w:rPr>
                <w:rFonts w:ascii="Arial" w:cs="Arial" w:eastAsia="Arial" w:hAnsi="Arial"/>
                <w:sz w:val="19"/>
                <w:szCs w:val="19"/>
                <w:color w:val="auto"/>
              </w:rPr>
              <w:t>Deferred tax liabilities: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320" w:type="dxa"/>
            <w:vAlign w:val="bottom"/>
          </w:tcPr>
          <w:p>
            <w:pPr>
              <w:ind w:left="120"/>
              <w:spacing w:after="0"/>
              <w:rPr>
                <w:sz w:val="20"/>
                <w:szCs w:val="20"/>
                <w:color w:val="auto"/>
              </w:rPr>
            </w:pPr>
            <w:r>
              <w:rPr>
                <w:rFonts w:ascii="Arial" w:cs="Arial" w:eastAsia="Arial" w:hAnsi="Arial"/>
                <w:sz w:val="19"/>
                <w:szCs w:val="19"/>
                <w:color w:val="auto"/>
              </w:rPr>
              <w:t>Property and equipment in excess of tax values</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(573)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(515)</w:t>
            </w:r>
          </w:p>
        </w:tc>
        <w:tc>
          <w:tcPr>
            <w:tcW w:w="0" w:type="dxa"/>
            <w:vAlign w:val="bottom"/>
          </w:tcPr>
          <w:p>
            <w:pPr>
              <w:spacing w:after="0"/>
              <w:rPr>
                <w:sz w:val="1"/>
                <w:szCs w:val="1"/>
                <w:color w:val="auto"/>
              </w:rPr>
            </w:pPr>
          </w:p>
        </w:tc>
      </w:tr>
      <w:tr>
        <w:trPr>
          <w:trHeight w:val="292"/>
        </w:trPr>
        <w:tc>
          <w:tcPr>
            <w:tcW w:w="7320" w:type="dxa"/>
            <w:vAlign w:val="bottom"/>
          </w:tcPr>
          <w:p>
            <w:pPr>
              <w:ind w:left="120"/>
              <w:spacing w:after="0"/>
              <w:rPr>
                <w:sz w:val="20"/>
                <w:szCs w:val="20"/>
                <w:color w:val="auto"/>
              </w:rPr>
            </w:pPr>
            <w:r>
              <w:rPr>
                <w:rFonts w:ascii="Arial" w:cs="Arial" w:eastAsia="Arial" w:hAnsi="Arial"/>
                <w:sz w:val="19"/>
                <w:szCs w:val="19"/>
                <w:color w:val="auto"/>
              </w:rPr>
              <w:t>Derivative instruments</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(46)</w:t>
            </w:r>
          </w:p>
        </w:tc>
        <w:tc>
          <w:tcPr>
            <w:tcW w:w="0" w:type="dxa"/>
            <w:vAlign w:val="bottom"/>
          </w:tcPr>
          <w:p>
            <w:pPr>
              <w:spacing w:after="0"/>
              <w:rPr>
                <w:sz w:val="1"/>
                <w:szCs w:val="1"/>
                <w:color w:val="auto"/>
              </w:rPr>
            </w:pPr>
          </w:p>
        </w:tc>
      </w:tr>
      <w:tr>
        <w:trPr>
          <w:trHeight w:val="292"/>
        </w:trPr>
        <w:tc>
          <w:tcPr>
            <w:tcW w:w="7320" w:type="dxa"/>
            <w:vAlign w:val="bottom"/>
          </w:tcPr>
          <w:p>
            <w:pPr>
              <w:ind w:left="120"/>
              <w:spacing w:after="0"/>
              <w:rPr>
                <w:sz w:val="20"/>
                <w:szCs w:val="20"/>
                <w:color w:val="auto"/>
              </w:rPr>
            </w:pPr>
            <w:r>
              <w:rPr>
                <w:rFonts w:ascii="Arial" w:cs="Arial" w:eastAsia="Arial" w:hAnsi="Arial"/>
                <w:sz w:val="19"/>
                <w:szCs w:val="19"/>
                <w:color w:val="auto"/>
              </w:rPr>
              <w:t>Lease assets</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(42)</w:t>
            </w:r>
          </w:p>
        </w:tc>
        <w:tc>
          <w:tcPr>
            <w:tcW w:w="0" w:type="dxa"/>
            <w:vAlign w:val="bottom"/>
          </w:tcPr>
          <w:p>
            <w:pPr>
              <w:spacing w:after="0"/>
              <w:rPr>
                <w:sz w:val="1"/>
                <w:szCs w:val="1"/>
                <w:color w:val="auto"/>
              </w:rPr>
            </w:pPr>
          </w:p>
        </w:tc>
      </w:tr>
      <w:tr>
        <w:trPr>
          <w:trHeight w:val="295"/>
        </w:trPr>
        <w:tc>
          <w:tcPr>
            <w:tcW w:w="7320" w:type="dxa"/>
            <w:vAlign w:val="bottom"/>
          </w:tcPr>
          <w:p>
            <w:pPr>
              <w:ind w:left="120"/>
              <w:spacing w:after="0"/>
              <w:rPr>
                <w:sz w:val="20"/>
                <w:szCs w:val="20"/>
                <w:color w:val="auto"/>
              </w:rPr>
            </w:pPr>
            <w:r>
              <w:rPr>
                <w:rFonts w:ascii="Arial" w:cs="Arial" w:eastAsia="Arial" w:hAnsi="Arial"/>
                <w:sz w:val="19"/>
                <w:szCs w:val="19"/>
                <w:color w:val="auto"/>
              </w:rPr>
              <w:t>Other</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72"/>
        </w:trPr>
        <w:tc>
          <w:tcPr>
            <w:tcW w:w="7320" w:type="dxa"/>
            <w:vAlign w:val="bottom"/>
          </w:tcPr>
          <w:p>
            <w:pPr>
              <w:spacing w:after="0"/>
              <w:rPr>
                <w:sz w:val="20"/>
                <w:szCs w:val="20"/>
                <w:color w:val="auto"/>
              </w:rPr>
            </w:pPr>
            <w:r>
              <w:rPr>
                <w:rFonts w:ascii="Arial" w:cs="Arial" w:eastAsia="Arial" w:hAnsi="Arial"/>
                <w:sz w:val="19"/>
                <w:szCs w:val="19"/>
                <w:color w:val="auto"/>
              </w:rPr>
              <w:t>Total deferred tax liabilities</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(620)</w:t>
            </w:r>
          </w:p>
        </w:tc>
        <w:tc>
          <w:tcPr>
            <w:tcW w:w="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(606)</w:t>
            </w:r>
          </w:p>
        </w:tc>
        <w:tc>
          <w:tcPr>
            <w:tcW w:w="0" w:type="dxa"/>
            <w:vAlign w:val="bottom"/>
          </w:tcPr>
          <w:p>
            <w:pPr>
              <w:spacing w:after="0"/>
              <w:rPr>
                <w:sz w:val="1"/>
                <w:szCs w:val="1"/>
                <w:color w:val="auto"/>
              </w:rPr>
            </w:pPr>
          </w:p>
        </w:tc>
      </w:tr>
      <w:tr>
        <w:trPr>
          <w:trHeight w:val="253"/>
        </w:trPr>
        <w:tc>
          <w:tcPr>
            <w:tcW w:w="7320" w:type="dxa"/>
            <w:vAlign w:val="bottom"/>
          </w:tcPr>
          <w:p>
            <w:pPr>
              <w:spacing w:after="0"/>
              <w:rPr>
                <w:sz w:val="20"/>
                <w:szCs w:val="20"/>
                <w:color w:val="auto"/>
              </w:rPr>
            </w:pPr>
            <w:r>
              <w:rPr>
                <w:rFonts w:ascii="Arial" w:cs="Arial" w:eastAsia="Arial" w:hAnsi="Arial"/>
                <w:sz w:val="19"/>
                <w:szCs w:val="19"/>
                <w:color w:val="auto"/>
              </w:rPr>
              <w:t>Net deferred tax assets</w:t>
            </w: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704</w:t>
            </w:r>
          </w:p>
        </w:tc>
        <w:tc>
          <w:tcPr>
            <w:tcW w:w="5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764</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9"/>
                <w:szCs w:val="19"/>
                <w:color w:val="auto"/>
              </w:rPr>
              <w:t>Balance sheet classification of deferred tax assets/(liabilities):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3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320" w:type="dxa"/>
            <w:vAlign w:val="bottom"/>
          </w:tcPr>
          <w:p>
            <w:pPr>
              <w:ind w:left="120"/>
              <w:spacing w:after="0"/>
              <w:rPr>
                <w:sz w:val="20"/>
                <w:szCs w:val="20"/>
                <w:color w:val="auto"/>
              </w:rPr>
            </w:pPr>
            <w:r>
              <w:rPr>
                <w:rFonts w:ascii="Arial" w:cs="Arial" w:eastAsia="Arial" w:hAnsi="Arial"/>
                <w:sz w:val="19"/>
                <w:szCs w:val="19"/>
                <w:color w:val="auto"/>
              </w:rPr>
              <w:t>Deferred tax asset</w:t>
            </w: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1,239</w:t>
            </w:r>
          </w:p>
        </w:tc>
        <w:tc>
          <w:tcPr>
            <w:tcW w:w="5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1,309</w:t>
            </w:r>
          </w:p>
        </w:tc>
        <w:tc>
          <w:tcPr>
            <w:tcW w:w="0" w:type="dxa"/>
            <w:vAlign w:val="bottom"/>
          </w:tcPr>
          <w:p>
            <w:pPr>
              <w:spacing w:after="0"/>
              <w:rPr>
                <w:sz w:val="1"/>
                <w:szCs w:val="1"/>
                <w:color w:val="auto"/>
              </w:rPr>
            </w:pPr>
          </w:p>
        </w:tc>
      </w:tr>
      <w:tr>
        <w:trPr>
          <w:trHeight w:val="295"/>
        </w:trPr>
        <w:tc>
          <w:tcPr>
            <w:tcW w:w="7320" w:type="dxa"/>
            <w:vAlign w:val="bottom"/>
          </w:tcPr>
          <w:p>
            <w:pPr>
              <w:ind w:left="120"/>
              <w:spacing w:after="0"/>
              <w:rPr>
                <w:sz w:val="20"/>
                <w:szCs w:val="20"/>
                <w:color w:val="auto"/>
              </w:rPr>
            </w:pPr>
            <w:r>
              <w:rPr>
                <w:rFonts w:ascii="Arial" w:cs="Arial" w:eastAsia="Arial" w:hAnsi="Arial"/>
                <w:sz w:val="19"/>
                <w:szCs w:val="19"/>
                <w:color w:val="auto"/>
              </w:rPr>
              <w:t>Other long-term liabilities and deferred credits</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(535)</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(545)</w:t>
            </w:r>
          </w:p>
        </w:tc>
        <w:tc>
          <w:tcPr>
            <w:tcW w:w="0" w:type="dxa"/>
            <w:vAlign w:val="bottom"/>
          </w:tcPr>
          <w:p>
            <w:pPr>
              <w:spacing w:after="0"/>
              <w:rPr>
                <w:sz w:val="1"/>
                <w:szCs w:val="1"/>
                <w:color w:val="auto"/>
              </w:rPr>
            </w:pPr>
          </w:p>
        </w:tc>
      </w:tr>
      <w:tr>
        <w:trPr>
          <w:trHeight w:val="253"/>
        </w:trPr>
        <w:tc>
          <w:tcPr>
            <w:tcW w:w="7320" w:type="dxa"/>
            <w:vAlign w:val="bottom"/>
          </w:tcPr>
          <w:p>
            <w:pPr>
              <w:spacing w:after="0"/>
              <w:rPr>
                <w:sz w:val="21"/>
                <w:szCs w:val="21"/>
                <w:color w:val="auto"/>
              </w:rPr>
            </w:pP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704</w:t>
            </w:r>
          </w:p>
        </w:tc>
        <w:tc>
          <w:tcPr>
            <w:tcW w:w="5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764</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-3559175</wp:posOffset>
            </wp:positionV>
            <wp:extent cx="6367145" cy="3566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05">
                      <a:extLst>
                        <a:ext uri="{28A0092B-C50C-407E-A947-70E740481C1C}"/>
                      </a:extLst>
                    </a:blip>
                    <a:srcRect/>
                    <a:stretch>
                      <a:fillRect/>
                    </a:stretch>
                  </pic:blipFill>
                  <pic:spPr bwMode="auto">
                    <a:xfrm>
                      <a:off x="0" y="0"/>
                      <a:ext cx="6367145" cy="3566160"/>
                    </a:xfrm>
                    <a:prstGeom prst="rect">
                      <a:avLst/>
                    </a:prstGeom>
                    <a:noFill/>
                  </pic:spPr>
                </pic:pic>
              </a:graphicData>
            </a:graphic>
          </wp:anchor>
        </w:drawing>
      </w:r>
    </w:p>
    <w:p>
      <w:pPr>
        <w:spacing w:after="0" w:line="221" w:lineRule="exact"/>
        <w:rPr>
          <w:sz w:val="20"/>
          <w:szCs w:val="20"/>
          <w:color w:val="auto"/>
        </w:rPr>
      </w:pPr>
    </w:p>
    <w:p>
      <w:pPr>
        <w:ind w:right="20" w:firstLine="702"/>
        <w:spacing w:after="0" w:line="277" w:lineRule="auto"/>
        <w:rPr>
          <w:sz w:val="20"/>
          <w:szCs w:val="20"/>
          <w:color w:val="auto"/>
        </w:rPr>
      </w:pPr>
      <w:r>
        <w:rPr>
          <w:rFonts w:ascii="Arial" w:cs="Arial" w:eastAsia="Arial" w:hAnsi="Arial"/>
          <w:sz w:val="17"/>
          <w:szCs w:val="17"/>
          <w:color w:val="auto"/>
        </w:rPr>
        <w:t>As a result of the exchange of the ownership interest in AAP in connection with our IPO and all subsequent exchanges, a deferred tax asset was created. These transfers of ownership were accounted for at the historical carrying basis for GAAP accounting purposes, but were recorded at the fair market value of the Class A shares at the time of exchange for U.S. federal income tax purposes. These transfers were transactions among shareholders, with the basis differences resulting in a deferred tax asset that was recorded as a component of partners’ capital. Also, other equity transactions, including the repurchase of common units by PAA, and the associated adjustment to partners’ capital attributable to PAGP resulted in a corresponding change to the deferred tax asset balance that was recorded as a component of partners’ capital. See Note 11 for additional information regarding exchanges and the repurchase of common units by PAA. The deferred tax asset is amortized to deferred income tax expense as the associated basis step-up is realized on our tax returns.</w:t>
      </w:r>
    </w:p>
    <w:p>
      <w:pPr>
        <w:spacing w:after="0" w:line="169" w:lineRule="exact"/>
        <w:rPr>
          <w:sz w:val="20"/>
          <w:szCs w:val="20"/>
          <w:color w:val="auto"/>
        </w:rPr>
      </w:pPr>
    </w:p>
    <w:p>
      <w:pPr>
        <w:ind w:firstLine="702"/>
        <w:spacing w:after="0" w:line="264" w:lineRule="auto"/>
        <w:rPr>
          <w:sz w:val="20"/>
          <w:szCs w:val="20"/>
          <w:color w:val="auto"/>
        </w:rPr>
      </w:pPr>
      <w:r>
        <w:rPr>
          <w:rFonts w:ascii="Arial" w:cs="Arial" w:eastAsia="Arial" w:hAnsi="Arial"/>
          <w:sz w:val="19"/>
          <w:szCs w:val="19"/>
          <w:color w:val="auto"/>
        </w:rPr>
        <w:t>As of December 31, 2023, our federal and state net operating loss carryforwards for income tax purposes were approximately $3,227 million and $886 million, respectively. If not utilized, the state net operating losses will begin to expire in 2024 and a portion of our federal net operating losses will begin to expire in 2033. Under the Tax Cuts and Jobs Act, U.S. federal NOLs generated after 2017 will have an indefinite carryforward period but may only reduce up to 80% of taxable income in any given year. Our U.S. federal NOLs generated prior to 2018 will not be subject to the taxable income limitation and will remain subject to a 20 year carryforward period.</w:t>
      </w:r>
    </w:p>
    <w:p>
      <w:pPr>
        <w:spacing w:after="0" w:line="196" w:lineRule="exact"/>
        <w:rPr>
          <w:sz w:val="20"/>
          <w:szCs w:val="20"/>
          <w:color w:val="auto"/>
        </w:rPr>
      </w:pPr>
    </w:p>
    <w:p>
      <w:pPr>
        <w:ind w:right="40" w:firstLine="702"/>
        <w:spacing w:after="0" w:line="295" w:lineRule="auto"/>
        <w:rPr>
          <w:sz w:val="20"/>
          <w:szCs w:val="20"/>
          <w:color w:val="auto"/>
        </w:rPr>
      </w:pPr>
      <w:r>
        <w:rPr>
          <w:rFonts w:ascii="Arial" w:cs="Arial" w:eastAsia="Arial" w:hAnsi="Arial"/>
          <w:sz w:val="19"/>
          <w:szCs w:val="19"/>
          <w:color w:val="auto"/>
        </w:rPr>
        <w:t>Generally, tax returns for our Canadian entities are open to audit from 2017 through 2023. Our U.S. and state tax years are generally open to examination from 2020 to 2023.</w:t>
      </w:r>
    </w:p>
    <w:p>
      <w:pPr>
        <w:sectPr>
          <w:pgSz w:w="11880" w:h="15480" w:orient="portrait"/>
          <w:cols w:equalWidth="0" w:num="1">
            <w:col w:w="10000"/>
          </w:cols>
          <w:pgMar w:left="940" w:top="43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F-49</w:t>
      </w:r>
    </w:p>
    <w:p>
      <w:pPr>
        <w:sectPr>
          <w:pgSz w:w="11880" w:h="15480" w:orient="portrait"/>
          <w:cols w:equalWidth="0" w:num="1">
            <w:col w:w="10000"/>
          </w:cols>
          <w:pgMar w:left="940" w:top="431" w:right="940" w:bottom="0" w:gutter="0" w:footer="0" w:header="0"/>
          <w:type w:val="continuous"/>
        </w:sectPr>
      </w:pPr>
    </w:p>
    <w:bookmarkStart w:id="152" w:name="page153"/>
    <w:bookmarkEnd w:id="152"/>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right="60" w:firstLine="702"/>
        <w:spacing w:after="0" w:line="293" w:lineRule="auto"/>
        <w:rPr>
          <w:sz w:val="20"/>
          <w:szCs w:val="20"/>
          <w:color w:val="auto"/>
        </w:rPr>
      </w:pPr>
      <w:r>
        <w:rPr>
          <w:rFonts w:ascii="Arial" w:cs="Arial" w:eastAsia="Arial" w:hAnsi="Arial"/>
          <w:sz w:val="17"/>
          <w:szCs w:val="17"/>
          <w:color w:val="auto"/>
        </w:rPr>
        <w:t>As of December 31, 2023, in reference to tax years 2012 to 2018, we had received notices of reassessment (“notices”) from the Canada Revenue Agency and the Alberta Tax and Revenue Administration (the “Canadian Tax Authorities”) related primarily to transfer pricing associated with cross-border intercompany financing transactions. These notices include assessments, including penalties and interest, associated with these transfer pricing matters totaling approximately $165 million (based on the exchange rate as of December 31, 2023). Payment of a portion of the assessment is required in order to file a notice of objection to dispute the reassessment. Accordingly, we have remitted approximately $87 million (based on the exchange rate as of December 31, 2023) related to the assessments, which is included in “Other long-term assets, net,” on our Consolidated Balance Sheets. We disagree with these notices and have contested the reassessments. We intend to vigorously defend our position, and we plan to pursue all remedies available to us to successfully resolve these matters, including administrative remedies with the Canadian Tax Authorities, and judicial remedies, if necessary. As of December 31, 2023, we believe that our tax position associated with these matters is “more likely than not” to be sustained and have not recognized any amounts for uncertainty in income taxes related to these notices.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15—Major Customers and Concentration of Credit Risk</w:t>
      </w:r>
    </w:p>
    <w:p>
      <w:pPr>
        <w:spacing w:after="0" w:line="257" w:lineRule="exact"/>
        <w:rPr>
          <w:sz w:val="20"/>
          <w:szCs w:val="20"/>
          <w:color w:val="auto"/>
        </w:rPr>
      </w:pPr>
    </w:p>
    <w:p>
      <w:pPr>
        <w:ind w:right="80" w:firstLine="702"/>
        <w:spacing w:after="0" w:line="299" w:lineRule="auto"/>
        <w:rPr>
          <w:sz w:val="20"/>
          <w:szCs w:val="20"/>
          <w:color w:val="auto"/>
        </w:rPr>
      </w:pPr>
      <w:r>
        <w:rPr>
          <w:rFonts w:ascii="Arial" w:cs="Arial" w:eastAsia="Arial" w:hAnsi="Arial"/>
          <w:sz w:val="17"/>
          <w:szCs w:val="17"/>
          <w:color w:val="auto"/>
        </w:rPr>
        <w:t>ExxonMobil Corporation and its subsidiaries accounted for 26%, 20% and 15% of our revenues for the years ended December 31, 2023, 2022 and 2021, respectively. BP p.l.c. and its subsidiaries accounted for 10% of our revenues for the years ended December 31, 2023 and 2021. Marathon Petroleum Corporation and its subsidiaries accounted for 12% of our revenues for the year ended December 31, 2021. No other customers accounted for 10% or more of our revenues during any of the three years ended December 31, 2023.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w:t>
      </w:r>
    </w:p>
    <w:p>
      <w:pPr>
        <w:spacing w:after="0" w:line="167" w:lineRule="exact"/>
        <w:rPr>
          <w:sz w:val="20"/>
          <w:szCs w:val="20"/>
          <w:color w:val="auto"/>
        </w:rPr>
      </w:pPr>
    </w:p>
    <w:p>
      <w:pPr>
        <w:ind w:firstLine="702"/>
        <w:spacing w:after="0" w:line="263" w:lineRule="auto"/>
        <w:rPr>
          <w:sz w:val="20"/>
          <w:szCs w:val="20"/>
          <w:color w:val="auto"/>
        </w:rPr>
      </w:pPr>
      <w:r>
        <w:rPr>
          <w:rFonts w:ascii="Arial" w:cs="Arial" w:eastAsia="Arial" w:hAnsi="Arial"/>
          <w:sz w:val="19"/>
          <w:szCs w:val="19"/>
          <w:color w:val="auto"/>
        </w:rPr>
        <w:t>Financial instruments that potentially subject us to concentrations of credit risk consist principally of trade receivables. Our accounts receivable are primarily from purchasers and shippers of crude oil and, to a lesser extent, purchasers of NGL.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3 for additional discussion of our accounts receivable and our review of credit exposure.</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16—Related Party Transactions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PAA’s Ownership of our Class C Shares</w:t>
      </w:r>
    </w:p>
    <w:p>
      <w:pPr>
        <w:spacing w:after="0" w:line="257" w:lineRule="exact"/>
        <w:rPr>
          <w:sz w:val="20"/>
          <w:szCs w:val="20"/>
          <w:color w:val="auto"/>
        </w:rPr>
      </w:pPr>
    </w:p>
    <w:p>
      <w:pPr>
        <w:ind w:right="440" w:firstLine="702"/>
        <w:spacing w:after="0" w:line="295" w:lineRule="auto"/>
        <w:rPr>
          <w:sz w:val="20"/>
          <w:szCs w:val="20"/>
          <w:color w:val="auto"/>
        </w:rPr>
      </w:pPr>
      <w:r>
        <w:rPr>
          <w:rFonts w:ascii="Arial" w:cs="Arial" w:eastAsia="Arial" w:hAnsi="Arial"/>
          <w:sz w:val="19"/>
          <w:szCs w:val="19"/>
          <w:color w:val="auto"/>
        </w:rPr>
        <w:t>As of December 31, 2023 and 2022, PAA owned 539,445,289 and 528,442,538, respectively, Class C shares. See Note 11 for additional information regarding our Class C shares.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Omnibus Agreement</w:t>
      </w:r>
    </w:p>
    <w:p>
      <w:pPr>
        <w:spacing w:after="0" w:line="257" w:lineRule="exact"/>
        <w:rPr>
          <w:sz w:val="20"/>
          <w:szCs w:val="20"/>
          <w:color w:val="auto"/>
        </w:rPr>
      </w:pPr>
    </w:p>
    <w:p>
      <w:pPr>
        <w:ind w:right="160" w:firstLine="702"/>
        <w:spacing w:after="0" w:line="295" w:lineRule="auto"/>
        <w:rPr>
          <w:sz w:val="20"/>
          <w:szCs w:val="20"/>
          <w:color w:val="auto"/>
        </w:rPr>
      </w:pPr>
      <w:r>
        <w:rPr>
          <w:rFonts w:ascii="Arial" w:cs="Arial" w:eastAsia="Arial" w:hAnsi="Arial"/>
          <w:sz w:val="19"/>
          <w:szCs w:val="19"/>
          <w:color w:val="auto"/>
        </w:rPr>
        <w:t>The Plains Entities entered into an Omnibus Agreement on November 15, 2016, which, among other things, provides for the following:</w:t>
      </w:r>
    </w:p>
    <w:p>
      <w:pPr>
        <w:spacing w:after="0" w:line="165" w:lineRule="exact"/>
        <w:rPr>
          <w:sz w:val="20"/>
          <w:szCs w:val="20"/>
          <w:color w:val="auto"/>
        </w:rPr>
      </w:pPr>
    </w:p>
    <w:p>
      <w:pPr>
        <w:ind w:left="700" w:right="120" w:hanging="350"/>
        <w:spacing w:after="0" w:line="276" w:lineRule="auto"/>
        <w:tabs>
          <w:tab w:leader="none" w:pos="700" w:val="left"/>
        </w:tabs>
        <w:numPr>
          <w:ilvl w:val="0"/>
          <w:numId w:val="99"/>
        </w:numPr>
        <w:rPr>
          <w:rFonts w:ascii="Arial" w:cs="Arial" w:eastAsia="Arial" w:hAnsi="Arial"/>
          <w:sz w:val="19"/>
          <w:szCs w:val="19"/>
          <w:color w:val="auto"/>
        </w:rPr>
      </w:pPr>
      <w:r>
        <w:rPr>
          <w:rFonts w:ascii="Arial" w:cs="Arial" w:eastAsia="Arial" w:hAnsi="Arial"/>
          <w:sz w:val="19"/>
          <w:szCs w:val="19"/>
          <w:color w:val="auto"/>
        </w:rPr>
        <w:t>our ability to issue additional Class A shares and use the net proceeds therefrom to purchase a like number of AAP units from AAP, and the corresponding ability of AAP to use the net proceeds therefrom to purchase a like number of PAA common units; and</w:t>
      </w:r>
    </w:p>
    <w:p>
      <w:pPr>
        <w:spacing w:after="0" w:line="182" w:lineRule="exact"/>
        <w:rPr>
          <w:rFonts w:ascii="Arial" w:cs="Arial" w:eastAsia="Arial" w:hAnsi="Arial"/>
          <w:sz w:val="19"/>
          <w:szCs w:val="19"/>
          <w:color w:val="auto"/>
        </w:rPr>
      </w:pPr>
    </w:p>
    <w:p>
      <w:pPr>
        <w:ind w:left="700" w:hanging="350"/>
        <w:spacing w:after="0" w:line="295" w:lineRule="auto"/>
        <w:tabs>
          <w:tab w:leader="none" w:pos="700" w:val="left"/>
        </w:tabs>
        <w:numPr>
          <w:ilvl w:val="0"/>
          <w:numId w:val="99"/>
        </w:numPr>
        <w:rPr>
          <w:rFonts w:ascii="Arial" w:cs="Arial" w:eastAsia="Arial" w:hAnsi="Arial"/>
          <w:sz w:val="19"/>
          <w:szCs w:val="19"/>
          <w:color w:val="auto"/>
        </w:rPr>
      </w:pPr>
      <w:r>
        <w:rPr>
          <w:rFonts w:ascii="Arial" w:cs="Arial" w:eastAsia="Arial" w:hAnsi="Arial"/>
          <w:sz w:val="19"/>
          <w:szCs w:val="19"/>
          <w:color w:val="auto"/>
        </w:rPr>
        <w:t>our ability to lend proceeds of any future indebtedness incurred by us to AAP, and AAP’s corresponding ability to lend such proceeds to PAA, in each case on substantially the same terms as incurred by us.</w:t>
      </w:r>
    </w:p>
    <w:p>
      <w:pPr>
        <w:sectPr>
          <w:pgSz w:w="11880" w:h="15480" w:orient="portrait"/>
          <w:cols w:equalWidth="0" w:num="1">
            <w:col w:w="10000"/>
          </w:cols>
          <w:pgMar w:left="940" w:top="43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F-50</w:t>
      </w:r>
    </w:p>
    <w:p>
      <w:pPr>
        <w:sectPr>
          <w:pgSz w:w="11880" w:h="15480" w:orient="portrait"/>
          <w:cols w:equalWidth="0" w:num="1">
            <w:col w:w="10000"/>
          </w:cols>
          <w:pgMar w:left="940" w:top="432" w:right="940" w:bottom="0" w:gutter="0" w:footer="0" w:header="0"/>
          <w:type w:val="continuous"/>
        </w:sectPr>
      </w:pPr>
    </w:p>
    <w:bookmarkStart w:id="153" w:name="page154"/>
    <w:bookmarkEnd w:id="153"/>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5"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Transactions with Other Related Parties</w:t>
      </w:r>
    </w:p>
    <w:p>
      <w:pPr>
        <w:spacing w:after="0" w:line="253" w:lineRule="exact"/>
        <w:rPr>
          <w:sz w:val="20"/>
          <w:szCs w:val="20"/>
          <w:color w:val="auto"/>
        </w:rPr>
      </w:pPr>
    </w:p>
    <w:p>
      <w:pPr>
        <w:ind w:left="1" w:firstLine="702"/>
        <w:spacing w:after="0" w:line="301" w:lineRule="auto"/>
        <w:rPr>
          <w:sz w:val="20"/>
          <w:szCs w:val="20"/>
          <w:color w:val="auto"/>
        </w:rPr>
      </w:pPr>
      <w:r>
        <w:rPr>
          <w:rFonts w:ascii="Arial" w:cs="Arial" w:eastAsia="Arial" w:hAnsi="Arial"/>
          <w:sz w:val="17"/>
          <w:szCs w:val="17"/>
          <w:color w:val="auto"/>
        </w:rPr>
        <w:t>Our other related parties include (i) entities in which we hold investments and account for under the equity method of accounting (see Note 8 for information regarding such entities) and (ii) principal owners and their affiliated entities. We recognize as our principal owners entities that have a designated representative on the board of directors of PAGP GP and/or own greater than 10% of the limited partner interests in AAP. Such limited partner interests in AAP translate into a significantly smaller indirect ownership interest in PAA. We also consider subsidiaries or funds identified as affiliated with principal owners to be related parties. As of December 31, 2023, no entities met the criteria to be recognized as a principal owner in PAA.</w:t>
      </w:r>
    </w:p>
    <w:p>
      <w:pPr>
        <w:spacing w:after="0" w:line="167" w:lineRule="exact"/>
        <w:rPr>
          <w:sz w:val="20"/>
          <w:szCs w:val="20"/>
          <w:color w:val="auto"/>
        </w:rPr>
      </w:pPr>
    </w:p>
    <w:p>
      <w:pPr>
        <w:ind w:left="1" w:right="40" w:firstLine="702"/>
        <w:spacing w:after="0" w:line="282" w:lineRule="auto"/>
        <w:rPr>
          <w:sz w:val="20"/>
          <w:szCs w:val="20"/>
          <w:color w:val="auto"/>
        </w:rPr>
      </w:pPr>
      <w:r>
        <w:rPr>
          <w:rFonts w:ascii="Arial" w:cs="Arial" w:eastAsia="Arial" w:hAnsi="Arial"/>
          <w:sz w:val="18"/>
          <w:szCs w:val="18"/>
          <w:color w:val="auto"/>
        </w:rPr>
        <w:t>In August 2021, the Board approved and adopted an amendment to our general partner’s limited liability company agreement (the “Amendment”) which eliminated all previously negotiated “director designation” rights and requires that all directors be subject to public election, including Kayne Anderson Capital Advisors, L.P.’s (“Kayne Anderson”) legacy contractual right to designate an individual to serve on the Board without being subject to public election. The Amendment also eliminated all previously negotiated rights, including Kayne Anderson’s right, to appoint a Board observer under certain circumstances. As a result of these changes, we no longer recognize Kayne Anderson and its affiliates as related parties.</w:t>
      </w:r>
    </w:p>
    <w:p>
      <w:pPr>
        <w:spacing w:after="0" w:line="179" w:lineRule="exact"/>
        <w:rPr>
          <w:sz w:val="20"/>
          <w:szCs w:val="20"/>
          <w:color w:val="auto"/>
        </w:rPr>
      </w:pPr>
    </w:p>
    <w:p>
      <w:pPr>
        <w:ind w:left="1" w:right="80" w:firstLine="702"/>
        <w:spacing w:after="0" w:line="276" w:lineRule="auto"/>
        <w:rPr>
          <w:sz w:val="20"/>
          <w:szCs w:val="20"/>
          <w:color w:val="auto"/>
        </w:rPr>
      </w:pPr>
      <w:r>
        <w:rPr>
          <w:rFonts w:ascii="Arial" w:cs="Arial" w:eastAsia="Arial" w:hAnsi="Arial"/>
          <w:sz w:val="19"/>
          <w:szCs w:val="19"/>
          <w:color w:val="auto"/>
        </w:rPr>
        <w:t>During the three years ended December 31, 2023, we recognized sales and transportation revenues, purchased petroleum products and utilized transportation and storage services from our related parties. These transactions were conducted at posted tariff rates or prices that we believe approximate market.</w:t>
      </w:r>
    </w:p>
    <w:p>
      <w:pPr>
        <w:spacing w:after="0" w:line="182" w:lineRule="exact"/>
        <w:rPr>
          <w:sz w:val="20"/>
          <w:szCs w:val="20"/>
          <w:color w:val="auto"/>
        </w:rPr>
      </w:pPr>
    </w:p>
    <w:p>
      <w:pPr>
        <w:ind w:left="701"/>
        <w:spacing w:after="0"/>
        <w:rPr>
          <w:sz w:val="20"/>
          <w:szCs w:val="20"/>
          <w:color w:val="auto"/>
        </w:rPr>
      </w:pPr>
      <w:r>
        <w:rPr>
          <w:rFonts w:ascii="Arial" w:cs="Arial" w:eastAsia="Arial" w:hAnsi="Arial"/>
          <w:sz w:val="18"/>
          <w:szCs w:val="18"/>
          <w:color w:val="auto"/>
        </w:rPr>
        <w:t>The impact to our Consolidated Statements of Operations from these transactions is included below (in millions):</w:t>
      </w:r>
    </w:p>
    <w:p>
      <w:pPr>
        <w:spacing w:after="0" w:line="348" w:lineRule="exact"/>
        <w:rPr>
          <w:sz w:val="20"/>
          <w:szCs w:val="20"/>
          <w:color w:val="auto"/>
        </w:rPr>
      </w:pPr>
    </w:p>
    <w:tbl>
      <w:tblPr>
        <w:tblLayout w:type="fixed"/>
        <w:tblInd w:w="61"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29"/>
        </w:trPr>
        <w:tc>
          <w:tcPr>
            <w:tcW w:w="59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2021</w:t>
            </w:r>
          </w:p>
        </w:tc>
      </w:tr>
      <w:tr>
        <w:trPr>
          <w:trHeight w:val="269"/>
        </w:trPr>
        <w:tc>
          <w:tcPr>
            <w:tcW w:w="5980" w:type="dxa"/>
            <w:vAlign w:val="bottom"/>
          </w:tcPr>
          <w:p>
            <w:pPr>
              <w:spacing w:after="0"/>
              <w:rPr>
                <w:sz w:val="20"/>
                <w:szCs w:val="20"/>
                <w:color w:val="auto"/>
              </w:rPr>
            </w:pPr>
            <w:r>
              <w:rPr>
                <w:rFonts w:ascii="Arial" w:cs="Arial" w:eastAsia="Arial" w:hAnsi="Arial"/>
                <w:sz w:val="19"/>
                <w:szCs w:val="19"/>
                <w:color w:val="auto"/>
              </w:rPr>
              <w:t>Revenues from related parties</w:t>
            </w:r>
          </w:p>
        </w:tc>
        <w:tc>
          <w:tcPr>
            <w:tcW w:w="840" w:type="dxa"/>
            <w:vAlign w:val="bottom"/>
          </w:tcPr>
          <w:p>
            <w:pPr>
              <w:jc w:val="right"/>
              <w:ind w:right="609"/>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48</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45</w:t>
            </w:r>
          </w:p>
        </w:tc>
        <w:tc>
          <w:tcPr>
            <w:tcW w:w="40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585"/>
        </w:trPr>
        <w:tc>
          <w:tcPr>
            <w:tcW w:w="5980" w:type="dxa"/>
            <w:vAlign w:val="bottom"/>
          </w:tcPr>
          <w:p>
            <w:pPr>
              <w:spacing w:after="0"/>
              <w:rPr>
                <w:sz w:val="20"/>
                <w:szCs w:val="20"/>
                <w:color w:val="auto"/>
              </w:rPr>
            </w:pPr>
            <w:r>
              <w:rPr>
                <w:rFonts w:ascii="Arial" w:cs="Arial" w:eastAsia="Arial" w:hAnsi="Arial"/>
                <w:sz w:val="19"/>
                <w:szCs w:val="19"/>
                <w:color w:val="auto"/>
              </w:rPr>
              <w:t>Purchases and related costs from related parties</w:t>
            </w:r>
          </w:p>
        </w:tc>
        <w:tc>
          <w:tcPr>
            <w:tcW w:w="840" w:type="dxa"/>
            <w:vAlign w:val="bottom"/>
          </w:tcPr>
          <w:p>
            <w:pPr>
              <w:jc w:val="right"/>
              <w:ind w:right="609"/>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404</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365</w:t>
            </w:r>
          </w:p>
        </w:tc>
        <w:tc>
          <w:tcPr>
            <w:tcW w:w="40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-560705</wp:posOffset>
            </wp:positionV>
            <wp:extent cx="6367145" cy="5822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06">
                      <a:extLst>
                        <a:ext uri="{28A0092B-C50C-407E-A947-70E740481C1C}"/>
                      </a:extLst>
                    </a:blip>
                    <a:srcRect/>
                    <a:stretch>
                      <a:fillRect/>
                    </a:stretch>
                  </pic:blipFill>
                  <pic:spPr bwMode="auto">
                    <a:xfrm>
                      <a:off x="0" y="0"/>
                      <a:ext cx="6367145" cy="582295"/>
                    </a:xfrm>
                    <a:prstGeom prst="rect">
                      <a:avLst/>
                    </a:prstGeom>
                    <a:noFill/>
                  </pic:spPr>
                </pic:pic>
              </a:graphicData>
            </a:graphic>
          </wp:anchor>
        </w:drawing>
      </w:r>
    </w:p>
    <w:p>
      <w:pPr>
        <w:spacing w:after="0" w:line="264" w:lineRule="exact"/>
        <w:rPr>
          <w:sz w:val="20"/>
          <w:szCs w:val="20"/>
          <w:color w:val="auto"/>
        </w:rPr>
      </w:pPr>
    </w:p>
    <w:p>
      <w:pPr>
        <w:jc w:val="both"/>
        <w:ind w:left="1" w:right="20" w:firstLine="702"/>
        <w:spacing w:after="0" w:line="295" w:lineRule="auto"/>
        <w:rPr>
          <w:sz w:val="20"/>
          <w:szCs w:val="20"/>
          <w:color w:val="auto"/>
        </w:rPr>
      </w:pPr>
      <w:r>
        <w:rPr>
          <w:rFonts w:ascii="Arial" w:cs="Arial" w:eastAsia="Arial" w:hAnsi="Arial"/>
          <w:sz w:val="19"/>
          <w:szCs w:val="19"/>
          <w:color w:val="auto"/>
        </w:rPr>
        <w:t>Our receivable and payable amounts with these related parties as reflected on our Consolidated Balance Sheets were as follows (in millions):</w:t>
      </w:r>
    </w:p>
    <w:p>
      <w:pPr>
        <w:spacing w:after="0" w:line="252" w:lineRule="exact"/>
        <w:rPr>
          <w:sz w:val="20"/>
          <w:szCs w:val="20"/>
          <w:color w:val="auto"/>
        </w:rPr>
      </w:pPr>
    </w:p>
    <w:tbl>
      <w:tblPr>
        <w:tblLayout w:type="fixed"/>
        <w:tblInd w:w="61" w:type="dxa"/>
        <w:tblCellMar>
          <w:top w:w="0" w:type="dxa"/>
          <w:left w:w="0" w:type="dxa"/>
          <w:bottom w:w="0" w:type="dxa"/>
          <w:right w:w="0" w:type="dxa"/>
        </w:tblCellMar>
      </w:tblPr>
      <w:tr>
        <w:trPr>
          <w:trHeight w:val="212"/>
        </w:trPr>
        <w:tc>
          <w:tcPr>
            <w:tcW w:w="73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88"/>
              </w:rPr>
              <w:t>December 31,</w:t>
            </w:r>
          </w:p>
        </w:tc>
        <w:tc>
          <w:tcPr>
            <w:tcW w:w="820" w:type="dxa"/>
            <w:vAlign w:val="bottom"/>
            <w:tcBorders>
              <w:bottom w:val="single" w:sz="8" w:color="auto"/>
            </w:tcBorders>
          </w:tcPr>
          <w:p>
            <w:pPr>
              <w:spacing w:after="0"/>
              <w:rPr>
                <w:sz w:val="18"/>
                <w:szCs w:val="18"/>
                <w:color w:val="auto"/>
              </w:rPr>
            </w:pPr>
          </w:p>
        </w:tc>
      </w:tr>
      <w:tr>
        <w:trPr>
          <w:trHeight w:val="229"/>
        </w:trPr>
        <w:tc>
          <w:tcPr>
            <w:tcW w:w="73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w w:val="89"/>
              </w:rPr>
              <w:t>2022</w:t>
            </w:r>
          </w:p>
        </w:tc>
      </w:tr>
      <w:tr>
        <w:trPr>
          <w:trHeight w:val="332"/>
        </w:trPr>
        <w:tc>
          <w:tcPr>
            <w:tcW w:w="7320" w:type="dxa"/>
            <w:vAlign w:val="bottom"/>
          </w:tcPr>
          <w:p>
            <w:pPr>
              <w:spacing w:after="0"/>
              <w:rPr>
                <w:sz w:val="20"/>
                <w:szCs w:val="20"/>
                <w:color w:val="auto"/>
              </w:rPr>
            </w:pPr>
            <w:r>
              <w:rPr>
                <w:rFonts w:ascii="Arial" w:cs="Arial" w:eastAsia="Arial" w:hAnsi="Arial"/>
                <w:sz w:val="19"/>
                <w:szCs w:val="19"/>
                <w:color w:val="auto"/>
              </w:rPr>
              <w:t xml:space="preserve">Trade accounts receivable and other receivables, net from related parties </w:t>
            </w:r>
            <w:r>
              <w:rPr>
                <w:rFonts w:ascii="Arial" w:cs="Arial" w:eastAsia="Arial" w:hAnsi="Arial"/>
                <w:sz w:val="25"/>
                <w:szCs w:val="25"/>
                <w:color w:val="auto"/>
                <w:vertAlign w:val="superscript"/>
              </w:rPr>
              <w:t>(1)</w:t>
            </w:r>
          </w:p>
        </w:tc>
        <w:tc>
          <w:tcPr>
            <w:tcW w:w="820" w:type="dxa"/>
            <w:vAlign w:val="bottom"/>
          </w:tcPr>
          <w:p>
            <w:pPr>
              <w:jc w:val="right"/>
              <w:ind w:right="589"/>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63</w:t>
            </w:r>
          </w:p>
        </w:tc>
        <w:tc>
          <w:tcPr>
            <w:tcW w:w="5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45</w:t>
            </w:r>
          </w:p>
        </w:tc>
      </w:tr>
      <w:tr>
        <w:trPr>
          <w:trHeight w:val="585"/>
        </w:trPr>
        <w:tc>
          <w:tcPr>
            <w:tcW w:w="7320" w:type="dxa"/>
            <w:vAlign w:val="bottom"/>
          </w:tcPr>
          <w:p>
            <w:pPr>
              <w:spacing w:after="0"/>
              <w:rPr>
                <w:sz w:val="20"/>
                <w:szCs w:val="20"/>
                <w:color w:val="auto"/>
              </w:rPr>
            </w:pPr>
            <w:r>
              <w:rPr>
                <w:rFonts w:ascii="Arial" w:cs="Arial" w:eastAsia="Arial" w:hAnsi="Arial"/>
                <w:sz w:val="19"/>
                <w:szCs w:val="19"/>
                <w:color w:val="auto"/>
              </w:rPr>
              <w:t xml:space="preserve">Trade accounts payable to related parties </w:t>
            </w:r>
            <w:r>
              <w:rPr>
                <w:rFonts w:ascii="Arial" w:cs="Arial" w:eastAsia="Arial" w:hAnsi="Arial"/>
                <w:sz w:val="25"/>
                <w:szCs w:val="25"/>
                <w:color w:val="auto"/>
                <w:vertAlign w:val="superscript"/>
              </w:rPr>
              <w:t>(1) (2)</w:t>
            </w:r>
          </w:p>
        </w:tc>
        <w:tc>
          <w:tcPr>
            <w:tcW w:w="820" w:type="dxa"/>
            <w:vAlign w:val="bottom"/>
          </w:tcPr>
          <w:p>
            <w:pPr>
              <w:jc w:val="right"/>
              <w:ind w:right="589"/>
              <w:spacing w:after="0"/>
              <w:rPr>
                <w:sz w:val="20"/>
                <w:szCs w:val="20"/>
                <w:color w:val="auto"/>
              </w:rPr>
            </w:pPr>
            <w:r>
              <w:rPr>
                <w:rFonts w:ascii="Arial" w:cs="Arial" w:eastAsia="Arial" w:hAnsi="Arial"/>
                <w:sz w:val="19"/>
                <w:szCs w:val="19"/>
                <w:color w:val="auto"/>
              </w:rPr>
              <w:t>$</w:t>
            </w:r>
          </w:p>
        </w:tc>
        <w:tc>
          <w:tcPr>
            <w:tcW w:w="440" w:type="dxa"/>
            <w:vAlign w:val="bottom"/>
          </w:tcPr>
          <w:p>
            <w:pPr>
              <w:jc w:val="right"/>
              <w:spacing w:after="0"/>
              <w:rPr>
                <w:sz w:val="20"/>
                <w:szCs w:val="20"/>
                <w:color w:val="auto"/>
              </w:rPr>
            </w:pPr>
            <w:r>
              <w:rPr>
                <w:rFonts w:ascii="Arial" w:cs="Arial" w:eastAsia="Arial" w:hAnsi="Arial"/>
                <w:sz w:val="19"/>
                <w:szCs w:val="19"/>
                <w:color w:val="auto"/>
              </w:rPr>
              <w:t>72</w:t>
            </w:r>
          </w:p>
        </w:tc>
        <w:tc>
          <w:tcPr>
            <w:tcW w:w="5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-600710</wp:posOffset>
            </wp:positionV>
            <wp:extent cx="6367145" cy="5822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07">
                      <a:extLst>
                        <a:ext uri="{28A0092B-C50C-407E-A947-70E740481C1C}"/>
                      </a:extLst>
                    </a:blip>
                    <a:srcRect/>
                    <a:stretch>
                      <a:fillRect/>
                    </a:stretch>
                  </pic:blipFill>
                  <pic:spPr bwMode="auto">
                    <a:xfrm>
                      <a:off x="0" y="0"/>
                      <a:ext cx="6367145" cy="58229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76835</wp:posOffset>
                </wp:positionV>
                <wp:extent cx="2190750"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07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05pt" to="172.5pt,6.05pt" o:allowincell="f" strokecolor="#000000" strokeweight="1pt"/>
            </w:pict>
          </mc:Fallback>
        </mc:AlternateContent>
      </w:r>
    </w:p>
    <w:p>
      <w:pPr>
        <w:spacing w:after="0" w:line="197" w:lineRule="exact"/>
        <w:rPr>
          <w:sz w:val="20"/>
          <w:szCs w:val="20"/>
          <w:color w:val="auto"/>
        </w:rPr>
      </w:pPr>
    </w:p>
    <w:p>
      <w:pPr>
        <w:ind w:left="701" w:right="280" w:hanging="701"/>
        <w:spacing w:after="0" w:line="258" w:lineRule="auto"/>
        <w:tabs>
          <w:tab w:leader="none" w:pos="701" w:val="left"/>
        </w:tabs>
        <w:numPr>
          <w:ilvl w:val="0"/>
          <w:numId w:val="100"/>
        </w:numPr>
        <w:rPr>
          <w:rFonts w:ascii="Arial" w:cs="Arial" w:eastAsia="Arial" w:hAnsi="Arial"/>
          <w:sz w:val="23"/>
          <w:szCs w:val="23"/>
          <w:color w:val="auto"/>
          <w:vertAlign w:val="superscript"/>
        </w:rPr>
      </w:pPr>
      <w:r>
        <w:rPr>
          <w:rFonts w:ascii="Arial" w:cs="Arial" w:eastAsia="Arial" w:hAnsi="Arial"/>
          <w:sz w:val="18"/>
          <w:szCs w:val="18"/>
          <w:color w:val="auto"/>
        </w:rPr>
        <w:t>Includes amounts related to transportation and storage services and amounts owed to us or advanced to us related to investment capital projects of equity method investees where we serve as construction manager.</w:t>
      </w:r>
    </w:p>
    <w:p>
      <w:pPr>
        <w:spacing w:after="0" w:line="78" w:lineRule="exact"/>
        <w:rPr>
          <w:rFonts w:ascii="Arial" w:cs="Arial" w:eastAsia="Arial" w:hAnsi="Arial"/>
          <w:sz w:val="23"/>
          <w:szCs w:val="23"/>
          <w:color w:val="auto"/>
          <w:vertAlign w:val="superscript"/>
        </w:rPr>
      </w:pPr>
    </w:p>
    <w:p>
      <w:pPr>
        <w:ind w:left="701" w:right="400" w:hanging="701"/>
        <w:spacing w:after="0" w:line="239" w:lineRule="auto"/>
        <w:tabs>
          <w:tab w:leader="none" w:pos="701" w:val="left"/>
        </w:tabs>
        <w:numPr>
          <w:ilvl w:val="0"/>
          <w:numId w:val="100"/>
        </w:numPr>
        <w:rPr>
          <w:rFonts w:ascii="Arial" w:cs="Arial" w:eastAsia="Arial" w:hAnsi="Arial"/>
          <w:sz w:val="25"/>
          <w:szCs w:val="25"/>
          <w:color w:val="auto"/>
          <w:vertAlign w:val="superscript"/>
        </w:rPr>
      </w:pPr>
      <w:r>
        <w:rPr>
          <w:rFonts w:ascii="Arial" w:cs="Arial" w:eastAsia="Arial" w:hAnsi="Arial"/>
          <w:sz w:val="19"/>
          <w:szCs w:val="19"/>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207"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Note 17—Equity-Indexed Compensation Plans</w:t>
      </w:r>
    </w:p>
    <w:p>
      <w:pPr>
        <w:spacing w:after="0" w:line="257" w:lineRule="exact"/>
        <w:rPr>
          <w:sz w:val="20"/>
          <w:szCs w:val="20"/>
          <w:color w:val="auto"/>
        </w:rPr>
      </w:pPr>
    </w:p>
    <w:p>
      <w:pPr>
        <w:ind w:left="1" w:right="80" w:firstLine="702"/>
        <w:spacing w:after="0" w:line="263" w:lineRule="auto"/>
        <w:rPr>
          <w:sz w:val="20"/>
          <w:szCs w:val="20"/>
          <w:color w:val="auto"/>
        </w:rPr>
      </w:pPr>
      <w:r>
        <w:rPr>
          <w:rFonts w:ascii="Arial" w:cs="Arial" w:eastAsia="Arial" w:hAnsi="Arial"/>
          <w:sz w:val="19"/>
          <w:szCs w:val="19"/>
          <w:color w:val="auto"/>
        </w:rPr>
        <w:t>Our equity-indexed compensation plans primarily include LTIPs. Although other types of awards are contemplated under certain of the LTIPs, currently outstanding awards are limited to “phantom units,” which mature into the right to receive our Class A shares or common units of PAA (or cash equivalent) upon vesting, and “tracking units,” which, upon vesting, represent the right to receive a cash payment in an amount based upon the market value of a PAA common unit at the time of vesting. Some awards also include DERs, which, subject to applicable vesting criteria, entitle the grantee to a cash payment equal to the cash distribution paid on an outstanding Class A share or PAA common unit. The DERs terminate with the vesting or forfeiture of the underlying LTIP award.</w:t>
      </w:r>
    </w:p>
    <w:p>
      <w:pPr>
        <w:sectPr>
          <w:pgSz w:w="11880" w:h="15480" w:orient="portrait"/>
          <w:cols w:equalWidth="0" w:num="1">
            <w:col w:w="10001"/>
          </w:cols>
          <w:pgMar w:left="939" w:top="43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F-51</w:t>
      </w:r>
    </w:p>
    <w:p>
      <w:pPr>
        <w:sectPr>
          <w:pgSz w:w="11880" w:h="15480" w:orient="portrait"/>
          <w:cols w:equalWidth="0" w:num="1">
            <w:col w:w="10001"/>
          </w:cols>
          <w:pgMar w:left="939" w:top="431" w:right="940" w:bottom="0" w:gutter="0" w:footer="0" w:header="0"/>
          <w:type w:val="continuous"/>
        </w:sectPr>
      </w:pPr>
    </w:p>
    <w:bookmarkStart w:id="154" w:name="page155"/>
    <w:bookmarkEnd w:id="154"/>
    <w:p>
      <w:pPr>
        <w:jc w:val="center"/>
        <w:ind w:right="-20"/>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left="1" w:firstLine="702"/>
        <w:spacing w:after="0" w:line="263" w:lineRule="auto"/>
        <w:rPr>
          <w:sz w:val="20"/>
          <w:szCs w:val="20"/>
          <w:color w:val="auto"/>
        </w:rPr>
      </w:pPr>
      <w:r>
        <w:rPr>
          <w:rFonts w:ascii="Arial" w:cs="Arial" w:eastAsia="Arial" w:hAnsi="Arial"/>
          <w:sz w:val="19"/>
          <w:szCs w:val="19"/>
          <w:color w:val="auto"/>
        </w:rPr>
        <w:t>Our LTIP awards include both liability-classified and equity-classified awards. In accordance with FASB guidance regarding share-based payments, the fair value of liability-classified LTIP awards is calculated based on the closing market price of the underlying PAGP share or PAA unit at each balance sheet date and adjusted for the present value of any distributions that are estimated to occur on the underlying shares or units over the vesting period that will not be received by the award recipients. The fair value for equity-classified awards is calculated in a similar manner on the respective grant dates. These fair values are recognized as compensation expense over the service period. We have elected to recognize forfeitures of awards when they occur.</w:t>
      </w:r>
    </w:p>
    <w:p>
      <w:pPr>
        <w:spacing w:after="0" w:line="196" w:lineRule="exact"/>
        <w:rPr>
          <w:sz w:val="20"/>
          <w:szCs w:val="20"/>
          <w:color w:val="auto"/>
        </w:rPr>
      </w:pPr>
    </w:p>
    <w:p>
      <w:pPr>
        <w:ind w:left="1" w:right="200" w:firstLine="702"/>
        <w:spacing w:after="0" w:line="262" w:lineRule="auto"/>
        <w:rPr>
          <w:sz w:val="20"/>
          <w:szCs w:val="20"/>
          <w:color w:val="auto"/>
        </w:rPr>
      </w:pPr>
      <w:r>
        <w:rPr>
          <w:rFonts w:ascii="Arial" w:cs="Arial" w:eastAsia="Arial" w:hAnsi="Arial"/>
          <w:sz w:val="19"/>
          <w:szCs w:val="19"/>
          <w:color w:val="auto"/>
        </w:rPr>
        <w:t>Our LTIP awards contain (i) time-based vesting criteria, (ii) performance conditions, (iii) market conditions or (iv) a combination of time-based vesting criteria and performance conditions. For awards with performance conditions,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have been if we had been accruing for these awards since the grant date. For awards with market conditions, the probable outcomes are determined on the respective dates that the fair values are calculated, and the resulting expense is accrued over the service period.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following is a summary of the awards authorized under our LTIPs as of December 31, 2023 (in millions):</w:t>
      </w:r>
    </w:p>
    <w:p>
      <w:pPr>
        <w:spacing w:after="0" w:line="317"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79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LTIP</w:t>
            </w:r>
          </w:p>
        </w:tc>
        <w:tc>
          <w:tcPr>
            <w:tcW w:w="80" w:type="dxa"/>
            <w:vAlign w:val="bottom"/>
          </w:tcPr>
          <w:p>
            <w:pPr>
              <w:spacing w:after="0"/>
              <w:rPr>
                <w:sz w:val="16"/>
                <w:szCs w:val="16"/>
                <w:color w:val="auto"/>
              </w:rPr>
            </w:pPr>
          </w:p>
        </w:tc>
        <w:tc>
          <w:tcPr>
            <w:tcW w:w="1940" w:type="dxa"/>
            <w:vAlign w:val="bottom"/>
          </w:tcPr>
          <w:p>
            <w:pPr>
              <w:jc w:val="right"/>
              <w:ind w:right="696"/>
              <w:spacing w:after="0"/>
              <w:rPr>
                <w:sz w:val="20"/>
                <w:szCs w:val="20"/>
                <w:color w:val="auto"/>
              </w:rPr>
            </w:pPr>
            <w:r>
              <w:rPr>
                <w:rFonts w:ascii="Arial" w:cs="Arial" w:eastAsia="Arial" w:hAnsi="Arial"/>
                <w:sz w:val="16"/>
                <w:szCs w:val="16"/>
                <w:b w:val="1"/>
                <w:bCs w:val="1"/>
                <w:color w:val="auto"/>
              </w:rPr>
              <w:t>LTIP</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90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Borders>
              <w:bottom w:val="single" w:sz="8" w:color="auto"/>
            </w:tcBorders>
          </w:tcPr>
          <w:p>
            <w:pPr>
              <w:jc w:val="right"/>
              <w:ind w:right="236"/>
              <w:spacing w:after="0"/>
              <w:rPr>
                <w:sz w:val="20"/>
                <w:szCs w:val="20"/>
                <w:color w:val="auto"/>
              </w:rPr>
            </w:pPr>
            <w:r>
              <w:rPr>
                <w:rFonts w:ascii="Arial" w:cs="Arial" w:eastAsia="Arial" w:hAnsi="Arial"/>
                <w:sz w:val="16"/>
                <w:szCs w:val="16"/>
                <w:b w:val="1"/>
                <w:bCs w:val="1"/>
                <w:color w:val="auto"/>
              </w:rPr>
              <w:t>Awards Authorized</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7900" w:type="dxa"/>
            <w:vAlign w:val="bottom"/>
            <w:gridSpan w:val="2"/>
          </w:tcPr>
          <w:p>
            <w:pPr>
              <w:ind w:left="40"/>
              <w:spacing w:after="0"/>
              <w:rPr>
                <w:sz w:val="20"/>
                <w:szCs w:val="20"/>
                <w:color w:val="auto"/>
              </w:rPr>
            </w:pPr>
            <w:r>
              <w:rPr>
                <w:rFonts w:ascii="Arial" w:cs="Arial" w:eastAsia="Arial" w:hAnsi="Arial"/>
                <w:sz w:val="19"/>
                <w:szCs w:val="19"/>
                <w:color w:val="auto"/>
              </w:rPr>
              <w:t>Plains GP Holdings, L.P. Long-Term Incentive Plan</w:t>
            </w:r>
          </w:p>
        </w:tc>
        <w:tc>
          <w:tcPr>
            <w:tcW w:w="2020" w:type="dxa"/>
            <w:vAlign w:val="bottom"/>
            <w:gridSpan w:val="2"/>
          </w:tcPr>
          <w:p>
            <w:pPr>
              <w:jc w:val="right"/>
              <w:spacing w:after="0"/>
              <w:rPr>
                <w:sz w:val="20"/>
                <w:szCs w:val="20"/>
                <w:color w:val="auto"/>
              </w:rPr>
            </w:pPr>
            <w:r>
              <w:rPr>
                <w:rFonts w:ascii="Arial" w:cs="Arial" w:eastAsia="Arial" w:hAnsi="Arial"/>
                <w:sz w:val="19"/>
                <w:szCs w:val="19"/>
                <w:color w:val="auto"/>
              </w:rPr>
              <w:t>3.8</w:t>
            </w:r>
          </w:p>
        </w:tc>
        <w:tc>
          <w:tcPr>
            <w:tcW w:w="0" w:type="dxa"/>
            <w:vAlign w:val="bottom"/>
          </w:tcPr>
          <w:p>
            <w:pPr>
              <w:spacing w:after="0"/>
              <w:rPr>
                <w:sz w:val="1"/>
                <w:szCs w:val="1"/>
                <w:color w:val="auto"/>
              </w:rPr>
            </w:pPr>
          </w:p>
        </w:tc>
      </w:tr>
      <w:tr>
        <w:trPr>
          <w:trHeight w:val="292"/>
        </w:trPr>
        <w:tc>
          <w:tcPr>
            <w:tcW w:w="40" w:type="dxa"/>
            <w:vAlign w:val="bottom"/>
          </w:tcPr>
          <w:p>
            <w:pPr>
              <w:spacing w:after="0"/>
              <w:rPr>
                <w:sz w:val="24"/>
                <w:szCs w:val="24"/>
                <w:color w:val="auto"/>
              </w:rPr>
            </w:pPr>
          </w:p>
        </w:tc>
        <w:tc>
          <w:tcPr>
            <w:tcW w:w="7900" w:type="dxa"/>
            <w:vAlign w:val="bottom"/>
            <w:gridSpan w:val="2"/>
          </w:tcPr>
          <w:p>
            <w:pPr>
              <w:ind w:left="40"/>
              <w:spacing w:after="0"/>
              <w:rPr>
                <w:sz w:val="20"/>
                <w:szCs w:val="20"/>
                <w:color w:val="auto"/>
              </w:rPr>
            </w:pPr>
            <w:r>
              <w:rPr>
                <w:rFonts w:ascii="Arial" w:cs="Arial" w:eastAsia="Arial" w:hAnsi="Arial"/>
                <w:sz w:val="19"/>
                <w:szCs w:val="19"/>
                <w:color w:val="auto"/>
              </w:rPr>
              <w:t>Plains All American 2021 Long-Term Incentive Plan</w:t>
            </w:r>
          </w:p>
        </w:tc>
        <w:tc>
          <w:tcPr>
            <w:tcW w:w="2020" w:type="dxa"/>
            <w:vAlign w:val="bottom"/>
            <w:gridSpan w:val="2"/>
          </w:tcPr>
          <w:p>
            <w:pPr>
              <w:jc w:val="right"/>
              <w:spacing w:after="0"/>
              <w:rPr>
                <w:sz w:val="20"/>
                <w:szCs w:val="20"/>
                <w:color w:val="auto"/>
              </w:rPr>
            </w:pPr>
            <w:r>
              <w:rPr>
                <w:rFonts w:ascii="Arial" w:cs="Arial" w:eastAsia="Arial" w:hAnsi="Arial"/>
                <w:sz w:val="19"/>
                <w:szCs w:val="19"/>
                <w:color w:val="auto"/>
              </w:rPr>
              <w:t>28.8</w:t>
            </w:r>
          </w:p>
        </w:tc>
        <w:tc>
          <w:tcPr>
            <w:tcW w:w="0" w:type="dxa"/>
            <w:vAlign w:val="bottom"/>
          </w:tcPr>
          <w:p>
            <w:pPr>
              <w:spacing w:after="0"/>
              <w:rPr>
                <w:sz w:val="1"/>
                <w:szCs w:val="1"/>
                <w:color w:val="auto"/>
              </w:rPr>
            </w:pPr>
          </w:p>
        </w:tc>
      </w:tr>
      <w:tr>
        <w:trPr>
          <w:trHeight w:val="292"/>
        </w:trPr>
        <w:tc>
          <w:tcPr>
            <w:tcW w:w="40" w:type="dxa"/>
            <w:vAlign w:val="bottom"/>
          </w:tcPr>
          <w:p>
            <w:pPr>
              <w:spacing w:after="0"/>
              <w:rPr>
                <w:sz w:val="24"/>
                <w:szCs w:val="24"/>
                <w:color w:val="auto"/>
              </w:rPr>
            </w:pPr>
          </w:p>
        </w:tc>
        <w:tc>
          <w:tcPr>
            <w:tcW w:w="7900" w:type="dxa"/>
            <w:vAlign w:val="bottom"/>
            <w:gridSpan w:val="2"/>
          </w:tcPr>
          <w:p>
            <w:pPr>
              <w:ind w:left="40"/>
              <w:spacing w:after="0"/>
              <w:rPr>
                <w:sz w:val="20"/>
                <w:szCs w:val="20"/>
                <w:color w:val="auto"/>
              </w:rPr>
            </w:pPr>
            <w:r>
              <w:rPr>
                <w:rFonts w:ascii="Arial" w:cs="Arial" w:eastAsia="Arial" w:hAnsi="Arial"/>
                <w:sz w:val="19"/>
                <w:szCs w:val="19"/>
                <w:color w:val="auto"/>
              </w:rPr>
              <w:t>Plains All American PNG Successor Long-Term Incentive Plan</w:t>
            </w:r>
          </w:p>
        </w:tc>
        <w:tc>
          <w:tcPr>
            <w:tcW w:w="2020" w:type="dxa"/>
            <w:vAlign w:val="bottom"/>
            <w:gridSpan w:val="2"/>
          </w:tcPr>
          <w:p>
            <w:pPr>
              <w:jc w:val="right"/>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296"/>
        </w:trPr>
        <w:tc>
          <w:tcPr>
            <w:tcW w:w="40" w:type="dxa"/>
            <w:vAlign w:val="bottom"/>
          </w:tcPr>
          <w:p>
            <w:pPr>
              <w:spacing w:after="0"/>
              <w:rPr>
                <w:sz w:val="24"/>
                <w:szCs w:val="24"/>
                <w:color w:val="auto"/>
              </w:rPr>
            </w:pPr>
          </w:p>
        </w:tc>
        <w:tc>
          <w:tcPr>
            <w:tcW w:w="7900" w:type="dxa"/>
            <w:vAlign w:val="bottom"/>
            <w:gridSpan w:val="2"/>
          </w:tcPr>
          <w:p>
            <w:pPr>
              <w:ind w:left="40"/>
              <w:spacing w:after="0"/>
              <w:rPr>
                <w:sz w:val="20"/>
                <w:szCs w:val="20"/>
                <w:color w:val="auto"/>
              </w:rPr>
            </w:pPr>
            <w:r>
              <w:rPr>
                <w:rFonts w:ascii="Arial" w:cs="Arial" w:eastAsia="Arial" w:hAnsi="Arial"/>
                <w:sz w:val="19"/>
                <w:szCs w:val="19"/>
                <w:color w:val="auto"/>
              </w:rPr>
              <w:t>Plains All American GP LLC 2006 Long-Term Incentive Tracking Unit Plan</w:t>
            </w:r>
          </w:p>
        </w:tc>
        <w:tc>
          <w:tcPr>
            <w:tcW w:w="80" w:type="dxa"/>
            <w:vAlign w:val="bottom"/>
          </w:tcPr>
          <w:p>
            <w:pPr>
              <w:spacing w:after="0"/>
              <w:rPr>
                <w:sz w:val="24"/>
                <w:szCs w:val="2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13.4</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7900" w:type="dxa"/>
            <w:vAlign w:val="bottom"/>
            <w:gridSpan w:val="2"/>
          </w:tcPr>
          <w:p>
            <w:pPr>
              <w:ind w:left="180"/>
              <w:spacing w:after="0" w:line="253" w:lineRule="exact"/>
              <w:rPr>
                <w:sz w:val="20"/>
                <w:szCs w:val="20"/>
                <w:color w:val="auto"/>
              </w:rPr>
            </w:pPr>
            <w:r>
              <w:rPr>
                <w:rFonts w:ascii="Arial" w:cs="Arial" w:eastAsia="Arial" w:hAnsi="Arial"/>
                <w:sz w:val="19"/>
                <w:szCs w:val="19"/>
                <w:color w:val="auto"/>
              </w:rPr>
              <w:t xml:space="preserve">Total </w:t>
            </w:r>
            <w:r>
              <w:rPr>
                <w:rFonts w:ascii="Arial" w:cs="Arial" w:eastAsia="Arial" w:hAnsi="Arial"/>
                <w:sz w:val="25"/>
                <w:szCs w:val="25"/>
                <w:color w:val="auto"/>
                <w:vertAlign w:val="superscript"/>
              </w:rPr>
              <w:t>(1)</w:t>
            </w:r>
          </w:p>
        </w:tc>
        <w:tc>
          <w:tcPr>
            <w:tcW w:w="2020" w:type="dxa"/>
            <w:vAlign w:val="bottom"/>
            <w:gridSpan w:val="2"/>
          </w:tcPr>
          <w:p>
            <w:pPr>
              <w:jc w:val="right"/>
              <w:spacing w:after="0"/>
              <w:rPr>
                <w:sz w:val="20"/>
                <w:szCs w:val="20"/>
                <w:color w:val="auto"/>
              </w:rPr>
            </w:pPr>
            <w:r>
              <w:rPr>
                <w:rFonts w:ascii="Arial" w:cs="Arial" w:eastAsia="Arial" w:hAnsi="Arial"/>
                <w:sz w:val="19"/>
                <w:szCs w:val="19"/>
                <w:color w:val="auto"/>
              </w:rPr>
              <w:t>47.3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0" w:type="dxa"/>
            <w:vAlign w:val="bottom"/>
            <w:tcBorders>
              <w:bottom w:val="single" w:sz="8" w:color="auto"/>
            </w:tcBorders>
          </w:tcPr>
          <w:p>
            <w:pPr>
              <w:spacing w:after="0"/>
              <w:rPr>
                <w:sz w:val="11"/>
                <w:szCs w:val="11"/>
                <w:color w:val="auto"/>
              </w:rPr>
            </w:pPr>
          </w:p>
        </w:tc>
        <w:tc>
          <w:tcPr>
            <w:tcW w:w="3180" w:type="dxa"/>
            <w:vAlign w:val="bottom"/>
            <w:tcBorders>
              <w:bottom w:val="single" w:sz="8" w:color="auto"/>
            </w:tcBorders>
          </w:tcPr>
          <w:p>
            <w:pPr>
              <w:spacing w:after="0"/>
              <w:rPr>
                <w:sz w:val="11"/>
                <w:szCs w:val="11"/>
                <w:color w:val="auto"/>
              </w:rPr>
            </w:pPr>
          </w:p>
        </w:tc>
        <w:tc>
          <w:tcPr>
            <w:tcW w:w="4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-1055370</wp:posOffset>
            </wp:positionV>
            <wp:extent cx="6330315" cy="9664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08">
                      <a:extLst>
                        <a:ext uri="{28A0092B-C50C-407E-A947-70E740481C1C}"/>
                      </a:extLst>
                    </a:blip>
                    <a:srcRect/>
                    <a:stretch>
                      <a:fillRect/>
                    </a:stretch>
                  </pic:blipFill>
                  <pic:spPr bwMode="auto">
                    <a:xfrm>
                      <a:off x="0" y="0"/>
                      <a:ext cx="6330315" cy="966470"/>
                    </a:xfrm>
                    <a:prstGeom prst="rect">
                      <a:avLst/>
                    </a:prstGeom>
                    <a:noFill/>
                  </pic:spPr>
                </pic:pic>
              </a:graphicData>
            </a:graphic>
          </wp:anchor>
        </w:drawing>
      </w:r>
    </w:p>
    <w:p>
      <w:pPr>
        <w:spacing w:after="0" w:line="65" w:lineRule="exact"/>
        <w:rPr>
          <w:sz w:val="20"/>
          <w:szCs w:val="20"/>
          <w:color w:val="auto"/>
        </w:rPr>
      </w:pPr>
    </w:p>
    <w:p>
      <w:pPr>
        <w:ind w:left="701" w:hanging="701"/>
        <w:spacing w:after="0" w:line="231" w:lineRule="auto"/>
        <w:tabs>
          <w:tab w:leader="none" w:pos="701" w:val="left"/>
        </w:tabs>
        <w:numPr>
          <w:ilvl w:val="0"/>
          <w:numId w:val="101"/>
        </w:numPr>
        <w:rPr>
          <w:rFonts w:ascii="Arial" w:cs="Arial" w:eastAsia="Arial" w:hAnsi="Arial"/>
          <w:sz w:val="25"/>
          <w:szCs w:val="25"/>
          <w:color w:val="auto"/>
          <w:vertAlign w:val="superscript"/>
        </w:rPr>
      </w:pPr>
      <w:r>
        <w:rPr>
          <w:rFonts w:ascii="Arial" w:cs="Arial" w:eastAsia="Arial" w:hAnsi="Arial"/>
          <w:sz w:val="19"/>
          <w:szCs w:val="19"/>
          <w:color w:val="auto"/>
        </w:rPr>
        <w:t>Of the 47.3 million total awards authorized, 20.6 million awards are currently available for future grant. The remaining balance has already vested or is currently outstanding.</w:t>
      </w:r>
    </w:p>
    <w:p>
      <w:pPr>
        <w:spacing w:after="0" w:line="215" w:lineRule="exact"/>
        <w:rPr>
          <w:sz w:val="20"/>
          <w:szCs w:val="20"/>
          <w:color w:val="auto"/>
        </w:rPr>
      </w:pPr>
    </w:p>
    <w:p>
      <w:pPr>
        <w:ind w:left="1" w:right="60" w:firstLine="702"/>
        <w:spacing w:after="0" w:line="284" w:lineRule="auto"/>
        <w:rPr>
          <w:sz w:val="20"/>
          <w:szCs w:val="20"/>
          <w:color w:val="auto"/>
        </w:rPr>
      </w:pPr>
      <w:r>
        <w:rPr>
          <w:rFonts w:ascii="Arial" w:cs="Arial" w:eastAsia="Arial" w:hAnsi="Arial"/>
          <w:sz w:val="18"/>
          <w:szCs w:val="18"/>
          <w:color w:val="auto"/>
        </w:rPr>
        <w:t>As of December 31, 2023, 12.2 million PAA LTIP awards and 0.3 million PAGP LTIP awards were outstanding. Of the awards outstanding, 9.6 million PAA LTIP awards and 0.3 million PAGP LTIP awards include associated DERs. At December 31, 2023, certain of the outstanding LTIP awards were considered probable of vesting and such awards are expected to vest at various dates between May 2024 and August 2028. As of December 31, 2023, the outstanding awards that are considered probable of vesting have a remaining unrecognized fair value of approximately $74 million.</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Note 18—Commitments and Contingencies</w:t>
      </w:r>
    </w:p>
    <w:p>
      <w:pPr>
        <w:spacing w:after="0" w:line="249"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Commitments</w:t>
      </w:r>
    </w:p>
    <w:p>
      <w:pPr>
        <w:spacing w:after="0" w:line="257" w:lineRule="exact"/>
        <w:rPr>
          <w:sz w:val="20"/>
          <w:szCs w:val="20"/>
          <w:color w:val="auto"/>
        </w:rPr>
      </w:pPr>
    </w:p>
    <w:p>
      <w:pPr>
        <w:jc w:val="both"/>
        <w:ind w:left="1" w:right="40" w:firstLine="702"/>
        <w:spacing w:after="0" w:line="276" w:lineRule="auto"/>
        <w:rPr>
          <w:sz w:val="20"/>
          <w:szCs w:val="20"/>
          <w:color w:val="auto"/>
        </w:rPr>
      </w:pPr>
      <w:r>
        <w:rPr>
          <w:rFonts w:ascii="Arial" w:cs="Arial" w:eastAsia="Arial" w:hAnsi="Arial"/>
          <w:sz w:val="19"/>
          <w:szCs w:val="19"/>
          <w:color w:val="auto"/>
        </w:rPr>
        <w:t>We have commitments (some of which are leases) related to real property, equipment and operating facilities. We also incur costs associated with leased land, rights-of-way, permits and regulatory fees. Future noncancelable commitments related to these items at December 31, 2023 are summarized below (in millions):</w:t>
      </w:r>
    </w:p>
    <w:p>
      <w:pPr>
        <w:spacing w:after="0" w:line="269" w:lineRule="exact"/>
        <w:rPr>
          <w:sz w:val="20"/>
          <w:szCs w:val="20"/>
          <w:color w:val="auto"/>
        </w:rPr>
      </w:pPr>
    </w:p>
    <w:tbl>
      <w:tblPr>
        <w:tblLayout w:type="fixed"/>
        <w:tblInd w:w="81" w:type="dxa"/>
        <w:tblCellMar>
          <w:top w:w="0" w:type="dxa"/>
          <w:left w:w="0" w:type="dxa"/>
          <w:bottom w:w="0" w:type="dxa"/>
          <w:right w:w="0" w:type="dxa"/>
        </w:tblCellMar>
      </w:tblPr>
      <w:tr>
        <w:trPr>
          <w:trHeight w:val="212"/>
        </w:trPr>
        <w:tc>
          <w:tcPr>
            <w:tcW w:w="3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w w:val="95"/>
              </w:rPr>
              <w:t>2024</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w w:val="95"/>
              </w:rPr>
              <w:t>2025</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w w:val="89"/>
              </w:rPr>
              <w:t>2026</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w w:val="95"/>
              </w:rPr>
              <w:t>2027</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w w:val="89"/>
              </w:rPr>
              <w:t>2028</w:t>
            </w:r>
          </w:p>
        </w:tc>
        <w:tc>
          <w:tcPr>
            <w:tcW w:w="60" w:type="dxa"/>
            <w:vAlign w:val="bottom"/>
          </w:tcPr>
          <w:p>
            <w:pPr>
              <w:spacing w:after="0"/>
              <w:rPr>
                <w:sz w:val="18"/>
                <w:szCs w:val="18"/>
                <w:color w:val="auto"/>
              </w:rPr>
            </w:pPr>
          </w:p>
        </w:tc>
        <w:tc>
          <w:tcPr>
            <w:tcW w:w="98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6"/>
                <w:szCs w:val="16"/>
                <w:b w:val="1"/>
                <w:bCs w:val="1"/>
                <w:color w:val="auto"/>
              </w:rPr>
              <w:t>Thereafter</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7"/>
              <w:spacing w:after="0"/>
              <w:rPr>
                <w:sz w:val="20"/>
                <w:szCs w:val="20"/>
                <w:color w:val="auto"/>
              </w:rPr>
            </w:pPr>
            <w:r>
              <w:rPr>
                <w:rFonts w:ascii="Arial" w:cs="Arial" w:eastAsia="Arial" w:hAnsi="Arial"/>
                <w:sz w:val="16"/>
                <w:szCs w:val="16"/>
                <w:b w:val="1"/>
                <w:bCs w:val="1"/>
                <w:color w:val="auto"/>
              </w:rPr>
              <w:t>Total</w:t>
            </w:r>
          </w:p>
        </w:tc>
      </w:tr>
      <w:tr>
        <w:trPr>
          <w:trHeight w:val="290"/>
        </w:trPr>
        <w:tc>
          <w:tcPr>
            <w:tcW w:w="3720" w:type="dxa"/>
            <w:vAlign w:val="bottom"/>
          </w:tcPr>
          <w:p>
            <w:pPr>
              <w:spacing w:after="0"/>
              <w:rPr>
                <w:sz w:val="20"/>
                <w:szCs w:val="20"/>
                <w:color w:val="auto"/>
              </w:rPr>
            </w:pPr>
            <w:r>
              <w:rPr>
                <w:rFonts w:ascii="Arial" w:cs="Arial" w:eastAsia="Arial" w:hAnsi="Arial"/>
                <w:sz w:val="19"/>
                <w:szCs w:val="19"/>
                <w:color w:val="auto"/>
              </w:rPr>
              <w:t xml:space="preserve">Leases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100</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85</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64</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55</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49</w:t>
            </w:r>
          </w:p>
        </w:tc>
        <w:tc>
          <w:tcPr>
            <w:tcW w:w="440" w:type="dxa"/>
            <w:vAlign w:val="bottom"/>
            <w:gridSpan w:val="2"/>
          </w:tcPr>
          <w:p>
            <w:pPr>
              <w:jc w:val="right"/>
              <w:ind w:right="142"/>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286</w:t>
            </w:r>
          </w:p>
        </w:tc>
        <w:tc>
          <w:tcPr>
            <w:tcW w:w="2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639</w:t>
            </w:r>
          </w:p>
        </w:tc>
      </w:tr>
      <w:tr>
        <w:trPr>
          <w:trHeight w:val="275"/>
        </w:trPr>
        <w:tc>
          <w:tcPr>
            <w:tcW w:w="3720" w:type="dxa"/>
            <w:vAlign w:val="bottom"/>
          </w:tcPr>
          <w:p>
            <w:pPr>
              <w:spacing w:after="0" w:line="275" w:lineRule="exact"/>
              <w:rPr>
                <w:sz w:val="20"/>
                <w:szCs w:val="20"/>
                <w:color w:val="auto"/>
              </w:rPr>
            </w:pPr>
            <w:r>
              <w:rPr>
                <w:rFonts w:ascii="Arial" w:cs="Arial" w:eastAsia="Arial" w:hAnsi="Arial"/>
                <w:sz w:val="19"/>
                <w:szCs w:val="19"/>
                <w:color w:val="auto"/>
              </w:rPr>
              <w:t xml:space="preserve">Other commitments </w:t>
            </w:r>
            <w:r>
              <w:rPr>
                <w:rFonts w:ascii="Arial" w:cs="Arial" w:eastAsia="Arial" w:hAnsi="Arial"/>
                <w:sz w:val="25"/>
                <w:szCs w:val="25"/>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367</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336</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249</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217</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117</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425</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1,711</w:t>
            </w:r>
          </w:p>
        </w:tc>
      </w:tr>
      <w:tr>
        <w:trPr>
          <w:trHeight w:val="253"/>
        </w:trPr>
        <w:tc>
          <w:tcPr>
            <w:tcW w:w="3720" w:type="dxa"/>
            <w:vAlign w:val="bottom"/>
          </w:tcPr>
          <w:p>
            <w:pPr>
              <w:spacing w:after="0"/>
              <w:rPr>
                <w:sz w:val="20"/>
                <w:szCs w:val="20"/>
                <w:color w:val="auto"/>
              </w:rPr>
            </w:pPr>
            <w:r>
              <w:rPr>
                <w:rFonts w:ascii="Arial" w:cs="Arial" w:eastAsia="Arial" w:hAnsi="Arial"/>
                <w:sz w:val="19"/>
                <w:szCs w:val="19"/>
                <w:color w:val="auto"/>
              </w:rPr>
              <w:t>Total</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467</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421</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313</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272</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166</w:t>
            </w:r>
          </w:p>
        </w:tc>
        <w:tc>
          <w:tcPr>
            <w:tcW w:w="440" w:type="dxa"/>
            <w:vAlign w:val="bottom"/>
            <w:gridSpan w:val="2"/>
          </w:tcPr>
          <w:p>
            <w:pPr>
              <w:jc w:val="right"/>
              <w:ind w:right="142"/>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711</w:t>
            </w:r>
          </w:p>
        </w:tc>
        <w:tc>
          <w:tcPr>
            <w:tcW w:w="2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2,350</w:t>
            </w:r>
          </w:p>
        </w:tc>
      </w:tr>
      <w:tr>
        <w:trPr>
          <w:trHeight w:val="20"/>
        </w:trPr>
        <w:tc>
          <w:tcPr>
            <w:tcW w:w="3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-588010</wp:posOffset>
            </wp:positionV>
            <wp:extent cx="6348730" cy="2108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09">
                      <a:extLst>
                        <a:ext uri="{28A0092B-C50C-407E-A947-70E740481C1C}"/>
                      </a:extLst>
                    </a:blip>
                    <a:srcRect/>
                    <a:stretch>
                      <a:fillRect/>
                    </a:stretch>
                  </pic:blipFill>
                  <pic:spPr bwMode="auto">
                    <a:xfrm>
                      <a:off x="0" y="0"/>
                      <a:ext cx="6348730" cy="2108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-216535</wp:posOffset>
            </wp:positionV>
            <wp:extent cx="6348730" cy="2235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10">
                      <a:extLst>
                        <a:ext uri="{28A0092B-C50C-407E-A947-70E740481C1C}"/>
                      </a:extLst>
                    </a:blip>
                    <a:srcRect/>
                    <a:stretch>
                      <a:fillRect/>
                    </a:stretch>
                  </pic:blipFill>
                  <pic:spPr bwMode="auto">
                    <a:xfrm>
                      <a:off x="0" y="0"/>
                      <a:ext cx="6348730" cy="22352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163830</wp:posOffset>
                </wp:positionV>
                <wp:extent cx="204279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27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9pt" to="160.85pt,12.9pt" o:allowincell="f" strokecolor="#000000" strokeweight="1pt"/>
            </w:pict>
          </mc:Fallback>
        </mc:AlternateContent>
      </w:r>
    </w:p>
    <w:p>
      <w:pPr>
        <w:spacing w:after="0" w:line="333" w:lineRule="exact"/>
        <w:rPr>
          <w:sz w:val="20"/>
          <w:szCs w:val="20"/>
          <w:color w:val="auto"/>
        </w:rPr>
      </w:pPr>
    </w:p>
    <w:p>
      <w:pPr>
        <w:ind w:left="701" w:right="140" w:hanging="701"/>
        <w:spacing w:after="0" w:line="288" w:lineRule="auto"/>
        <w:tabs>
          <w:tab w:leader="none" w:pos="701" w:val="left"/>
        </w:tabs>
        <w:numPr>
          <w:ilvl w:val="0"/>
          <w:numId w:val="102"/>
        </w:numPr>
        <w:rPr>
          <w:rFonts w:ascii="Arial" w:cs="Arial" w:eastAsia="Arial" w:hAnsi="Arial"/>
          <w:sz w:val="22"/>
          <w:szCs w:val="22"/>
          <w:color w:val="auto"/>
          <w:vertAlign w:val="superscript"/>
        </w:rPr>
      </w:pPr>
      <w:r>
        <w:rPr>
          <w:rFonts w:ascii="Arial" w:cs="Arial" w:eastAsia="Arial" w:hAnsi="Arial"/>
          <w:sz w:val="17"/>
          <w:szCs w:val="17"/>
          <w:color w:val="auto"/>
        </w:rPr>
        <w:t>Includes both operating and finance leases as defined by FASB guidance. Leases are primarily for (i) railcars, (ii) office space, (iii) land, (iv) vehicles, (v) storage tanks and (vi) tractor trailers. See Note 13 for additional information.</w:t>
      </w:r>
    </w:p>
    <w:p>
      <w:pPr>
        <w:sectPr>
          <w:pgSz w:w="11880" w:h="15480" w:orient="portrait"/>
          <w:cols w:equalWidth="0" w:num="1">
            <w:col w:w="9981"/>
          </w:cols>
          <w:pgMar w:left="939" w:top="43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F-52</w:t>
      </w:r>
    </w:p>
    <w:p>
      <w:pPr>
        <w:sectPr>
          <w:pgSz w:w="11880" w:h="15480" w:orient="portrait"/>
          <w:cols w:equalWidth="0" w:num="1">
            <w:col w:w="9981"/>
          </w:cols>
          <w:pgMar w:left="939" w:top="431" w:right="960" w:bottom="0" w:gutter="0" w:footer="0" w:header="0"/>
          <w:type w:val="continuous"/>
        </w:sectPr>
      </w:pPr>
    </w:p>
    <w:bookmarkStart w:id="155" w:name="page156"/>
    <w:bookmarkEnd w:id="155"/>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left="701" w:right="20" w:hanging="701"/>
        <w:spacing w:after="0" w:line="250" w:lineRule="auto"/>
        <w:tabs>
          <w:tab w:leader="none" w:pos="701" w:val="left"/>
        </w:tabs>
        <w:numPr>
          <w:ilvl w:val="0"/>
          <w:numId w:val="103"/>
        </w:numPr>
        <w:rPr>
          <w:rFonts w:ascii="Arial" w:cs="Arial" w:eastAsia="Arial" w:hAnsi="Arial"/>
          <w:sz w:val="25"/>
          <w:szCs w:val="25"/>
          <w:color w:val="auto"/>
          <w:vertAlign w:val="superscript"/>
        </w:rPr>
      </w:pPr>
      <w:r>
        <w:rPr>
          <w:rFonts w:ascii="Arial" w:cs="Arial" w:eastAsia="Arial" w:hAnsi="Arial"/>
          <w:sz w:val="19"/>
          <w:szCs w:val="19"/>
          <w:color w:val="auto"/>
        </w:rPr>
        <w:t>Primarily includes storage, transportation and pipeline throughput agreements, as well as certain rights-of-way easements. Expense associated with our storage, transportation and pipeline throughput agreements was approximately $396 million, $336 million and $270 million for 2023, 2022 and 2021, respectively. A majority of the storage, transportation and pipeline throughput commitments are associated with agreements to store crude oil at facilities and transport crude oil on pipelines owned by equity method investees at posted tariff rates or prices that we believe approximate market. A portion of our commitment to transport is supported by crude oil buy/sell or other agreements with third parties with commensurate quantities.</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Loss Contingencies — General</w:t>
      </w:r>
    </w:p>
    <w:p>
      <w:pPr>
        <w:spacing w:after="0" w:line="253" w:lineRule="exact"/>
        <w:rPr>
          <w:sz w:val="20"/>
          <w:szCs w:val="20"/>
          <w:color w:val="auto"/>
        </w:rPr>
      </w:pPr>
    </w:p>
    <w:p>
      <w:pPr>
        <w:ind w:left="1" w:right="280" w:firstLine="702"/>
        <w:spacing w:after="0" w:line="301"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67" w:lineRule="exact"/>
        <w:rPr>
          <w:sz w:val="20"/>
          <w:szCs w:val="20"/>
          <w:color w:val="auto"/>
        </w:rPr>
      </w:pPr>
    </w:p>
    <w:p>
      <w:pPr>
        <w:ind w:left="1" w:right="300" w:firstLine="702"/>
        <w:spacing w:after="0" w:line="311" w:lineRule="auto"/>
        <w:rPr>
          <w:sz w:val="20"/>
          <w:szCs w:val="20"/>
          <w:color w:val="auto"/>
        </w:rPr>
      </w:pPr>
      <w:r>
        <w:rPr>
          <w:rFonts w:ascii="Arial" w:cs="Arial" w:eastAsia="Arial" w:hAnsi="Arial"/>
          <w:sz w:val="17"/>
          <w:szCs w:val="17"/>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53"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Legal Proceedings — General</w:t>
      </w:r>
    </w:p>
    <w:p>
      <w:pPr>
        <w:spacing w:after="0" w:line="253" w:lineRule="exact"/>
        <w:rPr>
          <w:sz w:val="20"/>
          <w:szCs w:val="20"/>
          <w:color w:val="auto"/>
        </w:rPr>
      </w:pPr>
    </w:p>
    <w:p>
      <w:pPr>
        <w:ind w:left="1" w:right="80" w:firstLine="702"/>
        <w:spacing w:after="0" w:line="280" w:lineRule="auto"/>
        <w:rPr>
          <w:sz w:val="20"/>
          <w:szCs w:val="20"/>
          <w:color w:val="auto"/>
        </w:rPr>
      </w:pPr>
      <w:r>
        <w:rPr>
          <w:rFonts w:ascii="Arial" w:cs="Arial" w:eastAsia="Arial" w:hAnsi="Arial"/>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81" w:lineRule="exact"/>
        <w:rPr>
          <w:sz w:val="20"/>
          <w:szCs w:val="20"/>
          <w:color w:val="auto"/>
        </w:rPr>
      </w:pPr>
    </w:p>
    <w:p>
      <w:pPr>
        <w:ind w:left="1" w:right="60" w:firstLine="702"/>
        <w:spacing w:after="0" w:line="276" w:lineRule="auto"/>
        <w:rPr>
          <w:sz w:val="20"/>
          <w:szCs w:val="20"/>
          <w:color w:val="auto"/>
        </w:rPr>
      </w:pPr>
      <w:r>
        <w:rPr>
          <w:rFonts w:ascii="Arial" w:cs="Arial" w:eastAsia="Arial" w:hAnsi="Arial"/>
          <w:sz w:val="19"/>
          <w:szCs w:val="19"/>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Environmental — General</w:t>
      </w:r>
    </w:p>
    <w:p>
      <w:pPr>
        <w:spacing w:after="0" w:line="257" w:lineRule="exact"/>
        <w:rPr>
          <w:sz w:val="20"/>
          <w:szCs w:val="20"/>
          <w:color w:val="auto"/>
        </w:rPr>
      </w:pPr>
    </w:p>
    <w:p>
      <w:pPr>
        <w:ind w:left="1" w:firstLine="702"/>
        <w:spacing w:after="0" w:line="279" w:lineRule="auto"/>
        <w:rPr>
          <w:sz w:val="20"/>
          <w:szCs w:val="20"/>
          <w:color w:val="auto"/>
        </w:rPr>
      </w:pPr>
      <w:r>
        <w:rPr>
          <w:rFonts w:ascii="Arial" w:cs="Arial" w:eastAsia="Arial" w:hAnsi="Arial"/>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spacing w:after="0" w:line="181" w:lineRule="exact"/>
        <w:rPr>
          <w:sz w:val="20"/>
          <w:szCs w:val="20"/>
          <w:color w:val="auto"/>
        </w:rPr>
      </w:pPr>
    </w:p>
    <w:p>
      <w:pPr>
        <w:ind w:left="1" w:right="60" w:firstLine="702"/>
        <w:spacing w:after="0" w:line="263" w:lineRule="auto"/>
        <w:rPr>
          <w:sz w:val="20"/>
          <w:szCs w:val="20"/>
          <w:color w:val="auto"/>
        </w:rPr>
      </w:pPr>
      <w:r>
        <w:rPr>
          <w:rFonts w:ascii="Arial" w:cs="Arial" w:eastAsia="Arial" w:hAnsi="Arial"/>
          <w:sz w:val="19"/>
          <w:szCs w:val="19"/>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ectPr>
          <w:pgSz w:w="11880" w:h="15480" w:orient="portrait"/>
          <w:cols w:equalWidth="0" w:num="1">
            <w:col w:w="10001"/>
          </w:cols>
          <w:pgMar w:left="939" w:top="43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F-53</w:t>
      </w:r>
    </w:p>
    <w:p>
      <w:pPr>
        <w:sectPr>
          <w:pgSz w:w="11880" w:h="15480" w:orient="portrait"/>
          <w:cols w:equalWidth="0" w:num="1">
            <w:col w:w="10001"/>
          </w:cols>
          <w:pgMar w:left="939" w:top="432" w:right="940" w:bottom="0" w:gutter="0" w:footer="0" w:header="0"/>
          <w:type w:val="continuous"/>
        </w:sectPr>
      </w:pPr>
    </w:p>
    <w:bookmarkStart w:id="156" w:name="page157"/>
    <w:bookmarkEnd w:id="156"/>
    <w:p>
      <w:pPr>
        <w:jc w:val="center"/>
        <w:ind w:right="-19"/>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right="20" w:firstLine="702"/>
        <w:spacing w:after="0" w:line="263" w:lineRule="auto"/>
        <w:rPr>
          <w:sz w:val="20"/>
          <w:szCs w:val="20"/>
          <w:color w:val="auto"/>
        </w:rPr>
      </w:pPr>
      <w:r>
        <w:rPr>
          <w:rFonts w:ascii="Arial" w:cs="Arial" w:eastAsia="Arial" w:hAnsi="Arial"/>
          <w:sz w:val="19"/>
          <w:szCs w:val="19"/>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96" w:lineRule="exact"/>
        <w:rPr>
          <w:sz w:val="20"/>
          <w:szCs w:val="20"/>
          <w:color w:val="auto"/>
        </w:rPr>
      </w:pPr>
    </w:p>
    <w:p>
      <w:pPr>
        <w:jc w:val="both"/>
        <w:ind w:right="600" w:firstLine="702"/>
        <w:spacing w:after="0" w:line="323" w:lineRule="auto"/>
        <w:rPr>
          <w:sz w:val="20"/>
          <w:szCs w:val="20"/>
          <w:color w:val="auto"/>
        </w:rPr>
      </w:pPr>
      <w:r>
        <w:rPr>
          <w:rFonts w:ascii="Arial" w:cs="Arial" w:eastAsia="Arial" w:hAnsi="Arial"/>
          <w:sz w:val="17"/>
          <w:szCs w:val="17"/>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47" w:lineRule="exact"/>
        <w:rPr>
          <w:sz w:val="20"/>
          <w:szCs w:val="20"/>
          <w:color w:val="auto"/>
        </w:rPr>
      </w:pPr>
    </w:p>
    <w:p>
      <w:pPr>
        <w:ind w:firstLine="702"/>
        <w:spacing w:after="0" w:line="277" w:lineRule="auto"/>
        <w:rPr>
          <w:sz w:val="20"/>
          <w:szCs w:val="20"/>
          <w:color w:val="auto"/>
        </w:rPr>
      </w:pPr>
      <w:r>
        <w:rPr>
          <w:rFonts w:ascii="Arial" w:cs="Arial" w:eastAsia="Arial" w:hAnsi="Arial"/>
          <w:sz w:val="18"/>
          <w:szCs w:val="18"/>
          <w:color w:val="auto"/>
        </w:rPr>
        <w:t>At December 31, 2023, our estimated undiscounted reserve for environmental liabilities (excluding liabilities related to the Line 901 incident, as discussed further below) totaled $56 million, of which $10 million was classified as short-term and $46 million was classified as long-term. At December 31, 2022, our estimated undiscounted reserve for environmental liabilities (excluding liabilities related to the Line 901 incident) totaled $55 million, of which $10 million was classified as short-term and $45 million was classified as long-term. Such short-term liabilities are reflected in “Other current liabilities” and long-term liabilities are reflected in “Other long-term liabilities and deferred credits” on our Consolidated Balance Sheets. At both December 31, 2023 and 2022, we had recorded receivables (excluding receivables related to the Line 901 incident) totaling $4 million for amounts probable of recovery under insurance and from third parties under indemnification agreements, approximately $1 million of which for each period is reflected in “Other long-term assets, net” and the remainder is reflected in “Trade accounts receivable and other receivables, net” on our Consolidated Balance Sheets.</w:t>
      </w:r>
    </w:p>
    <w:p>
      <w:pPr>
        <w:spacing w:after="0" w:line="185" w:lineRule="exact"/>
        <w:rPr>
          <w:sz w:val="20"/>
          <w:szCs w:val="20"/>
          <w:color w:val="auto"/>
        </w:rPr>
      </w:pPr>
    </w:p>
    <w:p>
      <w:pPr>
        <w:ind w:right="60" w:firstLine="702"/>
        <w:spacing w:after="0" w:line="277" w:lineRule="auto"/>
        <w:rPr>
          <w:sz w:val="20"/>
          <w:szCs w:val="20"/>
          <w:color w:val="auto"/>
        </w:rPr>
      </w:pPr>
      <w:r>
        <w:rPr>
          <w:rFonts w:ascii="Arial" w:cs="Arial" w:eastAsia="Arial" w:hAnsi="Arial"/>
          <w:sz w:val="18"/>
          <w:szCs w:val="18"/>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Specific Legal, Environmental or Regulatory Matters</w:t>
      </w:r>
    </w:p>
    <w:p>
      <w:pPr>
        <w:spacing w:after="0" w:line="255" w:lineRule="exact"/>
        <w:rPr>
          <w:sz w:val="20"/>
          <w:szCs w:val="20"/>
          <w:color w:val="auto"/>
        </w:rPr>
      </w:pPr>
    </w:p>
    <w:p>
      <w:pPr>
        <w:ind w:firstLine="702"/>
        <w:spacing w:after="0" w:line="296" w:lineRule="auto"/>
        <w:rPr>
          <w:sz w:val="20"/>
          <w:szCs w:val="20"/>
          <w:color w:val="auto"/>
        </w:rPr>
      </w:pPr>
      <w:r>
        <w:rPr>
          <w:rFonts w:ascii="Arial" w:cs="Arial" w:eastAsia="Arial" w:hAnsi="Arial"/>
          <w:sz w:val="17"/>
          <w:szCs w:val="17"/>
          <w:b w:val="1"/>
          <w:bCs w:val="1"/>
          <w:i w:val="1"/>
          <w:iCs w:val="1"/>
          <w:color w:val="auto"/>
        </w:rPr>
        <w:t>Line 901 Incident</w:t>
      </w:r>
      <w:r>
        <w:rPr>
          <w:rFonts w:ascii="Arial" w:cs="Arial" w:eastAsia="Arial" w:hAnsi="Arial"/>
          <w:sz w:val="17"/>
          <w:szCs w:val="17"/>
          <w:color w:val="auto"/>
        </w:rPr>
        <w:t>. In May 2015, we experienced a crude oil release from our Las Flores to Gaviota Pipeline (Line 901)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Santa Barbara County, 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172" w:lineRule="exact"/>
        <w:rPr>
          <w:sz w:val="20"/>
          <w:szCs w:val="20"/>
          <w:color w:val="auto"/>
        </w:rPr>
      </w:pPr>
    </w:p>
    <w:p>
      <w:pPr>
        <w:ind w:right="20" w:firstLine="702"/>
        <w:spacing w:after="0" w:line="269" w:lineRule="auto"/>
        <w:rPr>
          <w:sz w:val="20"/>
          <w:szCs w:val="20"/>
          <w:color w:val="auto"/>
        </w:rPr>
      </w:pPr>
      <w:r>
        <w:rPr>
          <w:rFonts w:ascii="Arial" w:cs="Arial" w:eastAsia="Arial" w:hAnsi="Arial"/>
          <w:sz w:val="19"/>
          <w:szCs w:val="19"/>
          <w:color w:val="auto"/>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sectPr>
          <w:pgSz w:w="11880" w:h="15480" w:orient="portrait"/>
          <w:cols w:equalWidth="0" w:num="1">
            <w:col w:w="9980"/>
          </w:cols>
          <w:pgMar w:left="940" w:top="43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F-54</w:t>
      </w:r>
    </w:p>
    <w:p>
      <w:pPr>
        <w:sectPr>
          <w:pgSz w:w="11880" w:h="15480" w:orient="portrait"/>
          <w:cols w:equalWidth="0" w:num="1">
            <w:col w:w="9980"/>
          </w:cols>
          <w:pgMar w:left="940" w:top="432" w:right="960" w:bottom="0" w:gutter="0" w:footer="0" w:header="0"/>
          <w:type w:val="continuous"/>
        </w:sectPr>
      </w:pPr>
    </w:p>
    <w:bookmarkStart w:id="157" w:name="page158"/>
    <w:bookmarkEnd w:id="157"/>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firstLine="702"/>
        <w:spacing w:after="0" w:line="291" w:lineRule="auto"/>
        <w:rPr>
          <w:sz w:val="20"/>
          <w:szCs w:val="20"/>
          <w:color w:val="auto"/>
        </w:rPr>
      </w:pPr>
      <w:r>
        <w:rPr>
          <w:rFonts w:ascii="Arial" w:cs="Arial" w:eastAsia="Arial" w:hAnsi="Arial"/>
          <w:sz w:val="17"/>
          <w:szCs w:val="17"/>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which resolved all regulatory claims related to the incident, also contains requirements for implementing certain agreed-upon injunctive relief, as well as requirements for potentially restarting Line 901 and the Sisquoc to Pentland portion of Line 903. On October 13, 2022, Plains sold Line 901 and the Sisquoc to Pentland portion of Line 903 to Pacific Pipeline Company, an indirect wholly owned subsidiary of Exxon Mobil Corporation. As required by the terms of the Consent Decree, such purchaser assumed responsibility for compliance with the Consent Decree as it relates to the future ownership and operation of Line 901 and the Sisquoc to Pentland portion of Line 903.</w:t>
      </w:r>
    </w:p>
    <w:p>
      <w:pPr>
        <w:spacing w:after="0" w:line="200" w:lineRule="exact"/>
        <w:rPr>
          <w:sz w:val="20"/>
          <w:szCs w:val="20"/>
          <w:color w:val="auto"/>
        </w:rPr>
      </w:pPr>
    </w:p>
    <w:p>
      <w:pPr>
        <w:spacing w:after="0" w:line="210" w:lineRule="exact"/>
        <w:rPr>
          <w:sz w:val="20"/>
          <w:szCs w:val="20"/>
          <w:color w:val="auto"/>
        </w:rPr>
      </w:pPr>
    </w:p>
    <w:p>
      <w:pPr>
        <w:ind w:right="120" w:firstLine="702"/>
        <w:spacing w:after="0" w:line="274" w:lineRule="auto"/>
        <w:rPr>
          <w:sz w:val="20"/>
          <w:szCs w:val="20"/>
          <w:color w:val="auto"/>
        </w:rPr>
      </w:pPr>
      <w:r>
        <w:rPr>
          <w:rFonts w:ascii="Arial" w:cs="Arial" w:eastAsia="Arial" w:hAnsi="Arial"/>
          <w:sz w:val="18"/>
          <w:szCs w:val="18"/>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have appealed the Court’s rulings.</w:t>
      </w:r>
    </w:p>
    <w:p>
      <w:pPr>
        <w:spacing w:after="0" w:line="187" w:lineRule="exact"/>
        <w:rPr>
          <w:sz w:val="20"/>
          <w:szCs w:val="20"/>
          <w:color w:val="auto"/>
        </w:rPr>
      </w:pPr>
    </w:p>
    <w:p>
      <w:pPr>
        <w:ind w:right="60" w:firstLine="702"/>
        <w:spacing w:after="0" w:line="260" w:lineRule="auto"/>
        <w:rPr>
          <w:sz w:val="20"/>
          <w:szCs w:val="20"/>
          <w:color w:val="auto"/>
        </w:rPr>
      </w:pPr>
      <w:r>
        <w:rPr>
          <w:rFonts w:ascii="Arial" w:cs="Arial" w:eastAsia="Arial" w:hAnsi="Arial"/>
          <w:sz w:val="19"/>
          <w:szCs w:val="19"/>
          <w:color w:val="auto"/>
        </w:rPr>
        <w:t>We also received several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In addition to the other lawsuits disclosed herein, the following lawsuits remain: (i) a lawsuit filed in the United States District Court for the Central District of California that was remanded to the California Superior Court in Santa Barbara County for lost revenue or profit asserted by a former oil producer that declared bankruptcy and shut in its offshore production platform following the Line 901 incident; (ii) a lawsuit filed by the California State Land Commission in California Superior Court in Santa Barbara County seeking lost royalties following the shut-down of Line 901, as well as costs related to the decommissioning of such platform, and (iii) lawsuits filed in California Superior Court in Santa Barbara County by various companies and individuals who provided labor, goods, or services associated with oil production activities they claim were disrupted following the Line 901 incident. We are vigorously defending these remaining lawsuits and believe we have strong defenses.</w:t>
      </w:r>
    </w:p>
    <w:p>
      <w:pPr>
        <w:spacing w:after="0" w:line="201" w:lineRule="exact"/>
        <w:rPr>
          <w:sz w:val="20"/>
          <w:szCs w:val="20"/>
          <w:color w:val="auto"/>
        </w:rPr>
      </w:pPr>
    </w:p>
    <w:p>
      <w:pPr>
        <w:ind w:right="160" w:firstLine="702"/>
        <w:spacing w:after="0" w:line="276" w:lineRule="auto"/>
        <w:rPr>
          <w:sz w:val="20"/>
          <w:szCs w:val="20"/>
          <w:color w:val="auto"/>
        </w:rPr>
      </w:pPr>
      <w:r>
        <w:rPr>
          <w:rFonts w:ascii="Arial" w:cs="Arial" w:eastAsia="Arial" w:hAnsi="Arial"/>
          <w:sz w:val="19"/>
          <w:szCs w:val="19"/>
          <w:color w:val="auto"/>
        </w:rPr>
        <w:t>Furthermore, 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w:t>
      </w:r>
    </w:p>
    <w:p>
      <w:pPr>
        <w:sectPr>
          <w:pgSz w:w="11880" w:h="15480" w:orient="portrait"/>
          <w:cols w:equalWidth="0" w:num="1">
            <w:col w:w="10000"/>
          </w:cols>
          <w:pgMar w:left="940" w:top="43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F-55</w:t>
      </w:r>
    </w:p>
    <w:p>
      <w:pPr>
        <w:sectPr>
          <w:pgSz w:w="11880" w:h="15480" w:orient="portrait"/>
          <w:cols w:equalWidth="0" w:num="1">
            <w:col w:w="10000"/>
          </w:cols>
          <w:pgMar w:left="940" w:top="432" w:right="940" w:bottom="0"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left="1" w:firstLine="702"/>
        <w:spacing w:after="0" w:line="280" w:lineRule="auto"/>
        <w:rPr>
          <w:sz w:val="20"/>
          <w:szCs w:val="20"/>
          <w:color w:val="auto"/>
        </w:rPr>
      </w:pPr>
      <w:r>
        <w:rPr>
          <w:rFonts w:ascii="Arial" w:cs="Arial" w:eastAsia="Arial" w:hAnsi="Arial"/>
          <w:sz w:val="18"/>
          <w:szCs w:val="18"/>
          <w:color w:val="auto"/>
        </w:rPr>
        <w:t>Additionally, a class action lawsuit was filed against us in United States District Court for the Central District of California in which the class plaintiffs seek a declaratory judgment that Plains’ right-of-way agreements would not allow Plains to lay a new pipeline to replace Line 901 and/or the non-operating segment of Line 903 without paying additional compensation. The purchaser of Line 901 and the Sisquoc to Pentland portion of Line 903 has assumed liability for these claims with respect to its interest in such acquired pipelines and Plains has been dismissed from this portion of the lawsuit. In the same proceeding, a small subset of plaintiffs are also claiming damages to compensate them for the alleged diminished value of their properties due to the stigma of the oil spill. We are vigorously defending against these stigma damages claims.</w:t>
      </w:r>
    </w:p>
    <w:p>
      <w:pPr>
        <w:spacing w:after="0" w:line="181" w:lineRule="exact"/>
        <w:rPr>
          <w:sz w:val="20"/>
          <w:szCs w:val="20"/>
          <w:color w:val="auto"/>
        </w:rPr>
      </w:pPr>
    </w:p>
    <w:p>
      <w:pPr>
        <w:ind w:left="1" w:right="20" w:firstLine="702"/>
        <w:spacing w:after="0" w:line="297" w:lineRule="auto"/>
        <w:rPr>
          <w:sz w:val="20"/>
          <w:szCs w:val="20"/>
          <w:color w:val="auto"/>
        </w:rPr>
      </w:pPr>
      <w:r>
        <w:rPr>
          <w:rFonts w:ascii="Arial" w:cs="Arial" w:eastAsia="Arial" w:hAnsi="Arial"/>
          <w:sz w:val="17"/>
          <w:szCs w:val="17"/>
          <w:color w:val="auto"/>
        </w:rPr>
        <w:t>In a separate class action lawsuit that was pending in United States District Court for the Central District of California, the plaintiffs claimed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In 2022, in order to fully and finally resolve all claims and litigation for both classes, we reached an agreement to settle this case in exchange for a payment of $230 million (the “Class Action Settlement”). The Class Action Settlement was formally approved by the trial court on September 20, 2022, and we made the $230 million settlement payment on October 27, 2022 and the lawsuit was subsequently dismissed.</w:t>
      </w:r>
    </w:p>
    <w:p>
      <w:pPr>
        <w:spacing w:after="0" w:line="171" w:lineRule="exact"/>
        <w:rPr>
          <w:sz w:val="20"/>
          <w:szCs w:val="20"/>
          <w:color w:val="auto"/>
        </w:rPr>
      </w:pPr>
    </w:p>
    <w:p>
      <w:pPr>
        <w:ind w:left="1" w:right="260" w:firstLine="702"/>
        <w:spacing w:after="0" w:line="278" w:lineRule="auto"/>
        <w:rPr>
          <w:sz w:val="20"/>
          <w:szCs w:val="20"/>
          <w:color w:val="auto"/>
        </w:rPr>
      </w:pPr>
      <w:r>
        <w:rPr>
          <w:rFonts w:ascii="Arial" w:cs="Arial" w:eastAsia="Arial" w:hAnsi="Arial"/>
          <w:sz w:val="18"/>
          <w:szCs w:val="18"/>
          <w:color w:val="auto"/>
        </w:rPr>
        <w:t>Plains formally submitted claims for reimbursement of the Class Action Settlement to our insurance carriers on November 7, 2022. To date, we have received payment of approximately $3.6 million from one insurer, which represents the final payment obligation of such insurer and brings the total amount collected from all insurers under such program to</w:t>
      </w:r>
    </w:p>
    <w:p>
      <w:pPr>
        <w:spacing w:after="0" w:line="2" w:lineRule="exact"/>
        <w:rPr>
          <w:sz w:val="20"/>
          <w:szCs w:val="20"/>
          <w:color w:val="auto"/>
        </w:rPr>
      </w:pPr>
    </w:p>
    <w:p>
      <w:pPr>
        <w:ind w:left="1" w:right="20"/>
        <w:spacing w:after="0" w:line="287" w:lineRule="auto"/>
        <w:rPr>
          <w:sz w:val="20"/>
          <w:szCs w:val="20"/>
          <w:color w:val="auto"/>
        </w:rPr>
      </w:pPr>
      <w:r>
        <w:rPr>
          <w:rFonts w:ascii="Arial" w:cs="Arial" w:eastAsia="Arial" w:hAnsi="Arial"/>
          <w:sz w:val="17"/>
          <w:szCs w:val="17"/>
          <w:color w:val="auto"/>
        </w:rPr>
        <w:t>$275 million of the $500 million policy limits as of December 31, 2023. Insurers responsible for $185 million of the remaining $225 million of coverage formally communicated a denial of coverage for the Class Action Settlement generally alleging that some or all damages encompassed by the Class Action Settlement are not covered by their policies and that all or some portion of the $275 million for which Plains has already received insurance reimbursement does not properly exhaust the underlying policies that paid those sums. The insurer responsible for the final $40 million of coverage under such insurance program has not formally responded to our reimbursement demands. We have initiated final and binding arbitration proceedings against the insurers responsible for $175 million of coverage and intend to vigorously pursue recovery from our insurers of all amounts for which we have claimed reimbursement. We believe that our claim for reimbursement from our insurers of the Class Action Settlement payment is strong and that our ultimate recovery of such amounts is probable. Our belief is based on: (i) our analysis of the terms of the underlying insurance policies as applied to the facts and circumstances that comprise our claim for reimbursement, (ii) our experience with the cost submissions and timely collection of claims for the $275 million collected to date for this incident under the same insurance program as the denied claims, including from some of the same insurers who are now denying claims, (iii) our extensive legal review and assessment of the insurer’s claimed basis for denial of coverage, which review and assessment includes the advice of external legal counsel experienced in these type of matters and solidly supports our belief that our insurers are required to provide coverage based on the terms of the policies and the nature of our claims, and</w:t>
      </w:r>
    </w:p>
    <w:p>
      <w:pPr>
        <w:spacing w:after="0" w:line="3" w:lineRule="exact"/>
        <w:rPr>
          <w:sz w:val="20"/>
          <w:szCs w:val="20"/>
          <w:color w:val="auto"/>
        </w:rPr>
      </w:pPr>
    </w:p>
    <w:p>
      <w:pPr>
        <w:ind w:left="1" w:right="40" w:hanging="1"/>
        <w:spacing w:after="0" w:line="261" w:lineRule="auto"/>
        <w:tabs>
          <w:tab w:leader="none" w:pos="331"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financial strength of the insurance carriers as determined by an independent credit ratings agency. Various factors could impact the timing and amount of recovery of our insurance receivable, including future developments that adversely impact our assessment of the strength of our coverage claims, the outcome of any dispute resolution proceedings with respect to our coverage claims and the extent to which insurers may become insolvent in the future. An unfavorable resolution could have a material impact on our results of operations.</w:t>
      </w:r>
    </w:p>
    <w:p>
      <w:pPr>
        <w:sectPr>
          <w:pgSz w:w="11880" w:h="15480" w:orient="portrait"/>
          <w:cols w:equalWidth="0" w:num="1">
            <w:col w:w="10001"/>
          </w:cols>
          <w:pgMar w:left="939" w:top="43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F-56</w:t>
      </w:r>
    </w:p>
    <w:p>
      <w:pPr>
        <w:sectPr>
          <w:pgSz w:w="11880" w:h="15480" w:orient="portrait"/>
          <w:cols w:equalWidth="0" w:num="1">
            <w:col w:w="10001"/>
          </w:cols>
          <w:pgMar w:left="939" w:top="432" w:right="940" w:bottom="0" w:gutter="0" w:footer="0" w:header="0"/>
          <w:type w:val="continuous"/>
        </w:sectPr>
      </w:pPr>
    </w:p>
    <w:bookmarkStart w:id="159" w:name="page160"/>
    <w:bookmarkEnd w:id="159"/>
    <w:p>
      <w:pPr>
        <w:jc w:val="center"/>
        <w:ind w:right="-19"/>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firstLine="702"/>
        <w:spacing w:after="0" w:line="289" w:lineRule="auto"/>
        <w:rPr>
          <w:sz w:val="20"/>
          <w:szCs w:val="20"/>
          <w:color w:val="auto"/>
        </w:rPr>
      </w:pPr>
      <w:r>
        <w:rPr>
          <w:rFonts w:ascii="Arial" w:cs="Arial" w:eastAsia="Arial" w:hAnsi="Arial"/>
          <w:sz w:val="17"/>
          <w:szCs w:val="17"/>
          <w:color w:val="auto"/>
        </w:rPr>
        <w:t>In connection with the foregoing, including the Class Action Settlement, we have made adjustments to our total estimated Line 901 costs and the portion of such costs that we believe are probable of recovery from insurance carriers, net of deductibles. Effective as of December 31, 2023, we estimate that the aggregate total costs we have incurred or will incur with respect to the Line 901 incident will be approximately $750 million, which includes actual and projected emergency response and clean-up costs, natural resource damage assessments, fines and penalties payable pursuant to the Consent Decree, certain third-party claims settlements (including the Class Action Settlement), and estimated costs associated with our remaining Line 901 lawsuits and claims as described above, as well as estimates for certain legal fees and statutory interest where applicable. We accrue such estimates of aggregate total costs to “Field operating costs” in our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0" w:lineRule="exact"/>
        <w:rPr>
          <w:sz w:val="20"/>
          <w:szCs w:val="20"/>
          <w:color w:val="auto"/>
        </w:rPr>
      </w:pPr>
    </w:p>
    <w:p>
      <w:pPr>
        <w:spacing w:after="0" w:line="227" w:lineRule="exact"/>
        <w:rPr>
          <w:sz w:val="20"/>
          <w:szCs w:val="20"/>
          <w:color w:val="auto"/>
        </w:rPr>
      </w:pPr>
    </w:p>
    <w:p>
      <w:pPr>
        <w:ind w:firstLine="702"/>
        <w:spacing w:after="0" w:line="275" w:lineRule="auto"/>
        <w:rPr>
          <w:sz w:val="20"/>
          <w:szCs w:val="20"/>
          <w:color w:val="auto"/>
        </w:rPr>
      </w:pPr>
      <w:r>
        <w:rPr>
          <w:rFonts w:ascii="Arial" w:cs="Arial" w:eastAsia="Arial" w:hAnsi="Arial"/>
          <w:sz w:val="18"/>
          <w:szCs w:val="18"/>
          <w:color w:val="auto"/>
        </w:rPr>
        <w:t>During the years ended December 31, 2023, 2022 and 2021, we recognized costs, net of amounts probable of recovery from insurance carriers, of $10 million, $95 million and $15 million, respectively. As of December 31, 2023 and 2022, we had a remaining undiscounted gross liability of approximately $94 million and $105 million, respectively, related to the Line 901 incident, which aggregate amounts are reflected in “Current liabilities” on our Consolidated Balance Sheet. As discussed above, we maintain insurance coverage, which is subject to certain exclusions and deductibles, in the event of such liabilities. As of December 31, 2023, our incurred costs for the Line 901 incident have exceeded our insurance coverage limit of $500 million related to our 2015 insurance program applicable to the Line 901 incident by $250 million. Through December 31, 2023, we had collected, subject to customary reservations, approximately $280 million out of the $505 million of release costs that we believe are probable of recovery from insurance carriers (including the 2015 insurance program and our directors and officers (D&amp;O) insurance policies), net of deductibles. Therefore, as of December 31, 2023, we have recognized a long-term receivable of approximately $225 million for the portion of the release costs that we believe is probable of recovery from insurance, net of deductibles and amounts already collected. We anticipate that the process to enforce our coverage claims with respect to the Class Action Settlement will take time and, accordingly, have recognized such amount as a long-term asset in “Other assets” on our Consolidated Balance Sheet.</w:t>
      </w:r>
    </w:p>
    <w:p>
      <w:pPr>
        <w:spacing w:after="0" w:line="189" w:lineRule="exact"/>
        <w:rPr>
          <w:sz w:val="20"/>
          <w:szCs w:val="20"/>
          <w:color w:val="auto"/>
        </w:rPr>
      </w:pPr>
    </w:p>
    <w:p>
      <w:pPr>
        <w:ind w:right="100" w:firstLine="702"/>
        <w:spacing w:after="0" w:line="264" w:lineRule="auto"/>
        <w:rPr>
          <w:sz w:val="20"/>
          <w:szCs w:val="20"/>
          <w:color w:val="auto"/>
        </w:rPr>
      </w:pPr>
      <w:r>
        <w:rPr>
          <w:rFonts w:ascii="Arial" w:cs="Arial" w:eastAsia="Arial" w:hAnsi="Arial"/>
          <w:sz w:val="19"/>
          <w:szCs w:val="19"/>
          <w:color w:val="auto"/>
        </w:rPr>
        <w:t>We have completed the required clean-up and remediation work as determined by the Unified Command and the Unified Command has been dissolved; however, we expect to make payments for additional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sectPr>
          <w:pgSz w:w="11880" w:h="15480" w:orient="portrait"/>
          <w:cols w:equalWidth="0" w:num="1">
            <w:col w:w="9980"/>
          </w:cols>
          <w:pgMar w:left="940" w:top="43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F-57</w:t>
      </w:r>
    </w:p>
    <w:p>
      <w:pPr>
        <w:sectPr>
          <w:pgSz w:w="11880" w:h="15480" w:orient="portrait"/>
          <w:cols w:equalWidth="0" w:num="1">
            <w:col w:w="9980"/>
          </w:cols>
          <w:pgMar w:left="940" w:top="432" w:right="960" w:bottom="0" w:gutter="0" w:footer="0" w:header="0"/>
          <w:type w:val="continuous"/>
        </w:sectPr>
      </w:pPr>
    </w:p>
    <w:bookmarkStart w:id="160" w:name="page161"/>
    <w:bookmarkEnd w:id="160"/>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7" w:lineRule="exact"/>
        <w:rPr>
          <w:sz w:val="20"/>
          <w:szCs w:val="20"/>
          <w:color w:val="auto"/>
        </w:rPr>
      </w:pPr>
    </w:p>
    <w:p>
      <w:pPr>
        <w:ind w:firstLine="702"/>
        <w:spacing w:after="0" w:line="265" w:lineRule="auto"/>
        <w:rPr>
          <w:sz w:val="20"/>
          <w:szCs w:val="20"/>
          <w:color w:val="auto"/>
        </w:rPr>
      </w:pPr>
      <w:r>
        <w:rPr>
          <w:rFonts w:ascii="Arial" w:cs="Arial" w:eastAsia="Arial" w:hAnsi="Arial"/>
          <w:sz w:val="19"/>
          <w:szCs w:val="19"/>
          <w:b w:val="1"/>
          <w:bCs w:val="1"/>
          <w:i w:val="1"/>
          <w:iCs w:val="1"/>
          <w:color w:val="auto"/>
        </w:rPr>
        <w:t xml:space="preserve">Other Litigation Matters. </w:t>
      </w:r>
      <w:r>
        <w:rPr>
          <w:rFonts w:ascii="Arial" w:cs="Arial" w:eastAsia="Arial" w:hAnsi="Arial"/>
          <w:sz w:val="19"/>
          <w:szCs w:val="19"/>
          <w:color w:val="auto"/>
        </w:rPr>
        <w:t>On July 19, 2022 Hartree Natural Gas Storage, LLC (“Hartree”) filed a lawsuit under seal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Superior Court for the State of Delaware asserting claims against PAA Natural Gas Storage, L.P. and PAA arising out of a Membership Interest Purchase Agreement relating to the 2021 sale of the Pine Prairie Energy Center natural gas storage facility to Hartree. We believe the claims are without merit and that the outcome of the lawsuit will not have a material adverse effect on our financial condition, results of operations or cash flows. We intend to vigorously defend against the claims asserted in this lawsuit.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19—Segment Information</w:t>
      </w:r>
    </w:p>
    <w:p>
      <w:pPr>
        <w:spacing w:after="0" w:line="257" w:lineRule="exact"/>
        <w:rPr>
          <w:sz w:val="20"/>
          <w:szCs w:val="20"/>
          <w:color w:val="auto"/>
        </w:rPr>
      </w:pPr>
    </w:p>
    <w:p>
      <w:pPr>
        <w:ind w:right="20" w:firstLine="702"/>
        <w:spacing w:after="0" w:line="299" w:lineRule="auto"/>
        <w:rPr>
          <w:sz w:val="20"/>
          <w:szCs w:val="20"/>
          <w:color w:val="auto"/>
        </w:rPr>
      </w:pPr>
      <w:r>
        <w:rPr>
          <w:rFonts w:ascii="Arial" w:cs="Arial" w:eastAsia="Arial" w:hAnsi="Arial"/>
          <w:sz w:val="17"/>
          <w:szCs w:val="17"/>
          <w:color w:val="auto"/>
        </w:rPr>
        <w:t>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The NGL segment includes our NGL pipelines, NGL storage, natural gas processing and NGL fractionation facilities and related NGL marketing activities. Our crude oil and NGL marketing activities are included in the respective reporting segments as their primary purpose is to support the utilization of our assets by entering into transactions that facilitate increased volumes handled by our assets, resulting in additional earnings for each of our segments.</w:t>
      </w:r>
    </w:p>
    <w:p>
      <w:pPr>
        <w:spacing w:after="0" w:line="167" w:lineRule="exact"/>
        <w:rPr>
          <w:sz w:val="20"/>
          <w:szCs w:val="20"/>
          <w:color w:val="auto"/>
        </w:rPr>
      </w:pPr>
    </w:p>
    <w:p>
      <w:pPr>
        <w:ind w:right="60" w:firstLine="702"/>
        <w:spacing w:after="0" w:line="274" w:lineRule="auto"/>
        <w:rPr>
          <w:sz w:val="20"/>
          <w:szCs w:val="20"/>
          <w:color w:val="auto"/>
        </w:rPr>
      </w:pPr>
      <w:r>
        <w:rPr>
          <w:rFonts w:ascii="Arial" w:cs="Arial" w:eastAsia="Arial" w:hAnsi="Arial"/>
          <w:sz w:val="18"/>
          <w:szCs w:val="18"/>
          <w:color w:val="auto"/>
        </w:rPr>
        <w:t>Our CODM (our Chief Executive Officer) evaluates segment performance based on measures including Segment Adjusted EBITDA (as defined below) and maintenance capital. 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in consolidated joint venture entities (“Segment amounts attributable to noncontrolling interests in consolidated joint ventures”).</w:t>
      </w:r>
    </w:p>
    <w:p>
      <w:pPr>
        <w:spacing w:after="0" w:line="197" w:lineRule="exact"/>
        <w:rPr>
          <w:sz w:val="20"/>
          <w:szCs w:val="20"/>
          <w:color w:val="auto"/>
        </w:rPr>
      </w:pPr>
    </w:p>
    <w:p>
      <w:pPr>
        <w:ind w:right="60" w:firstLine="702"/>
        <w:spacing w:after="0" w:line="293" w:lineRule="auto"/>
        <w:rPr>
          <w:sz w:val="20"/>
          <w:szCs w:val="20"/>
          <w:color w:val="auto"/>
        </w:rPr>
      </w:pPr>
      <w:r>
        <w:rPr>
          <w:rFonts w:ascii="Arial" w:cs="Arial" w:eastAsia="Arial" w:hAnsi="Arial"/>
          <w:sz w:val="17"/>
          <w:szCs w:val="17"/>
          <w:color w:val="auto"/>
        </w:rPr>
        <w:t>Segment Adjusted EBITDA excludes depreciation and amortization.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 Repair and maintenance expenditures incurred in order to maintain the day to day operation of our existing assets are charged to expense as incurred. Assets are not reviewed by our CODM on a segmented basis; therefore, such information is not presented.</w:t>
      </w:r>
    </w:p>
    <w:p>
      <w:pPr>
        <w:sectPr>
          <w:pgSz w:w="11880" w:h="15480" w:orient="portrait"/>
          <w:cols w:equalWidth="0" w:num="1">
            <w:col w:w="10000"/>
          </w:cols>
          <w:pgMar w:left="940" w:top="43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F-58</w:t>
      </w:r>
    </w:p>
    <w:p>
      <w:pPr>
        <w:sectPr>
          <w:pgSz w:w="11880" w:h="15480" w:orient="portrait"/>
          <w:cols w:equalWidth="0" w:num="1">
            <w:col w:w="10000"/>
          </w:cols>
          <w:pgMar w:left="940" w:top="432" w:right="940" w:bottom="0" w:gutter="0" w:footer="0" w:header="0"/>
          <w:type w:val="continuous"/>
        </w:sectPr>
      </w:pPr>
    </w:p>
    <w:bookmarkStart w:id="161" w:name="page162"/>
    <w:bookmarkEnd w:id="161"/>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following tables reflect certain financial data for each segment (in millions):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Intersegment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165"/>
              <w:spacing w:after="0"/>
              <w:rPr>
                <w:sz w:val="20"/>
                <w:szCs w:val="20"/>
                <w:color w:val="auto"/>
              </w:rPr>
            </w:pPr>
            <w:r>
              <w:rPr>
                <w:rFonts w:ascii="Arial" w:cs="Arial" w:eastAsia="Arial" w:hAnsi="Arial"/>
                <w:sz w:val="16"/>
                <w:szCs w:val="16"/>
                <w:b w:val="1"/>
                <w:bCs w:val="1"/>
                <w:color w:val="auto"/>
                <w:w w:val="97"/>
              </w:rPr>
              <w:t>Crude Oil</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ind w:right="325"/>
              <w:spacing w:after="0"/>
              <w:rPr>
                <w:sz w:val="20"/>
                <w:szCs w:val="20"/>
                <w:color w:val="auto"/>
              </w:rPr>
            </w:pPr>
            <w:r>
              <w:rPr>
                <w:rFonts w:ascii="Arial" w:cs="Arial" w:eastAsia="Arial" w:hAnsi="Arial"/>
                <w:sz w:val="16"/>
                <w:szCs w:val="16"/>
                <w:b w:val="1"/>
                <w:bCs w:val="1"/>
                <w:color w:val="auto"/>
              </w:rPr>
              <w:t>NGL</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90"/>
              <w:spacing w:after="0" w:line="156" w:lineRule="exact"/>
              <w:rPr>
                <w:sz w:val="20"/>
                <w:szCs w:val="20"/>
                <w:color w:val="auto"/>
              </w:rPr>
            </w:pPr>
            <w:r>
              <w:rPr>
                <w:rFonts w:ascii="Arial" w:cs="Arial" w:eastAsia="Arial" w:hAnsi="Arial"/>
                <w:sz w:val="16"/>
                <w:szCs w:val="16"/>
                <w:b w:val="1"/>
                <w:bCs w:val="1"/>
                <w:color w:val="auto"/>
                <w:w w:val="81"/>
              </w:rPr>
              <w:t>Revenues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0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6"/>
                <w:szCs w:val="16"/>
                <w:b w:val="1"/>
                <w:bCs w:val="1"/>
                <w:color w:val="auto"/>
                <w:w w:val="90"/>
              </w:rPr>
              <w:t>Elimination</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100" w:type="dxa"/>
            <w:vAlign w:val="bottom"/>
            <w:gridSpan w:val="2"/>
          </w:tcPr>
          <w:p>
            <w:pPr>
              <w:ind w:left="60"/>
              <w:spacing w:after="0"/>
              <w:rPr>
                <w:sz w:val="20"/>
                <w:szCs w:val="20"/>
                <w:color w:val="auto"/>
              </w:rPr>
            </w:pPr>
            <w:r>
              <w:rPr>
                <w:rFonts w:ascii="Arial" w:cs="Arial" w:eastAsia="Arial" w:hAnsi="Arial"/>
                <w:sz w:val="19"/>
                <w:szCs w:val="19"/>
                <w:b w:val="1"/>
                <w:bCs w:val="1"/>
                <w:color w:val="auto"/>
              </w:rPr>
              <w:t>Year Ended December 31, 2023</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1"/>
        </w:trPr>
        <w:tc>
          <w:tcPr>
            <w:tcW w:w="5100" w:type="dxa"/>
            <w:vAlign w:val="bottom"/>
            <w:gridSpan w:val="2"/>
          </w:tcPr>
          <w:p>
            <w:pPr>
              <w:ind w:left="60"/>
              <w:spacing w:after="0"/>
              <w:rPr>
                <w:sz w:val="20"/>
                <w:szCs w:val="20"/>
                <w:color w:val="auto"/>
              </w:rPr>
            </w:pPr>
            <w:r>
              <w:rPr>
                <w:rFonts w:ascii="Arial" w:cs="Arial" w:eastAsia="Arial" w:hAnsi="Arial"/>
                <w:sz w:val="19"/>
                <w:szCs w:val="19"/>
                <w:color w:val="auto"/>
              </w:rPr>
              <w:t xml:space="preserve">Revenues </w:t>
            </w:r>
            <w:r>
              <w:rPr>
                <w:rFonts w:ascii="Arial" w:cs="Arial" w:eastAsia="Arial" w:hAnsi="Arial"/>
                <w:sz w:val="25"/>
                <w:szCs w:val="25"/>
                <w:color w:val="auto"/>
                <w:vertAlign w:val="superscript"/>
              </w:rPr>
              <w:t>(1)</w:t>
            </w:r>
            <w:r>
              <w:rPr>
                <w:rFonts w:ascii="Arial" w:cs="Arial" w:eastAsia="Arial" w:hAnsi="Arial"/>
                <w:sz w:val="19"/>
                <w:szCs w:val="19"/>
                <w:color w:val="auto"/>
              </w:rPr>
              <w:t>:</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Product sales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45,587</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1,765</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(378)</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46,974</w:t>
            </w:r>
          </w:p>
        </w:tc>
        <w:tc>
          <w:tcPr>
            <w:tcW w:w="0" w:type="dxa"/>
            <w:vAlign w:val="bottom"/>
          </w:tcPr>
          <w:p>
            <w:pPr>
              <w:spacing w:after="0"/>
              <w:rPr>
                <w:sz w:val="1"/>
                <w:szCs w:val="1"/>
                <w:color w:val="auto"/>
              </w:rPr>
            </w:pPr>
          </w:p>
        </w:tc>
      </w:tr>
      <w:tr>
        <w:trPr>
          <w:trHeight w:val="296"/>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Services</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1,587</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1,738</w:t>
            </w:r>
          </w:p>
        </w:tc>
        <w:tc>
          <w:tcPr>
            <w:tcW w:w="0" w:type="dxa"/>
            <w:vAlign w:val="bottom"/>
          </w:tcPr>
          <w:p>
            <w:pPr>
              <w:spacing w:after="0"/>
              <w:rPr>
                <w:sz w:val="1"/>
                <w:szCs w:val="1"/>
                <w:color w:val="auto"/>
              </w:rPr>
            </w:pPr>
          </w:p>
        </w:tc>
      </w:tr>
      <w:tr>
        <w:trPr>
          <w:trHeight w:val="253"/>
        </w:trPr>
        <w:tc>
          <w:tcPr>
            <w:tcW w:w="5100" w:type="dxa"/>
            <w:vAlign w:val="bottom"/>
            <w:gridSpan w:val="2"/>
          </w:tcPr>
          <w:p>
            <w:pPr>
              <w:ind w:left="260"/>
              <w:spacing w:after="0"/>
              <w:rPr>
                <w:sz w:val="20"/>
                <w:szCs w:val="20"/>
                <w:color w:val="auto"/>
              </w:rPr>
            </w:pPr>
            <w:r>
              <w:rPr>
                <w:rFonts w:ascii="Arial" w:cs="Arial" w:eastAsia="Arial" w:hAnsi="Arial"/>
                <w:sz w:val="19"/>
                <w:szCs w:val="19"/>
                <w:color w:val="auto"/>
              </w:rPr>
              <w:t>Total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47,174</w:t>
            </w:r>
          </w:p>
        </w:tc>
        <w:tc>
          <w:tcPr>
            <w:tcW w:w="60" w:type="dxa"/>
            <w:vAlign w:val="bottom"/>
          </w:tcPr>
          <w:p>
            <w:pPr>
              <w:spacing w:after="0"/>
              <w:rPr>
                <w:sz w:val="21"/>
                <w:szCs w:val="21"/>
                <w:color w:val="auto"/>
              </w:rPr>
            </w:pPr>
          </w:p>
        </w:tc>
        <w:tc>
          <w:tcPr>
            <w:tcW w:w="28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1,935</w:t>
            </w: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(397)</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48,712</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60"/>
              <w:spacing w:after="0"/>
              <w:rPr>
                <w:sz w:val="20"/>
                <w:szCs w:val="20"/>
                <w:color w:val="auto"/>
              </w:rPr>
            </w:pPr>
            <w:r>
              <w:rPr>
                <w:rFonts w:ascii="Arial" w:cs="Arial" w:eastAsia="Arial" w:hAnsi="Arial"/>
                <w:sz w:val="19"/>
                <w:szCs w:val="19"/>
                <w:color w:val="auto"/>
              </w:rPr>
              <w:t>Equity earnings in unconsolidated entities</w:t>
            </w: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00" w:type="dxa"/>
            <w:vAlign w:val="bottom"/>
            <w:gridSpan w:val="2"/>
            <w:vMerge w:val="continue"/>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369</w:t>
            </w: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369</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60"/>
              <w:spacing w:after="0"/>
              <w:rPr>
                <w:sz w:val="20"/>
                <w:szCs w:val="20"/>
                <w:color w:val="auto"/>
              </w:rPr>
            </w:pPr>
            <w:r>
              <w:rPr>
                <w:rFonts w:ascii="Arial" w:cs="Arial" w:eastAsia="Arial" w:hAnsi="Arial"/>
                <w:sz w:val="19"/>
                <w:szCs w:val="19"/>
                <w:color w:val="auto"/>
              </w:rPr>
              <w:t>Segment Adjusted EBITDA</w:t>
            </w: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00" w:type="dxa"/>
            <w:vAlign w:val="bottom"/>
            <w:gridSpan w:val="2"/>
            <w:vMerge w:val="continue"/>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2,163</w:t>
            </w: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522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2,685</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60"/>
              <w:spacing w:after="0" w:line="272" w:lineRule="exact"/>
              <w:rPr>
                <w:sz w:val="20"/>
                <w:szCs w:val="20"/>
                <w:color w:val="auto"/>
              </w:rPr>
            </w:pPr>
            <w:r>
              <w:rPr>
                <w:rFonts w:ascii="Arial" w:cs="Arial" w:eastAsia="Arial" w:hAnsi="Arial"/>
                <w:sz w:val="19"/>
                <w:szCs w:val="19"/>
                <w:color w:val="auto"/>
              </w:rPr>
              <w:t xml:space="preserve">Investment and acquisition capital expenditures </w:t>
            </w:r>
            <w:r>
              <w:rPr>
                <w:rFonts w:ascii="Arial" w:cs="Arial" w:eastAsia="Arial" w:hAnsi="Arial"/>
                <w:sz w:val="25"/>
                <w:szCs w:val="25"/>
                <w:color w:val="auto"/>
                <w:vertAlign w:val="superscript"/>
              </w:rPr>
              <w:t>(2) (3)</w:t>
            </w: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00" w:type="dxa"/>
            <w:vAlign w:val="bottom"/>
            <w:gridSpan w:val="2"/>
            <w:vMerge w:val="continue"/>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765</w:t>
            </w: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65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830</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60"/>
              <w:spacing w:after="0" w:line="272" w:lineRule="exact"/>
              <w:rPr>
                <w:sz w:val="20"/>
                <w:szCs w:val="20"/>
                <w:color w:val="auto"/>
              </w:rPr>
            </w:pPr>
            <w:r>
              <w:rPr>
                <w:rFonts w:ascii="Arial" w:cs="Arial" w:eastAsia="Arial" w:hAnsi="Arial"/>
                <w:sz w:val="19"/>
                <w:szCs w:val="19"/>
                <w:color w:val="auto"/>
              </w:rPr>
              <w:t xml:space="preserve">Maintenance capital expenditures </w:t>
            </w:r>
            <w:r>
              <w:rPr>
                <w:rFonts w:ascii="Arial" w:cs="Arial" w:eastAsia="Arial" w:hAnsi="Arial"/>
                <w:sz w:val="25"/>
                <w:szCs w:val="25"/>
                <w:color w:val="auto"/>
                <w:vertAlign w:val="superscript"/>
              </w:rPr>
              <w:t>(3)</w:t>
            </w: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00" w:type="dxa"/>
            <w:vAlign w:val="bottom"/>
            <w:gridSpan w:val="2"/>
            <w:vMerge w:val="continue"/>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145</w:t>
            </w: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86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231</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60"/>
              <w:spacing w:after="0"/>
              <w:rPr>
                <w:sz w:val="20"/>
                <w:szCs w:val="20"/>
                <w:color w:val="auto"/>
              </w:rPr>
            </w:pPr>
            <w:r>
              <w:rPr>
                <w:rFonts w:ascii="Arial" w:cs="Arial" w:eastAsia="Arial" w:hAnsi="Arial"/>
                <w:sz w:val="19"/>
                <w:szCs w:val="19"/>
                <w:b w:val="1"/>
                <w:bCs w:val="1"/>
                <w:color w:val="auto"/>
              </w:rPr>
              <w:t>As of December 31, 2023</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51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100" w:type="dxa"/>
            <w:vAlign w:val="bottom"/>
            <w:gridSpan w:val="2"/>
          </w:tcPr>
          <w:p>
            <w:pPr>
              <w:ind w:left="60"/>
              <w:spacing w:after="0"/>
              <w:rPr>
                <w:sz w:val="20"/>
                <w:szCs w:val="20"/>
                <w:color w:val="auto"/>
              </w:rPr>
            </w:pPr>
            <w:r>
              <w:rPr>
                <w:rFonts w:ascii="Arial" w:cs="Arial" w:eastAsia="Arial" w:hAnsi="Arial"/>
                <w:sz w:val="19"/>
                <w:szCs w:val="19"/>
                <w:color w:val="auto"/>
              </w:rPr>
              <w:t>Investments in unconsolidated entities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2,820</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2,820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7"/>
              </w:rPr>
              <w:t>Intersegment</w:t>
            </w: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3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165"/>
              <w:spacing w:after="0"/>
              <w:rPr>
                <w:sz w:val="20"/>
                <w:szCs w:val="20"/>
                <w:color w:val="auto"/>
              </w:rPr>
            </w:pPr>
            <w:r>
              <w:rPr>
                <w:rFonts w:ascii="Arial" w:cs="Arial" w:eastAsia="Arial" w:hAnsi="Arial"/>
                <w:sz w:val="16"/>
                <w:szCs w:val="16"/>
                <w:b w:val="1"/>
                <w:bCs w:val="1"/>
                <w:color w:val="auto"/>
                <w:w w:val="97"/>
              </w:rPr>
              <w:t>Crude Oil</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ind w:right="325"/>
              <w:spacing w:after="0"/>
              <w:rPr>
                <w:sz w:val="20"/>
                <w:szCs w:val="20"/>
                <w:color w:val="auto"/>
              </w:rPr>
            </w:pPr>
            <w:r>
              <w:rPr>
                <w:rFonts w:ascii="Arial" w:cs="Arial" w:eastAsia="Arial" w:hAnsi="Arial"/>
                <w:sz w:val="16"/>
                <w:szCs w:val="16"/>
                <w:b w:val="1"/>
                <w:bCs w:val="1"/>
                <w:color w:val="auto"/>
              </w:rPr>
              <w:t>NGL</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90"/>
              <w:spacing w:after="0" w:line="156" w:lineRule="exact"/>
              <w:rPr>
                <w:sz w:val="20"/>
                <w:szCs w:val="20"/>
                <w:color w:val="auto"/>
              </w:rPr>
            </w:pPr>
            <w:r>
              <w:rPr>
                <w:rFonts w:ascii="Arial" w:cs="Arial" w:eastAsia="Arial" w:hAnsi="Arial"/>
                <w:sz w:val="16"/>
                <w:szCs w:val="16"/>
                <w:b w:val="1"/>
                <w:bCs w:val="1"/>
                <w:color w:val="auto"/>
                <w:w w:val="81"/>
              </w:rPr>
              <w:t>Revenues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0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6"/>
                <w:szCs w:val="16"/>
                <w:b w:val="1"/>
                <w:bCs w:val="1"/>
                <w:color w:val="auto"/>
                <w:w w:val="90"/>
              </w:rPr>
              <w:t>Elimination</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100" w:type="dxa"/>
            <w:vAlign w:val="bottom"/>
            <w:gridSpan w:val="2"/>
          </w:tcPr>
          <w:p>
            <w:pPr>
              <w:ind w:left="60"/>
              <w:spacing w:after="0"/>
              <w:rPr>
                <w:sz w:val="20"/>
                <w:szCs w:val="20"/>
                <w:color w:val="auto"/>
              </w:rPr>
            </w:pPr>
            <w:r>
              <w:rPr>
                <w:rFonts w:ascii="Arial" w:cs="Arial" w:eastAsia="Arial" w:hAnsi="Arial"/>
                <w:sz w:val="19"/>
                <w:szCs w:val="19"/>
                <w:b w:val="1"/>
                <w:bCs w:val="1"/>
                <w:color w:val="auto"/>
              </w:rPr>
              <w:t>Year Ended December 31, 2022</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1"/>
        </w:trPr>
        <w:tc>
          <w:tcPr>
            <w:tcW w:w="5100" w:type="dxa"/>
            <w:vAlign w:val="bottom"/>
            <w:gridSpan w:val="2"/>
          </w:tcPr>
          <w:p>
            <w:pPr>
              <w:ind w:left="60"/>
              <w:spacing w:after="0"/>
              <w:rPr>
                <w:sz w:val="20"/>
                <w:szCs w:val="20"/>
                <w:color w:val="auto"/>
              </w:rPr>
            </w:pPr>
            <w:r>
              <w:rPr>
                <w:rFonts w:ascii="Arial" w:cs="Arial" w:eastAsia="Arial" w:hAnsi="Arial"/>
                <w:sz w:val="19"/>
                <w:szCs w:val="19"/>
                <w:color w:val="auto"/>
              </w:rPr>
              <w:t xml:space="preserve">Revenues </w:t>
            </w:r>
            <w:r>
              <w:rPr>
                <w:rFonts w:ascii="Arial" w:cs="Arial" w:eastAsia="Arial" w:hAnsi="Arial"/>
                <w:sz w:val="25"/>
                <w:szCs w:val="25"/>
                <w:color w:val="auto"/>
                <w:vertAlign w:val="superscript"/>
              </w:rPr>
              <w:t>(1)</w:t>
            </w:r>
            <w:r>
              <w:rPr>
                <w:rFonts w:ascii="Arial" w:cs="Arial" w:eastAsia="Arial" w:hAnsi="Arial"/>
                <w:sz w:val="19"/>
                <w:szCs w:val="19"/>
                <w:color w:val="auto"/>
              </w:rPr>
              <w:t>:</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Product sales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53,840</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2,575</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(467)</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55,948</w:t>
            </w:r>
          </w:p>
        </w:tc>
        <w:tc>
          <w:tcPr>
            <w:tcW w:w="0" w:type="dxa"/>
            <w:vAlign w:val="bottom"/>
          </w:tcPr>
          <w:p>
            <w:pPr>
              <w:spacing w:after="0"/>
              <w:rPr>
                <w:sz w:val="1"/>
                <w:szCs w:val="1"/>
                <w:color w:val="auto"/>
              </w:rPr>
            </w:pPr>
          </w:p>
        </w:tc>
      </w:tr>
      <w:tr>
        <w:trPr>
          <w:trHeight w:val="296"/>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Services</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1,240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1,394</w:t>
            </w:r>
          </w:p>
        </w:tc>
        <w:tc>
          <w:tcPr>
            <w:tcW w:w="0" w:type="dxa"/>
            <w:vAlign w:val="bottom"/>
          </w:tcPr>
          <w:p>
            <w:pPr>
              <w:spacing w:after="0"/>
              <w:rPr>
                <w:sz w:val="1"/>
                <w:szCs w:val="1"/>
                <w:color w:val="auto"/>
              </w:rPr>
            </w:pPr>
          </w:p>
        </w:tc>
      </w:tr>
      <w:tr>
        <w:trPr>
          <w:trHeight w:val="253"/>
        </w:trPr>
        <w:tc>
          <w:tcPr>
            <w:tcW w:w="5100" w:type="dxa"/>
            <w:vAlign w:val="bottom"/>
            <w:gridSpan w:val="2"/>
          </w:tcPr>
          <w:p>
            <w:pPr>
              <w:ind w:left="260"/>
              <w:spacing w:after="0"/>
              <w:rPr>
                <w:sz w:val="20"/>
                <w:szCs w:val="20"/>
                <w:color w:val="auto"/>
              </w:rPr>
            </w:pPr>
            <w:r>
              <w:rPr>
                <w:rFonts w:ascii="Arial" w:cs="Arial" w:eastAsia="Arial" w:hAnsi="Arial"/>
                <w:sz w:val="19"/>
                <w:szCs w:val="19"/>
                <w:color w:val="auto"/>
              </w:rPr>
              <w:t>Total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55,080</w:t>
            </w:r>
          </w:p>
        </w:tc>
        <w:tc>
          <w:tcPr>
            <w:tcW w:w="60" w:type="dxa"/>
            <w:vAlign w:val="bottom"/>
          </w:tcPr>
          <w:p>
            <w:pPr>
              <w:spacing w:after="0"/>
              <w:rPr>
                <w:sz w:val="21"/>
                <w:szCs w:val="21"/>
                <w:color w:val="auto"/>
              </w:rPr>
            </w:pPr>
          </w:p>
        </w:tc>
        <w:tc>
          <w:tcPr>
            <w:tcW w:w="28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2,761</w:t>
            </w: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(499)</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57,342</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60"/>
              <w:spacing w:after="0"/>
              <w:rPr>
                <w:sz w:val="20"/>
                <w:szCs w:val="20"/>
                <w:color w:val="auto"/>
              </w:rPr>
            </w:pPr>
            <w:r>
              <w:rPr>
                <w:rFonts w:ascii="Arial" w:cs="Arial" w:eastAsia="Arial" w:hAnsi="Arial"/>
                <w:sz w:val="19"/>
                <w:szCs w:val="19"/>
                <w:color w:val="auto"/>
              </w:rPr>
              <w:t>Equity earnings in unconsolidated entities</w:t>
            </w: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00" w:type="dxa"/>
            <w:vAlign w:val="bottom"/>
            <w:gridSpan w:val="2"/>
            <w:vMerge w:val="continue"/>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403</w:t>
            </w: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403</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60"/>
              <w:spacing w:after="0"/>
              <w:rPr>
                <w:sz w:val="20"/>
                <w:szCs w:val="20"/>
                <w:color w:val="auto"/>
              </w:rPr>
            </w:pPr>
            <w:r>
              <w:rPr>
                <w:rFonts w:ascii="Arial" w:cs="Arial" w:eastAsia="Arial" w:hAnsi="Arial"/>
                <w:sz w:val="19"/>
                <w:szCs w:val="19"/>
                <w:color w:val="auto"/>
              </w:rPr>
              <w:t>Segment Adjusted EBITDA</w:t>
            </w: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00" w:type="dxa"/>
            <w:vAlign w:val="bottom"/>
            <w:gridSpan w:val="2"/>
            <w:vMerge w:val="continue"/>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1,986</w:t>
            </w: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518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2,504</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60"/>
              <w:spacing w:after="0" w:line="272" w:lineRule="exact"/>
              <w:rPr>
                <w:sz w:val="20"/>
                <w:szCs w:val="20"/>
                <w:color w:val="auto"/>
              </w:rPr>
            </w:pPr>
            <w:r>
              <w:rPr>
                <w:rFonts w:ascii="Arial" w:cs="Arial" w:eastAsia="Arial" w:hAnsi="Arial"/>
                <w:sz w:val="19"/>
                <w:szCs w:val="19"/>
                <w:color w:val="auto"/>
              </w:rPr>
              <w:t xml:space="preserve">Investment and acquisition capital expenditures </w:t>
            </w:r>
            <w:r>
              <w:rPr>
                <w:rFonts w:ascii="Arial" w:cs="Arial" w:eastAsia="Arial" w:hAnsi="Arial"/>
                <w:sz w:val="25"/>
                <w:szCs w:val="25"/>
                <w:color w:val="auto"/>
                <w:vertAlign w:val="superscript"/>
              </w:rPr>
              <w:t>(2) (3)</w:t>
            </w: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00" w:type="dxa"/>
            <w:vAlign w:val="bottom"/>
            <w:gridSpan w:val="2"/>
            <w:vMerge w:val="continue"/>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461</w:t>
            </w: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157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618</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60"/>
              <w:spacing w:after="0" w:line="272" w:lineRule="exact"/>
              <w:rPr>
                <w:sz w:val="20"/>
                <w:szCs w:val="20"/>
                <w:color w:val="auto"/>
              </w:rPr>
            </w:pPr>
            <w:r>
              <w:rPr>
                <w:rFonts w:ascii="Arial" w:cs="Arial" w:eastAsia="Arial" w:hAnsi="Arial"/>
                <w:sz w:val="19"/>
                <w:szCs w:val="19"/>
                <w:color w:val="auto"/>
              </w:rPr>
              <w:t xml:space="preserve">Maintenance capital expenditures </w:t>
            </w:r>
            <w:r>
              <w:rPr>
                <w:rFonts w:ascii="Arial" w:cs="Arial" w:eastAsia="Arial" w:hAnsi="Arial"/>
                <w:sz w:val="25"/>
                <w:szCs w:val="25"/>
                <w:color w:val="auto"/>
                <w:vertAlign w:val="superscript"/>
              </w:rPr>
              <w:t>(3)</w:t>
            </w: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00" w:type="dxa"/>
            <w:vAlign w:val="bottom"/>
            <w:gridSpan w:val="2"/>
            <w:vMerge w:val="continue"/>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112</w:t>
            </w: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99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211</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60"/>
              <w:spacing w:after="0"/>
              <w:rPr>
                <w:sz w:val="20"/>
                <w:szCs w:val="20"/>
                <w:color w:val="auto"/>
              </w:rPr>
            </w:pPr>
            <w:r>
              <w:rPr>
                <w:rFonts w:ascii="Arial" w:cs="Arial" w:eastAsia="Arial" w:hAnsi="Arial"/>
                <w:sz w:val="19"/>
                <w:szCs w:val="19"/>
                <w:b w:val="1"/>
                <w:bCs w:val="1"/>
                <w:color w:val="auto"/>
              </w:rPr>
              <w:t>As of December 31, 2022</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51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100" w:type="dxa"/>
            <w:vAlign w:val="bottom"/>
            <w:gridSpan w:val="2"/>
          </w:tcPr>
          <w:p>
            <w:pPr>
              <w:ind w:left="60"/>
              <w:spacing w:after="0"/>
              <w:rPr>
                <w:sz w:val="20"/>
                <w:szCs w:val="20"/>
                <w:color w:val="auto"/>
              </w:rPr>
            </w:pPr>
            <w:r>
              <w:rPr>
                <w:rFonts w:ascii="Arial" w:cs="Arial" w:eastAsia="Arial" w:hAnsi="Arial"/>
                <w:sz w:val="19"/>
                <w:szCs w:val="19"/>
                <w:color w:val="auto"/>
              </w:rPr>
              <w:t>Investments in unconsolidated entities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3,084</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3,084</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7"/>
              </w:rPr>
              <w:t>Intersegment</w:t>
            </w: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3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165"/>
              <w:spacing w:after="0"/>
              <w:rPr>
                <w:sz w:val="20"/>
                <w:szCs w:val="20"/>
                <w:color w:val="auto"/>
              </w:rPr>
            </w:pPr>
            <w:r>
              <w:rPr>
                <w:rFonts w:ascii="Arial" w:cs="Arial" w:eastAsia="Arial" w:hAnsi="Arial"/>
                <w:sz w:val="16"/>
                <w:szCs w:val="16"/>
                <w:b w:val="1"/>
                <w:bCs w:val="1"/>
                <w:color w:val="auto"/>
                <w:w w:val="97"/>
              </w:rPr>
              <w:t>Crude Oil</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ind w:right="325"/>
              <w:spacing w:after="0"/>
              <w:rPr>
                <w:sz w:val="20"/>
                <w:szCs w:val="20"/>
                <w:color w:val="auto"/>
              </w:rPr>
            </w:pPr>
            <w:r>
              <w:rPr>
                <w:rFonts w:ascii="Arial" w:cs="Arial" w:eastAsia="Arial" w:hAnsi="Arial"/>
                <w:sz w:val="16"/>
                <w:szCs w:val="16"/>
                <w:b w:val="1"/>
                <w:bCs w:val="1"/>
                <w:color w:val="auto"/>
              </w:rPr>
              <w:t>NGL</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90"/>
              <w:spacing w:after="0" w:line="156" w:lineRule="exact"/>
              <w:rPr>
                <w:sz w:val="20"/>
                <w:szCs w:val="20"/>
                <w:color w:val="auto"/>
              </w:rPr>
            </w:pPr>
            <w:r>
              <w:rPr>
                <w:rFonts w:ascii="Arial" w:cs="Arial" w:eastAsia="Arial" w:hAnsi="Arial"/>
                <w:sz w:val="16"/>
                <w:szCs w:val="16"/>
                <w:b w:val="1"/>
                <w:bCs w:val="1"/>
                <w:color w:val="auto"/>
                <w:w w:val="81"/>
              </w:rPr>
              <w:t>Revenues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0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6"/>
                <w:szCs w:val="16"/>
                <w:b w:val="1"/>
                <w:bCs w:val="1"/>
                <w:color w:val="auto"/>
                <w:w w:val="90"/>
              </w:rPr>
              <w:t>Elimination</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100" w:type="dxa"/>
            <w:vAlign w:val="bottom"/>
            <w:gridSpan w:val="2"/>
          </w:tcPr>
          <w:p>
            <w:pPr>
              <w:ind w:left="60"/>
              <w:spacing w:after="0"/>
              <w:rPr>
                <w:sz w:val="20"/>
                <w:szCs w:val="20"/>
                <w:color w:val="auto"/>
              </w:rPr>
            </w:pPr>
            <w:r>
              <w:rPr>
                <w:rFonts w:ascii="Arial" w:cs="Arial" w:eastAsia="Arial" w:hAnsi="Arial"/>
                <w:sz w:val="19"/>
                <w:szCs w:val="19"/>
                <w:b w:val="1"/>
                <w:bCs w:val="1"/>
                <w:color w:val="auto"/>
              </w:rPr>
              <w:t>Year Ended December 31, 2021</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1"/>
        </w:trPr>
        <w:tc>
          <w:tcPr>
            <w:tcW w:w="5100" w:type="dxa"/>
            <w:vAlign w:val="bottom"/>
            <w:gridSpan w:val="2"/>
          </w:tcPr>
          <w:p>
            <w:pPr>
              <w:ind w:left="60"/>
              <w:spacing w:after="0"/>
              <w:rPr>
                <w:sz w:val="20"/>
                <w:szCs w:val="20"/>
                <w:color w:val="auto"/>
              </w:rPr>
            </w:pPr>
            <w:r>
              <w:rPr>
                <w:rFonts w:ascii="Arial" w:cs="Arial" w:eastAsia="Arial" w:hAnsi="Arial"/>
                <w:sz w:val="19"/>
                <w:szCs w:val="19"/>
                <w:color w:val="auto"/>
              </w:rPr>
              <w:t xml:space="preserve">Revenues </w:t>
            </w:r>
            <w:r>
              <w:rPr>
                <w:rFonts w:ascii="Arial" w:cs="Arial" w:eastAsia="Arial" w:hAnsi="Arial"/>
                <w:sz w:val="25"/>
                <w:szCs w:val="25"/>
                <w:color w:val="auto"/>
                <w:vertAlign w:val="superscript"/>
              </w:rPr>
              <w:t>(1)</w:t>
            </w:r>
            <w:r>
              <w:rPr>
                <w:rFonts w:ascii="Arial" w:cs="Arial" w:eastAsia="Arial" w:hAnsi="Arial"/>
                <w:sz w:val="19"/>
                <w:szCs w:val="19"/>
                <w:color w:val="auto"/>
              </w:rPr>
              <w:t>:</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Product sales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39,395</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1,829</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(341)</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40,883</w:t>
            </w:r>
          </w:p>
        </w:tc>
        <w:tc>
          <w:tcPr>
            <w:tcW w:w="0" w:type="dxa"/>
            <w:vAlign w:val="bottom"/>
          </w:tcPr>
          <w:p>
            <w:pPr>
              <w:spacing w:after="0"/>
              <w:rPr>
                <w:sz w:val="1"/>
                <w:szCs w:val="1"/>
                <w:color w:val="auto"/>
              </w:rPr>
            </w:pPr>
          </w:p>
        </w:tc>
      </w:tr>
      <w:tr>
        <w:trPr>
          <w:trHeight w:val="296"/>
        </w:trPr>
        <w:tc>
          <w:tcPr>
            <w:tcW w:w="5100" w:type="dxa"/>
            <w:vAlign w:val="bottom"/>
            <w:gridSpan w:val="2"/>
          </w:tcPr>
          <w:p>
            <w:pPr>
              <w:ind w:left="180"/>
              <w:spacing w:after="0"/>
              <w:rPr>
                <w:sz w:val="20"/>
                <w:szCs w:val="20"/>
                <w:color w:val="auto"/>
              </w:rPr>
            </w:pPr>
            <w:r>
              <w:rPr>
                <w:rFonts w:ascii="Arial" w:cs="Arial" w:eastAsia="Arial" w:hAnsi="Arial"/>
                <w:sz w:val="19"/>
                <w:szCs w:val="19"/>
                <w:color w:val="auto"/>
              </w:rPr>
              <w:t>Services</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1,075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1,195</w:t>
            </w:r>
          </w:p>
        </w:tc>
        <w:tc>
          <w:tcPr>
            <w:tcW w:w="0" w:type="dxa"/>
            <w:vAlign w:val="bottom"/>
          </w:tcPr>
          <w:p>
            <w:pPr>
              <w:spacing w:after="0"/>
              <w:rPr>
                <w:sz w:val="1"/>
                <w:szCs w:val="1"/>
                <w:color w:val="auto"/>
              </w:rPr>
            </w:pPr>
          </w:p>
        </w:tc>
      </w:tr>
      <w:tr>
        <w:trPr>
          <w:trHeight w:val="253"/>
        </w:trPr>
        <w:tc>
          <w:tcPr>
            <w:tcW w:w="5100" w:type="dxa"/>
            <w:vAlign w:val="bottom"/>
            <w:gridSpan w:val="2"/>
          </w:tcPr>
          <w:p>
            <w:pPr>
              <w:ind w:left="260"/>
              <w:spacing w:after="0"/>
              <w:rPr>
                <w:sz w:val="20"/>
                <w:szCs w:val="20"/>
                <w:color w:val="auto"/>
              </w:rPr>
            </w:pPr>
            <w:r>
              <w:rPr>
                <w:rFonts w:ascii="Arial" w:cs="Arial" w:eastAsia="Arial" w:hAnsi="Arial"/>
                <w:sz w:val="19"/>
                <w:szCs w:val="19"/>
                <w:color w:val="auto"/>
              </w:rPr>
              <w:t>Total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40,470</w:t>
            </w:r>
          </w:p>
        </w:tc>
        <w:tc>
          <w:tcPr>
            <w:tcW w:w="60" w:type="dxa"/>
            <w:vAlign w:val="bottom"/>
          </w:tcPr>
          <w:p>
            <w:pPr>
              <w:spacing w:after="0"/>
              <w:rPr>
                <w:sz w:val="21"/>
                <w:szCs w:val="21"/>
                <w:color w:val="auto"/>
              </w:rPr>
            </w:pPr>
          </w:p>
        </w:tc>
        <w:tc>
          <w:tcPr>
            <w:tcW w:w="28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1,968</w:t>
            </w: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(360)</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42,078</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60"/>
              <w:spacing w:after="0"/>
              <w:rPr>
                <w:sz w:val="20"/>
                <w:szCs w:val="20"/>
                <w:color w:val="auto"/>
              </w:rPr>
            </w:pPr>
            <w:r>
              <w:rPr>
                <w:rFonts w:ascii="Arial" w:cs="Arial" w:eastAsia="Arial" w:hAnsi="Arial"/>
                <w:sz w:val="19"/>
                <w:szCs w:val="19"/>
                <w:color w:val="auto"/>
              </w:rPr>
              <w:t>Equity earnings in unconsolidated entities</w:t>
            </w: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00" w:type="dxa"/>
            <w:vAlign w:val="bottom"/>
            <w:gridSpan w:val="2"/>
            <w:vMerge w:val="continue"/>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274</w:t>
            </w: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274</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60"/>
              <w:spacing w:after="0"/>
              <w:rPr>
                <w:sz w:val="20"/>
                <w:szCs w:val="20"/>
                <w:color w:val="auto"/>
              </w:rPr>
            </w:pPr>
            <w:r>
              <w:rPr>
                <w:rFonts w:ascii="Arial" w:cs="Arial" w:eastAsia="Arial" w:hAnsi="Arial"/>
                <w:sz w:val="19"/>
                <w:szCs w:val="19"/>
                <w:color w:val="auto"/>
              </w:rPr>
              <w:t>Segment Adjusted EBITDA</w:t>
            </w: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00" w:type="dxa"/>
            <w:vAlign w:val="bottom"/>
            <w:gridSpan w:val="2"/>
            <w:vMerge w:val="continue"/>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1,909</w:t>
            </w: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285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2,194</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60"/>
              <w:spacing w:after="0" w:line="272" w:lineRule="exact"/>
              <w:rPr>
                <w:sz w:val="20"/>
                <w:szCs w:val="20"/>
                <w:color w:val="auto"/>
              </w:rPr>
            </w:pPr>
            <w:r>
              <w:rPr>
                <w:rFonts w:ascii="Arial" w:cs="Arial" w:eastAsia="Arial" w:hAnsi="Arial"/>
                <w:sz w:val="19"/>
                <w:szCs w:val="19"/>
                <w:color w:val="auto"/>
              </w:rPr>
              <w:t xml:space="preserve">Investment and acquisition capital expenditures </w:t>
            </w:r>
            <w:r>
              <w:rPr>
                <w:rFonts w:ascii="Arial" w:cs="Arial" w:eastAsia="Arial" w:hAnsi="Arial"/>
                <w:sz w:val="25"/>
                <w:szCs w:val="25"/>
                <w:color w:val="auto"/>
                <w:vertAlign w:val="superscript"/>
              </w:rPr>
              <w:t>(2) (3)</w:t>
            </w: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00" w:type="dxa"/>
            <w:vAlign w:val="bottom"/>
            <w:gridSpan w:val="2"/>
            <w:vMerge w:val="continue"/>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212</w:t>
            </w: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57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269</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60"/>
              <w:spacing w:after="0" w:line="272" w:lineRule="exact"/>
              <w:rPr>
                <w:sz w:val="20"/>
                <w:szCs w:val="20"/>
                <w:color w:val="auto"/>
              </w:rPr>
            </w:pPr>
            <w:r>
              <w:rPr>
                <w:rFonts w:ascii="Arial" w:cs="Arial" w:eastAsia="Arial" w:hAnsi="Arial"/>
                <w:sz w:val="19"/>
                <w:szCs w:val="19"/>
                <w:color w:val="auto"/>
              </w:rPr>
              <w:t xml:space="preserve">Maintenance capital expenditures </w:t>
            </w:r>
            <w:r>
              <w:rPr>
                <w:rFonts w:ascii="Arial" w:cs="Arial" w:eastAsia="Arial" w:hAnsi="Arial"/>
                <w:sz w:val="25"/>
                <w:szCs w:val="25"/>
                <w:color w:val="auto"/>
                <w:vertAlign w:val="superscript"/>
              </w:rPr>
              <w:t>(3)</w:t>
            </w: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00" w:type="dxa"/>
            <w:vAlign w:val="bottom"/>
            <w:gridSpan w:val="2"/>
            <w:vMerge w:val="continue"/>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100</w:t>
            </w: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68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168</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60"/>
              <w:spacing w:after="0"/>
              <w:rPr>
                <w:sz w:val="20"/>
                <w:szCs w:val="20"/>
                <w:color w:val="auto"/>
              </w:rPr>
            </w:pPr>
            <w:r>
              <w:rPr>
                <w:rFonts w:ascii="Arial" w:cs="Arial" w:eastAsia="Arial" w:hAnsi="Arial"/>
                <w:sz w:val="19"/>
                <w:szCs w:val="19"/>
                <w:b w:val="1"/>
                <w:bCs w:val="1"/>
                <w:color w:val="auto"/>
              </w:rPr>
              <w:t>As of December 31, 2021</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51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100" w:type="dxa"/>
            <w:vAlign w:val="bottom"/>
            <w:gridSpan w:val="2"/>
          </w:tcPr>
          <w:p>
            <w:pPr>
              <w:ind w:left="60"/>
              <w:spacing w:after="0"/>
              <w:rPr>
                <w:sz w:val="20"/>
                <w:szCs w:val="20"/>
                <w:color w:val="auto"/>
              </w:rPr>
            </w:pPr>
            <w:r>
              <w:rPr>
                <w:rFonts w:ascii="Arial" w:cs="Arial" w:eastAsia="Arial" w:hAnsi="Arial"/>
                <w:sz w:val="19"/>
                <w:szCs w:val="19"/>
                <w:color w:val="auto"/>
              </w:rPr>
              <w:t>Investments in unconsolidated entities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3,805</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3,805</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20" w:type="dxa"/>
            <w:vAlign w:val="bottom"/>
            <w:tcBorders>
              <w:bottom w:val="single" w:sz="8" w:color="auto"/>
            </w:tcBorders>
          </w:tcPr>
          <w:p>
            <w:pPr>
              <w:spacing w:after="0"/>
              <w:rPr>
                <w:sz w:val="11"/>
                <w:szCs w:val="11"/>
                <w:color w:val="auto"/>
              </w:rPr>
            </w:pPr>
          </w:p>
        </w:tc>
        <w:tc>
          <w:tcPr>
            <w:tcW w:w="1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-7818120</wp:posOffset>
            </wp:positionV>
            <wp:extent cx="6376670" cy="22199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11">
                      <a:extLst>
                        <a:ext uri="{28A0092B-C50C-407E-A947-70E740481C1C}"/>
                      </a:extLst>
                    </a:blip>
                    <a:srcRect/>
                    <a:stretch>
                      <a:fillRect/>
                    </a:stretch>
                  </pic:blipFill>
                  <pic:spPr bwMode="auto">
                    <a:xfrm>
                      <a:off x="0" y="0"/>
                      <a:ext cx="6376670" cy="221996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-5063490</wp:posOffset>
            </wp:positionV>
            <wp:extent cx="6376670" cy="22199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12">
                      <a:extLst>
                        <a:ext uri="{28A0092B-C50C-407E-A947-70E740481C1C}"/>
                      </a:extLst>
                    </a:blip>
                    <a:srcRect/>
                    <a:stretch>
                      <a:fillRect/>
                    </a:stretch>
                  </pic:blipFill>
                  <pic:spPr bwMode="auto">
                    <a:xfrm>
                      <a:off x="0" y="0"/>
                      <a:ext cx="6376670" cy="221996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-2308860</wp:posOffset>
            </wp:positionV>
            <wp:extent cx="6376670" cy="22199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13">
                      <a:extLst>
                        <a:ext uri="{28A0092B-C50C-407E-A947-70E740481C1C}"/>
                      </a:extLst>
                    </a:blip>
                    <a:srcRect/>
                    <a:stretch>
                      <a:fillRect/>
                    </a:stretch>
                  </pic:blipFill>
                  <pic:spPr bwMode="auto">
                    <a:xfrm>
                      <a:off x="0" y="0"/>
                      <a:ext cx="6376670" cy="2219960"/>
                    </a:xfrm>
                    <a:prstGeom prst="rect">
                      <a:avLst/>
                    </a:prstGeom>
                    <a:noFill/>
                  </pic:spPr>
                </pic:pic>
              </a:graphicData>
            </a:graphic>
          </wp:anchor>
        </w:drawing>
      </w:r>
    </w:p>
    <w:p>
      <w:pPr>
        <w:sectPr>
          <w:pgSz w:w="11880" w:h="15480" w:orient="portrait"/>
          <w:cols w:equalWidth="0" w:num="1">
            <w:col w:w="10000"/>
          </w:cols>
          <w:pgMar w:left="940" w:top="432" w:right="940"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F-59</w:t>
      </w:r>
    </w:p>
    <w:p>
      <w:pPr>
        <w:sectPr>
          <w:pgSz w:w="11880" w:h="15480" w:orient="portrait"/>
          <w:cols w:equalWidth="0" w:num="1">
            <w:col w:w="10000"/>
          </w:cols>
          <w:pgMar w:left="940" w:top="432" w:right="940" w:bottom="0" w:gutter="0" w:footer="0" w:header="0"/>
          <w:type w:val="continuous"/>
        </w:sectPr>
      </w:pPr>
    </w:p>
    <w:bookmarkStart w:id="162" w:name="page163"/>
    <w:bookmarkEnd w:id="162"/>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2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jc w:val="center"/>
        <w:ind w:right="660"/>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ind w:right="66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right="240"/>
        <w:spacing w:after="0" w:line="323" w:lineRule="auto"/>
        <w:rPr>
          <w:sz w:val="20"/>
          <w:szCs w:val="20"/>
          <w:color w:val="auto"/>
        </w:rPr>
      </w:pPr>
      <w:r>
        <w:rPr>
          <w:rFonts w:ascii="Arial" w:cs="Arial" w:eastAsia="Arial" w:hAnsi="Arial"/>
          <w:sz w:val="17"/>
          <w:szCs w:val="17"/>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Investment and acquisition capital expenditures, including investments in unconsolidated entities.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color w:val="auto"/>
        </w:rPr>
        <w:t>These amounts combined represent total capital expenditures.</w:t>
      </w:r>
    </w:p>
    <w:p>
      <w:pPr>
        <w:spacing w:after="0" w:line="200" w:lineRule="exact"/>
        <w:rPr>
          <w:sz w:val="20"/>
          <w:szCs w:val="20"/>
          <w:color w:val="auto"/>
        </w:rPr>
      </w:pPr>
    </w:p>
    <w:p>
      <w:pPr>
        <w:sectPr>
          <w:pgSz w:w="11880" w:h="15480" w:orient="portrait"/>
          <w:cols w:equalWidth="0" w:num="2">
            <w:col w:w="140" w:space="560"/>
            <w:col w:w="9260"/>
          </w:cols>
          <w:pgMar w:left="940" w:top="431" w:right="980" w:bottom="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Segment Adjusted EBITDA Reconciliation</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The following table reconciles Segment Adjusted EBITDA to Net income attributable to PAGP (in millions):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69"/>
        </w:trPr>
        <w:tc>
          <w:tcPr>
            <w:tcW w:w="6260" w:type="dxa"/>
            <w:vAlign w:val="bottom"/>
            <w:gridSpan w:val="2"/>
          </w:tcPr>
          <w:p>
            <w:pPr>
              <w:ind w:left="140"/>
              <w:spacing w:after="0"/>
              <w:rPr>
                <w:sz w:val="20"/>
                <w:szCs w:val="20"/>
                <w:color w:val="auto"/>
              </w:rPr>
            </w:pPr>
            <w:r>
              <w:rPr>
                <w:rFonts w:ascii="Arial" w:cs="Arial" w:eastAsia="Arial" w:hAnsi="Arial"/>
                <w:sz w:val="19"/>
                <w:szCs w:val="19"/>
                <w:color w:val="auto"/>
              </w:rPr>
              <w:t>Segment Adjusted EBITDA</w:t>
            </w: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2,685</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2,504</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2,194</w:t>
            </w:r>
          </w:p>
        </w:tc>
        <w:tc>
          <w:tcPr>
            <w:tcW w:w="0" w:type="dxa"/>
            <w:vAlign w:val="bottom"/>
          </w:tcPr>
          <w:p>
            <w:pPr>
              <w:spacing w:after="0"/>
              <w:rPr>
                <w:sz w:val="1"/>
                <w:szCs w:val="1"/>
                <w:color w:val="auto"/>
              </w:rPr>
            </w:pPr>
          </w:p>
        </w:tc>
      </w:tr>
      <w:tr>
        <w:trPr>
          <w:trHeight w:val="300"/>
        </w:trPr>
        <w:tc>
          <w:tcPr>
            <w:tcW w:w="6260" w:type="dxa"/>
            <w:vAlign w:val="bottom"/>
            <w:gridSpan w:val="2"/>
          </w:tcPr>
          <w:p>
            <w:pPr>
              <w:ind w:left="140"/>
              <w:spacing w:after="0"/>
              <w:rPr>
                <w:sz w:val="20"/>
                <w:szCs w:val="20"/>
                <w:color w:val="auto"/>
              </w:rPr>
            </w:pPr>
            <w:r>
              <w:rPr>
                <w:rFonts w:ascii="Arial" w:cs="Arial" w:eastAsia="Arial" w:hAnsi="Arial"/>
                <w:sz w:val="19"/>
                <w:szCs w:val="19"/>
                <w:color w:val="auto"/>
              </w:rPr>
              <w:t xml:space="preserve">Adjustments </w:t>
            </w:r>
            <w:r>
              <w:rPr>
                <w:rFonts w:ascii="Arial" w:cs="Arial" w:eastAsia="Arial" w:hAnsi="Arial"/>
                <w:sz w:val="25"/>
                <w:szCs w:val="25"/>
                <w:color w:val="auto"/>
                <w:vertAlign w:val="superscript"/>
              </w:rPr>
              <w:t>(1)</w:t>
            </w:r>
            <w:r>
              <w:rPr>
                <w:rFonts w:ascii="Arial" w:cs="Arial" w:eastAsia="Arial" w:hAnsi="Arial"/>
                <w:sz w:val="19"/>
                <w:szCs w:val="19"/>
                <w:color w:val="auto"/>
              </w:rPr>
              <w:t>:</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260" w:type="dxa"/>
            <w:vAlign w:val="bottom"/>
            <w:gridSpan w:val="2"/>
          </w:tcPr>
          <w:p>
            <w:pPr>
              <w:ind w:left="360"/>
              <w:spacing w:after="0"/>
              <w:rPr>
                <w:sz w:val="20"/>
                <w:szCs w:val="20"/>
                <w:color w:val="auto"/>
              </w:rPr>
            </w:pPr>
            <w:r>
              <w:rPr>
                <w:rFonts w:ascii="Arial" w:cs="Arial" w:eastAsia="Arial" w:hAnsi="Arial"/>
                <w:sz w:val="19"/>
                <w:szCs w:val="19"/>
                <w:color w:val="auto"/>
              </w:rPr>
              <w:t xml:space="preserve">Depreciation and amortization of unconsolidated entities </w:t>
            </w:r>
            <w:r>
              <w:rPr>
                <w:rFonts w:ascii="Arial" w:cs="Arial" w:eastAsia="Arial" w:hAnsi="Arial"/>
                <w:sz w:val="25"/>
                <w:szCs w:val="25"/>
                <w:color w:val="auto"/>
                <w:vertAlign w:val="superscript"/>
              </w:rPr>
              <w:t>(2)</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(87)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(85)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(123)</w:t>
            </w:r>
          </w:p>
        </w:tc>
        <w:tc>
          <w:tcPr>
            <w:tcW w:w="0" w:type="dxa"/>
            <w:vAlign w:val="bottom"/>
          </w:tcPr>
          <w:p>
            <w:pPr>
              <w:spacing w:after="0"/>
              <w:rPr>
                <w:sz w:val="1"/>
                <w:szCs w:val="1"/>
                <w:color w:val="auto"/>
              </w:rPr>
            </w:pPr>
          </w:p>
        </w:tc>
      </w:tr>
      <w:tr>
        <w:trPr>
          <w:trHeight w:val="292"/>
        </w:trPr>
        <w:tc>
          <w:tcPr>
            <w:tcW w:w="6260" w:type="dxa"/>
            <w:vAlign w:val="bottom"/>
            <w:gridSpan w:val="2"/>
          </w:tcPr>
          <w:p>
            <w:pPr>
              <w:ind w:left="360"/>
              <w:spacing w:after="0"/>
              <w:rPr>
                <w:sz w:val="20"/>
                <w:szCs w:val="20"/>
                <w:color w:val="auto"/>
              </w:rPr>
            </w:pPr>
            <w:r>
              <w:rPr>
                <w:rFonts w:ascii="Arial" w:cs="Arial" w:eastAsia="Arial" w:hAnsi="Arial"/>
                <w:sz w:val="19"/>
                <w:szCs w:val="19"/>
                <w:color w:val="auto"/>
              </w:rPr>
              <w:t xml:space="preserve">Derivative activities and inventory valuation adjustments </w:t>
            </w:r>
            <w:r>
              <w:rPr>
                <w:rFonts w:ascii="Arial" w:cs="Arial" w:eastAsia="Arial" w:hAnsi="Arial"/>
                <w:sz w:val="25"/>
                <w:szCs w:val="25"/>
                <w:color w:val="auto"/>
                <w:vertAlign w:val="superscript"/>
              </w:rPr>
              <w:t>(3)</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(159)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280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271</w:t>
            </w:r>
          </w:p>
        </w:tc>
        <w:tc>
          <w:tcPr>
            <w:tcW w:w="0" w:type="dxa"/>
            <w:vAlign w:val="bottom"/>
          </w:tcPr>
          <w:p>
            <w:pPr>
              <w:spacing w:after="0"/>
              <w:rPr>
                <w:sz w:val="1"/>
                <w:szCs w:val="1"/>
                <w:color w:val="auto"/>
              </w:rPr>
            </w:pPr>
          </w:p>
        </w:tc>
      </w:tr>
      <w:tr>
        <w:trPr>
          <w:trHeight w:val="292"/>
        </w:trPr>
        <w:tc>
          <w:tcPr>
            <w:tcW w:w="6260" w:type="dxa"/>
            <w:vAlign w:val="bottom"/>
            <w:gridSpan w:val="2"/>
          </w:tcPr>
          <w:p>
            <w:pPr>
              <w:ind w:left="360"/>
              <w:spacing w:after="0"/>
              <w:rPr>
                <w:sz w:val="20"/>
                <w:szCs w:val="20"/>
                <w:color w:val="auto"/>
              </w:rPr>
            </w:pPr>
            <w:r>
              <w:rPr>
                <w:rFonts w:ascii="Arial" w:cs="Arial" w:eastAsia="Arial" w:hAnsi="Arial"/>
                <w:sz w:val="19"/>
                <w:szCs w:val="19"/>
                <w:color w:val="auto"/>
              </w:rPr>
              <w:t xml:space="preserve">Long-term inventory costing adjustments </w:t>
            </w:r>
            <w:r>
              <w:rPr>
                <w:rFonts w:ascii="Arial" w:cs="Arial" w:eastAsia="Arial" w:hAnsi="Arial"/>
                <w:sz w:val="25"/>
                <w:szCs w:val="25"/>
                <w:color w:val="auto"/>
                <w:vertAlign w:val="superscript"/>
              </w:rPr>
              <w:t>(4)</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94</w:t>
            </w:r>
          </w:p>
        </w:tc>
        <w:tc>
          <w:tcPr>
            <w:tcW w:w="0" w:type="dxa"/>
            <w:vAlign w:val="bottom"/>
          </w:tcPr>
          <w:p>
            <w:pPr>
              <w:spacing w:after="0"/>
              <w:rPr>
                <w:sz w:val="1"/>
                <w:szCs w:val="1"/>
                <w:color w:val="auto"/>
              </w:rPr>
            </w:pPr>
          </w:p>
        </w:tc>
      </w:tr>
      <w:tr>
        <w:trPr>
          <w:trHeight w:val="334"/>
        </w:trPr>
        <w:tc>
          <w:tcPr>
            <w:tcW w:w="6260" w:type="dxa"/>
            <w:vAlign w:val="bottom"/>
            <w:gridSpan w:val="2"/>
          </w:tcPr>
          <w:p>
            <w:pPr>
              <w:ind w:left="360"/>
              <w:spacing w:after="0"/>
              <w:rPr>
                <w:sz w:val="20"/>
                <w:szCs w:val="20"/>
                <w:color w:val="auto"/>
              </w:rPr>
            </w:pPr>
            <w:r>
              <w:rPr>
                <w:rFonts w:ascii="Arial" w:cs="Arial" w:eastAsia="Arial" w:hAnsi="Arial"/>
                <w:sz w:val="19"/>
                <w:szCs w:val="19"/>
                <w:color w:val="auto"/>
              </w:rPr>
              <w:t xml:space="preserve">Deficiencies under minimum volume commitments, net </w:t>
            </w:r>
            <w:r>
              <w:rPr>
                <w:rFonts w:ascii="Arial" w:cs="Arial" w:eastAsia="Arial" w:hAnsi="Arial"/>
                <w:sz w:val="25"/>
                <w:szCs w:val="25"/>
                <w:color w:val="auto"/>
                <w:vertAlign w:val="superscript"/>
              </w:rPr>
              <w:t>(5)</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295"/>
        </w:trPr>
        <w:tc>
          <w:tcPr>
            <w:tcW w:w="6260" w:type="dxa"/>
            <w:vAlign w:val="bottom"/>
            <w:gridSpan w:val="2"/>
          </w:tcPr>
          <w:p>
            <w:pPr>
              <w:ind w:left="360"/>
              <w:spacing w:after="0"/>
              <w:rPr>
                <w:sz w:val="20"/>
                <w:szCs w:val="20"/>
                <w:color w:val="auto"/>
              </w:rPr>
            </w:pPr>
            <w:r>
              <w:rPr>
                <w:rFonts w:ascii="Arial" w:cs="Arial" w:eastAsia="Arial" w:hAnsi="Arial"/>
                <w:sz w:val="19"/>
                <w:szCs w:val="19"/>
                <w:color w:val="auto"/>
              </w:rPr>
              <w:t xml:space="preserve">Equity-indexed compensation expense </w:t>
            </w:r>
            <w:r>
              <w:rPr>
                <w:rFonts w:ascii="Arial" w:cs="Arial" w:eastAsia="Arial" w:hAnsi="Arial"/>
                <w:sz w:val="25"/>
                <w:szCs w:val="25"/>
                <w:color w:val="auto"/>
                <w:vertAlign w:val="superscript"/>
              </w:rPr>
              <w:t>(6)</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(19)</w:t>
            </w:r>
          </w:p>
        </w:tc>
        <w:tc>
          <w:tcPr>
            <w:tcW w:w="0" w:type="dxa"/>
            <w:vAlign w:val="bottom"/>
          </w:tcPr>
          <w:p>
            <w:pPr>
              <w:spacing w:after="0"/>
              <w:rPr>
                <w:sz w:val="1"/>
                <w:szCs w:val="1"/>
                <w:color w:val="auto"/>
              </w:rPr>
            </w:pPr>
          </w:p>
        </w:tc>
      </w:tr>
      <w:tr>
        <w:trPr>
          <w:trHeight w:val="292"/>
        </w:trPr>
        <w:tc>
          <w:tcPr>
            <w:tcW w:w="6260" w:type="dxa"/>
            <w:vAlign w:val="bottom"/>
            <w:gridSpan w:val="2"/>
          </w:tcPr>
          <w:p>
            <w:pPr>
              <w:ind w:left="360"/>
              <w:spacing w:after="0"/>
              <w:rPr>
                <w:sz w:val="20"/>
                <w:szCs w:val="20"/>
                <w:color w:val="auto"/>
              </w:rPr>
            </w:pPr>
            <w:r>
              <w:rPr>
                <w:rFonts w:ascii="Arial" w:cs="Arial" w:eastAsia="Arial" w:hAnsi="Arial"/>
                <w:sz w:val="19"/>
                <w:szCs w:val="19"/>
                <w:color w:val="auto"/>
              </w:rPr>
              <w:t xml:space="preserve">Foreign currency revaluation </w:t>
            </w:r>
            <w:r>
              <w:rPr>
                <w:rFonts w:ascii="Arial" w:cs="Arial" w:eastAsia="Arial" w:hAnsi="Arial"/>
                <w:sz w:val="25"/>
                <w:szCs w:val="25"/>
                <w:color w:val="auto"/>
                <w:vertAlign w:val="superscript"/>
              </w:rPr>
              <w:t>(7)</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92"/>
        </w:trPr>
        <w:tc>
          <w:tcPr>
            <w:tcW w:w="6260" w:type="dxa"/>
            <w:vAlign w:val="bottom"/>
            <w:gridSpan w:val="2"/>
          </w:tcPr>
          <w:p>
            <w:pPr>
              <w:ind w:left="360"/>
              <w:spacing w:after="0"/>
              <w:rPr>
                <w:sz w:val="20"/>
                <w:szCs w:val="20"/>
                <w:color w:val="auto"/>
              </w:rPr>
            </w:pPr>
            <w:r>
              <w:rPr>
                <w:rFonts w:ascii="Arial" w:cs="Arial" w:eastAsia="Arial" w:hAnsi="Arial"/>
                <w:sz w:val="19"/>
                <w:szCs w:val="19"/>
                <w:color w:val="auto"/>
              </w:rPr>
              <w:t xml:space="preserve">Line 901 incident </w:t>
            </w:r>
            <w:r>
              <w:rPr>
                <w:rFonts w:ascii="Arial" w:cs="Arial" w:eastAsia="Arial" w:hAnsi="Arial"/>
                <w:sz w:val="25"/>
                <w:szCs w:val="25"/>
                <w:color w:val="auto"/>
                <w:vertAlign w:val="superscript"/>
              </w:rPr>
              <w:t>(8)</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(95)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319"/>
        </w:trPr>
        <w:tc>
          <w:tcPr>
            <w:tcW w:w="6260" w:type="dxa"/>
            <w:vAlign w:val="bottom"/>
            <w:gridSpan w:val="2"/>
          </w:tcPr>
          <w:p>
            <w:pPr>
              <w:ind w:left="360"/>
              <w:spacing w:after="0"/>
              <w:rPr>
                <w:sz w:val="20"/>
                <w:szCs w:val="20"/>
                <w:color w:val="auto"/>
              </w:rPr>
            </w:pPr>
            <w:r>
              <w:rPr>
                <w:rFonts w:ascii="Arial" w:cs="Arial" w:eastAsia="Arial" w:hAnsi="Arial"/>
                <w:sz w:val="19"/>
                <w:szCs w:val="19"/>
                <w:color w:val="auto"/>
              </w:rPr>
              <w:t xml:space="preserve">Transaction-related expenses </w:t>
            </w:r>
            <w:r>
              <w:rPr>
                <w:rFonts w:ascii="Arial" w:cs="Arial" w:eastAsia="Arial" w:hAnsi="Arial"/>
                <w:sz w:val="25"/>
                <w:szCs w:val="25"/>
                <w:color w:val="auto"/>
                <w:vertAlign w:val="superscript"/>
              </w:rPr>
              <w:t>(9)</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(16)</w:t>
            </w:r>
          </w:p>
        </w:tc>
        <w:tc>
          <w:tcPr>
            <w:tcW w:w="0" w:type="dxa"/>
            <w:vAlign w:val="bottom"/>
          </w:tcPr>
          <w:p>
            <w:pPr>
              <w:spacing w:after="0"/>
              <w:rPr>
                <w:sz w:val="1"/>
                <w:szCs w:val="1"/>
                <w:color w:val="auto"/>
              </w:rPr>
            </w:pPr>
          </w:p>
        </w:tc>
      </w:tr>
      <w:tr>
        <w:trPr>
          <w:trHeight w:val="196"/>
        </w:trPr>
        <w:tc>
          <w:tcPr>
            <w:tcW w:w="6260" w:type="dxa"/>
            <w:vAlign w:val="bottom"/>
            <w:gridSpan w:val="2"/>
          </w:tcPr>
          <w:p>
            <w:pPr>
              <w:ind w:left="320"/>
              <w:spacing w:after="0" w:line="195" w:lineRule="exact"/>
              <w:rPr>
                <w:sz w:val="20"/>
                <w:szCs w:val="20"/>
                <w:color w:val="auto"/>
              </w:rPr>
            </w:pPr>
            <w:r>
              <w:rPr>
                <w:rFonts w:ascii="Arial" w:cs="Arial" w:eastAsia="Arial" w:hAnsi="Arial"/>
                <w:sz w:val="19"/>
                <w:szCs w:val="19"/>
                <w:color w:val="auto"/>
                <w:w w:val="97"/>
              </w:rPr>
              <w:t>Segment amounts attributable to noncontrolling interests in consolidated</w:t>
            </w:r>
          </w:p>
        </w:tc>
        <w:tc>
          <w:tcPr>
            <w:tcW w:w="2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color w:val="auto"/>
              </w:rPr>
              <w:t>454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color w:val="auto"/>
              </w:rPr>
              <w:t>364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color w:val="auto"/>
              </w:rPr>
              <w:t>94</w:t>
            </w:r>
          </w:p>
        </w:tc>
        <w:tc>
          <w:tcPr>
            <w:tcW w:w="0" w:type="dxa"/>
            <w:vAlign w:val="bottom"/>
          </w:tcPr>
          <w:p>
            <w:pPr>
              <w:spacing w:after="0"/>
              <w:rPr>
                <w:sz w:val="1"/>
                <w:szCs w:val="1"/>
                <w:color w:val="auto"/>
              </w:rPr>
            </w:pPr>
          </w:p>
        </w:tc>
      </w:tr>
      <w:tr>
        <w:trPr>
          <w:trHeight w:val="261"/>
        </w:trPr>
        <w:tc>
          <w:tcPr>
            <w:tcW w:w="6260" w:type="dxa"/>
            <w:vAlign w:val="bottom"/>
            <w:gridSpan w:val="2"/>
          </w:tcPr>
          <w:p>
            <w:pPr>
              <w:ind w:left="500"/>
              <w:spacing w:after="0" w:line="260" w:lineRule="exact"/>
              <w:rPr>
                <w:sz w:val="20"/>
                <w:szCs w:val="20"/>
                <w:color w:val="auto"/>
              </w:rPr>
            </w:pPr>
            <w:r>
              <w:rPr>
                <w:rFonts w:ascii="Arial" w:cs="Arial" w:eastAsia="Arial" w:hAnsi="Arial"/>
                <w:sz w:val="19"/>
                <w:szCs w:val="19"/>
                <w:color w:val="auto"/>
              </w:rPr>
              <w:t xml:space="preserve">joint ventures </w:t>
            </w:r>
            <w:r>
              <w:rPr>
                <w:rFonts w:ascii="Arial" w:cs="Arial" w:eastAsia="Arial" w:hAnsi="Arial"/>
                <w:sz w:val="25"/>
                <w:szCs w:val="25"/>
                <w:color w:val="auto"/>
                <w:vertAlign w:val="superscript"/>
              </w:rPr>
              <w:t>(10)</w:t>
            </w:r>
          </w:p>
        </w:tc>
        <w:tc>
          <w:tcPr>
            <w:tcW w:w="2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1"/>
        </w:trPr>
        <w:tc>
          <w:tcPr>
            <w:tcW w:w="6260" w:type="dxa"/>
            <w:vAlign w:val="bottom"/>
            <w:gridSpan w:val="2"/>
          </w:tcPr>
          <w:p>
            <w:pPr>
              <w:ind w:left="140"/>
              <w:spacing w:after="0"/>
              <w:rPr>
                <w:sz w:val="20"/>
                <w:szCs w:val="20"/>
                <w:color w:val="auto"/>
              </w:rPr>
            </w:pPr>
            <w:r>
              <w:rPr>
                <w:rFonts w:ascii="Arial" w:cs="Arial" w:eastAsia="Arial" w:hAnsi="Arial"/>
                <w:sz w:val="19"/>
                <w:szCs w:val="19"/>
                <w:color w:val="auto"/>
              </w:rPr>
              <w:t xml:space="preserve">Unallocated general and administrative expenses </w:t>
            </w:r>
            <w:r>
              <w:rPr>
                <w:rFonts w:ascii="Arial" w:cs="Arial" w:eastAsia="Arial" w:hAnsi="Arial"/>
                <w:sz w:val="25"/>
                <w:szCs w:val="25"/>
                <w:color w:val="auto"/>
                <w:vertAlign w:val="superscript"/>
              </w:rPr>
              <w:t>(11)</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67"/>
        </w:trPr>
        <w:tc>
          <w:tcPr>
            <w:tcW w:w="6260" w:type="dxa"/>
            <w:vAlign w:val="bottom"/>
            <w:gridSpan w:val="2"/>
          </w:tcPr>
          <w:p>
            <w:pPr>
              <w:ind w:left="140"/>
              <w:spacing w:after="0"/>
              <w:rPr>
                <w:sz w:val="20"/>
                <w:szCs w:val="20"/>
                <w:color w:val="auto"/>
              </w:rPr>
            </w:pPr>
            <w:r>
              <w:rPr>
                <w:rFonts w:ascii="Arial" w:cs="Arial" w:eastAsia="Arial" w:hAnsi="Arial"/>
                <w:sz w:val="19"/>
                <w:szCs w:val="19"/>
                <w:color w:val="auto"/>
              </w:rPr>
              <w:t>Depreciation and amortization</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(1,051)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(968)</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(777)</w:t>
            </w:r>
          </w:p>
        </w:tc>
        <w:tc>
          <w:tcPr>
            <w:tcW w:w="0" w:type="dxa"/>
            <w:vAlign w:val="bottom"/>
          </w:tcPr>
          <w:p>
            <w:pPr>
              <w:spacing w:after="0"/>
              <w:rPr>
                <w:sz w:val="1"/>
                <w:szCs w:val="1"/>
                <w:color w:val="auto"/>
              </w:rPr>
            </w:pPr>
          </w:p>
        </w:tc>
      </w:tr>
      <w:tr>
        <w:trPr>
          <w:trHeight w:val="292"/>
        </w:trPr>
        <w:tc>
          <w:tcPr>
            <w:tcW w:w="6260" w:type="dxa"/>
            <w:vAlign w:val="bottom"/>
            <w:gridSpan w:val="2"/>
          </w:tcPr>
          <w:p>
            <w:pPr>
              <w:ind w:left="140"/>
              <w:spacing w:after="0"/>
              <w:rPr>
                <w:sz w:val="20"/>
                <w:szCs w:val="20"/>
                <w:color w:val="auto"/>
              </w:rPr>
            </w:pPr>
            <w:r>
              <w:rPr>
                <w:rFonts w:ascii="Arial" w:cs="Arial" w:eastAsia="Arial" w:hAnsi="Arial"/>
                <w:sz w:val="19"/>
                <w:szCs w:val="19"/>
                <w:color w:val="auto"/>
              </w:rPr>
              <w:t>Gains/(losses) on asset sales and asset impairments, net</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152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(269)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(592)</w:t>
            </w:r>
          </w:p>
        </w:tc>
        <w:tc>
          <w:tcPr>
            <w:tcW w:w="0" w:type="dxa"/>
            <w:vAlign w:val="bottom"/>
          </w:tcPr>
          <w:p>
            <w:pPr>
              <w:spacing w:after="0"/>
              <w:rPr>
                <w:sz w:val="1"/>
                <w:szCs w:val="1"/>
                <w:color w:val="auto"/>
              </w:rPr>
            </w:pPr>
          </w:p>
        </w:tc>
      </w:tr>
      <w:tr>
        <w:trPr>
          <w:trHeight w:val="292"/>
        </w:trPr>
        <w:tc>
          <w:tcPr>
            <w:tcW w:w="6260" w:type="dxa"/>
            <w:vAlign w:val="bottom"/>
            <w:gridSpan w:val="2"/>
          </w:tcPr>
          <w:p>
            <w:pPr>
              <w:ind w:left="140"/>
              <w:spacing w:after="0"/>
              <w:rPr>
                <w:sz w:val="20"/>
                <w:szCs w:val="20"/>
                <w:color w:val="auto"/>
              </w:rPr>
            </w:pPr>
            <w:r>
              <w:rPr>
                <w:rFonts w:ascii="Arial" w:cs="Arial" w:eastAsia="Arial" w:hAnsi="Arial"/>
                <w:sz w:val="19"/>
                <w:szCs w:val="19"/>
                <w:color w:val="auto"/>
              </w:rPr>
              <w:t>Gains/(losses) on investments in unconsolidated entities, net</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346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92"/>
        </w:trPr>
        <w:tc>
          <w:tcPr>
            <w:tcW w:w="6260" w:type="dxa"/>
            <w:vAlign w:val="bottom"/>
            <w:gridSpan w:val="2"/>
          </w:tcPr>
          <w:p>
            <w:pPr>
              <w:ind w:left="140"/>
              <w:spacing w:after="0"/>
              <w:rPr>
                <w:sz w:val="20"/>
                <w:szCs w:val="20"/>
                <w:color w:val="auto"/>
              </w:rPr>
            </w:pPr>
            <w:r>
              <w:rPr>
                <w:rFonts w:ascii="Arial" w:cs="Arial" w:eastAsia="Arial" w:hAnsi="Arial"/>
                <w:sz w:val="19"/>
                <w:szCs w:val="19"/>
                <w:color w:val="auto"/>
              </w:rPr>
              <w:t>Interest expense, net</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(386)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(405)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(425)</w:t>
            </w:r>
          </w:p>
        </w:tc>
        <w:tc>
          <w:tcPr>
            <w:tcW w:w="0" w:type="dxa"/>
            <w:vAlign w:val="bottom"/>
          </w:tcPr>
          <w:p>
            <w:pPr>
              <w:spacing w:after="0"/>
              <w:rPr>
                <w:sz w:val="1"/>
                <w:szCs w:val="1"/>
                <w:color w:val="auto"/>
              </w:rPr>
            </w:pPr>
          </w:p>
        </w:tc>
      </w:tr>
      <w:tr>
        <w:trPr>
          <w:trHeight w:val="295"/>
        </w:trPr>
        <w:tc>
          <w:tcPr>
            <w:tcW w:w="6260" w:type="dxa"/>
            <w:vAlign w:val="bottom"/>
            <w:gridSpan w:val="2"/>
          </w:tcPr>
          <w:p>
            <w:pPr>
              <w:ind w:left="140"/>
              <w:spacing w:after="0"/>
              <w:rPr>
                <w:sz w:val="20"/>
                <w:szCs w:val="20"/>
                <w:color w:val="auto"/>
              </w:rPr>
            </w:pPr>
            <w:r>
              <w:rPr>
                <w:rFonts w:ascii="Arial" w:cs="Arial" w:eastAsia="Arial" w:hAnsi="Arial"/>
                <w:sz w:val="19"/>
                <w:szCs w:val="19"/>
                <w:color w:val="auto"/>
              </w:rPr>
              <w:t>Other income/(expense), net</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102</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(219)</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w:t>
            </w:r>
          </w:p>
        </w:tc>
        <w:tc>
          <w:tcPr>
            <w:tcW w:w="0" w:type="dxa"/>
            <w:vAlign w:val="bottom"/>
          </w:tcPr>
          <w:p>
            <w:pPr>
              <w:spacing w:after="0"/>
              <w:rPr>
                <w:sz w:val="1"/>
                <w:szCs w:val="1"/>
                <w:color w:val="auto"/>
              </w:rPr>
            </w:pPr>
          </w:p>
        </w:tc>
      </w:tr>
      <w:tr>
        <w:trPr>
          <w:trHeight w:val="270"/>
        </w:trPr>
        <w:tc>
          <w:tcPr>
            <w:tcW w:w="6260" w:type="dxa"/>
            <w:vAlign w:val="bottom"/>
            <w:gridSpan w:val="2"/>
          </w:tcPr>
          <w:p>
            <w:pPr>
              <w:ind w:left="140"/>
              <w:spacing w:after="0"/>
              <w:rPr>
                <w:sz w:val="20"/>
                <w:szCs w:val="20"/>
                <w:color w:val="auto"/>
              </w:rPr>
            </w:pPr>
            <w:r>
              <w:rPr>
                <w:rFonts w:ascii="Arial" w:cs="Arial" w:eastAsia="Arial" w:hAnsi="Arial"/>
                <w:sz w:val="19"/>
                <w:szCs w:val="19"/>
                <w:color w:val="auto"/>
              </w:rPr>
              <w:t>Income before tax</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1,614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1,409</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712</w:t>
            </w:r>
          </w:p>
        </w:tc>
        <w:tc>
          <w:tcPr>
            <w:tcW w:w="0" w:type="dxa"/>
            <w:vAlign w:val="bottom"/>
          </w:tcPr>
          <w:p>
            <w:pPr>
              <w:spacing w:after="0"/>
              <w:rPr>
                <w:sz w:val="1"/>
                <w:szCs w:val="1"/>
                <w:color w:val="auto"/>
              </w:rPr>
            </w:pPr>
          </w:p>
        </w:tc>
      </w:tr>
      <w:tr>
        <w:trPr>
          <w:trHeight w:val="295"/>
        </w:trPr>
        <w:tc>
          <w:tcPr>
            <w:tcW w:w="6260" w:type="dxa"/>
            <w:vAlign w:val="bottom"/>
            <w:gridSpan w:val="2"/>
          </w:tcPr>
          <w:p>
            <w:pPr>
              <w:ind w:left="140"/>
              <w:spacing w:after="0"/>
              <w:rPr>
                <w:sz w:val="20"/>
                <w:szCs w:val="20"/>
                <w:color w:val="auto"/>
              </w:rPr>
            </w:pPr>
            <w:r>
              <w:rPr>
                <w:rFonts w:ascii="Arial" w:cs="Arial" w:eastAsia="Arial" w:hAnsi="Arial"/>
                <w:sz w:val="19"/>
                <w:szCs w:val="19"/>
                <w:color w:val="auto"/>
              </w:rPr>
              <w:t>Income tax expense</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(189)</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(246)</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(112)</w:t>
            </w:r>
          </w:p>
        </w:tc>
        <w:tc>
          <w:tcPr>
            <w:tcW w:w="0" w:type="dxa"/>
            <w:vAlign w:val="bottom"/>
          </w:tcPr>
          <w:p>
            <w:pPr>
              <w:spacing w:after="0"/>
              <w:rPr>
                <w:sz w:val="1"/>
                <w:szCs w:val="1"/>
                <w:color w:val="auto"/>
              </w:rPr>
            </w:pPr>
          </w:p>
        </w:tc>
      </w:tr>
      <w:tr>
        <w:trPr>
          <w:trHeight w:val="270"/>
        </w:trPr>
        <w:tc>
          <w:tcPr>
            <w:tcW w:w="6260" w:type="dxa"/>
            <w:vAlign w:val="bottom"/>
            <w:gridSpan w:val="2"/>
          </w:tcPr>
          <w:p>
            <w:pPr>
              <w:ind w:left="140"/>
              <w:spacing w:after="0"/>
              <w:rPr>
                <w:sz w:val="20"/>
                <w:szCs w:val="20"/>
                <w:color w:val="auto"/>
              </w:rPr>
            </w:pPr>
            <w:r>
              <w:rPr>
                <w:rFonts w:ascii="Arial" w:cs="Arial" w:eastAsia="Arial" w:hAnsi="Arial"/>
                <w:sz w:val="19"/>
                <w:szCs w:val="19"/>
                <w:color w:val="auto"/>
              </w:rPr>
              <w:t>Net income</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1,425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1,163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600</w:t>
            </w:r>
          </w:p>
        </w:tc>
        <w:tc>
          <w:tcPr>
            <w:tcW w:w="0" w:type="dxa"/>
            <w:vAlign w:val="bottom"/>
          </w:tcPr>
          <w:p>
            <w:pPr>
              <w:spacing w:after="0"/>
              <w:rPr>
                <w:sz w:val="1"/>
                <w:szCs w:val="1"/>
                <w:color w:val="auto"/>
              </w:rPr>
            </w:pPr>
          </w:p>
        </w:tc>
      </w:tr>
      <w:tr>
        <w:trPr>
          <w:trHeight w:val="295"/>
        </w:trPr>
        <w:tc>
          <w:tcPr>
            <w:tcW w:w="6260" w:type="dxa"/>
            <w:vAlign w:val="bottom"/>
            <w:gridSpan w:val="2"/>
          </w:tcPr>
          <w:p>
            <w:pPr>
              <w:ind w:left="360"/>
              <w:spacing w:after="0"/>
              <w:rPr>
                <w:sz w:val="20"/>
                <w:szCs w:val="20"/>
                <w:color w:val="auto"/>
              </w:rPr>
            </w:pPr>
            <w:r>
              <w:rPr>
                <w:rFonts w:ascii="Arial" w:cs="Arial" w:eastAsia="Arial" w:hAnsi="Arial"/>
                <w:sz w:val="19"/>
                <w:szCs w:val="19"/>
                <w:color w:val="auto"/>
              </w:rPr>
              <w:t>Net income attributable to noncontrolling interests</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(1,227)</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(995)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(540)</w:t>
            </w:r>
          </w:p>
        </w:tc>
        <w:tc>
          <w:tcPr>
            <w:tcW w:w="0" w:type="dxa"/>
            <w:vAlign w:val="bottom"/>
          </w:tcPr>
          <w:p>
            <w:pPr>
              <w:spacing w:after="0"/>
              <w:rPr>
                <w:sz w:val="1"/>
                <w:szCs w:val="1"/>
                <w:color w:val="auto"/>
              </w:rPr>
            </w:pPr>
          </w:p>
        </w:tc>
      </w:tr>
      <w:tr>
        <w:trPr>
          <w:trHeight w:val="253"/>
        </w:trPr>
        <w:tc>
          <w:tcPr>
            <w:tcW w:w="6260" w:type="dxa"/>
            <w:vAlign w:val="bottom"/>
            <w:gridSpan w:val="2"/>
          </w:tcPr>
          <w:p>
            <w:pPr>
              <w:ind w:left="140"/>
              <w:spacing w:after="0"/>
              <w:rPr>
                <w:sz w:val="20"/>
                <w:szCs w:val="20"/>
                <w:color w:val="auto"/>
              </w:rPr>
            </w:pPr>
            <w:r>
              <w:rPr>
                <w:rFonts w:ascii="Arial" w:cs="Arial" w:eastAsia="Arial" w:hAnsi="Arial"/>
                <w:sz w:val="19"/>
                <w:szCs w:val="19"/>
                <w:color w:val="auto"/>
              </w:rPr>
              <w:t>Net income attributable to PAGP</w:t>
            </w: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198</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168</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60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20" w:type="dxa"/>
            <w:vAlign w:val="bottom"/>
            <w:tcBorders>
              <w:bottom w:val="single" w:sz="8" w:color="auto"/>
            </w:tcBorders>
          </w:tcPr>
          <w:p>
            <w:pPr>
              <w:spacing w:after="0"/>
              <w:rPr>
                <w:sz w:val="11"/>
                <w:szCs w:val="11"/>
                <w:color w:val="auto"/>
              </w:rPr>
            </w:pPr>
          </w:p>
        </w:tc>
        <w:tc>
          <w:tcPr>
            <w:tcW w:w="3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-4361180</wp:posOffset>
            </wp:positionV>
            <wp:extent cx="6256020" cy="42716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14">
                      <a:extLst>
                        <a:ext uri="{28A0092B-C50C-407E-A947-70E740481C1C}"/>
                      </a:extLst>
                    </a:blip>
                    <a:srcRect/>
                    <a:stretch>
                      <a:fillRect/>
                    </a:stretch>
                  </pic:blipFill>
                  <pic:spPr bwMode="auto">
                    <a:xfrm>
                      <a:off x="0" y="0"/>
                      <a:ext cx="6256020" cy="4271645"/>
                    </a:xfrm>
                    <a:prstGeom prst="rect">
                      <a:avLst/>
                    </a:prstGeom>
                    <a:noFill/>
                  </pic:spPr>
                </pic:pic>
              </a:graphicData>
            </a:graphic>
          </wp:anchor>
        </w:drawing>
      </w:r>
    </w:p>
    <w:p>
      <w:pPr>
        <w:sectPr>
          <w:pgSz w:w="11880" w:h="15480" w:orient="portrait"/>
          <w:cols w:equalWidth="0" w:num="1">
            <w:col w:w="9960"/>
          </w:cols>
          <w:pgMar w:left="940" w:top="431" w:right="980" w:bottom="0" w:gutter="0" w:footer="0" w:header="0"/>
          <w:type w:val="continuous"/>
        </w:sectPr>
      </w:pPr>
    </w:p>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2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Represents adjustments utilized by our CODM in the evaluation of segment results.</w:t>
      </w:r>
    </w:p>
    <w:p>
      <w:pPr>
        <w:spacing w:after="0" w:line="132" w:lineRule="exact"/>
        <w:rPr>
          <w:sz w:val="20"/>
          <w:szCs w:val="20"/>
          <w:color w:val="auto"/>
        </w:rPr>
      </w:pPr>
    </w:p>
    <w:p>
      <w:pPr>
        <w:ind w:right="540"/>
        <w:spacing w:after="0" w:line="295" w:lineRule="auto"/>
        <w:rPr>
          <w:sz w:val="20"/>
          <w:szCs w:val="20"/>
          <w:color w:val="auto"/>
        </w:rPr>
      </w:pPr>
      <w:r>
        <w:rPr>
          <w:rFonts w:ascii="Arial" w:cs="Arial" w:eastAsia="Arial" w:hAnsi="Arial"/>
          <w:sz w:val="19"/>
          <w:szCs w:val="19"/>
          <w:color w:val="auto"/>
        </w:rPr>
        <w:t>Includes our proportionate share of the depreciation and amortization expense (including write-downs related to cancelled projects and impairments) of unconsolidated entities.</w:t>
      </w:r>
    </w:p>
    <w:p>
      <w:pPr>
        <w:spacing w:after="0" w:line="48"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200" w:lineRule="exact"/>
        <w:rPr>
          <w:sz w:val="20"/>
          <w:szCs w:val="20"/>
          <w:color w:val="auto"/>
        </w:rPr>
      </w:pPr>
    </w:p>
    <w:p>
      <w:pPr>
        <w:sectPr>
          <w:pgSz w:w="11880" w:h="15480" w:orient="portrait"/>
          <w:cols w:equalWidth="0" w:num="2">
            <w:col w:w="140" w:space="560"/>
            <w:col w:w="9260"/>
          </w:cols>
          <w:pgMar w:left="940" w:top="431" w:right="980" w:bottom="0" w:gutter="0" w:footer="0" w:header="0"/>
          <w:type w:val="continuous"/>
        </w:sect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F-60</w:t>
      </w:r>
    </w:p>
    <w:p>
      <w:pPr>
        <w:sectPr>
          <w:pgSz w:w="11880" w:h="15480" w:orient="portrait"/>
          <w:cols w:equalWidth="0" w:num="1">
            <w:col w:w="9960"/>
          </w:cols>
          <w:pgMar w:left="940" w:top="431" w:right="980" w:bottom="0" w:gutter="0" w:footer="0" w:header="0"/>
          <w:type w:val="continuous"/>
        </w:sectPr>
      </w:pPr>
    </w:p>
    <w:bookmarkStart w:id="163" w:name="page164"/>
    <w:bookmarkEnd w:id="163"/>
    <w:p>
      <w:pPr>
        <w:jc w:val="center"/>
        <w:ind w:right="-20"/>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9" w:lineRule="exact"/>
        <w:rPr>
          <w:sz w:val="20"/>
          <w:szCs w:val="20"/>
          <w:color w:val="auto"/>
        </w:rPr>
      </w:pPr>
    </w:p>
    <w:p>
      <w:pPr>
        <w:ind w:left="701" w:right="20" w:hanging="701"/>
        <w:spacing w:after="0" w:line="250" w:lineRule="auto"/>
        <w:tabs>
          <w:tab w:leader="none" w:pos="701" w:val="left"/>
        </w:tabs>
        <w:numPr>
          <w:ilvl w:val="0"/>
          <w:numId w:val="105"/>
        </w:numPr>
        <w:rPr>
          <w:rFonts w:ascii="Arial" w:cs="Arial" w:eastAsia="Arial" w:hAnsi="Arial"/>
          <w:sz w:val="25"/>
          <w:szCs w:val="25"/>
          <w:color w:val="auto"/>
          <w:vertAlign w:val="superscript"/>
        </w:rPr>
      </w:pPr>
      <w:r>
        <w:rPr>
          <w:rFonts w:ascii="Arial" w:cs="Arial" w:eastAsia="Arial" w:hAnsi="Arial"/>
          <w:sz w:val="19"/>
          <w:szCs w:val="19"/>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89" w:lineRule="exact"/>
        <w:rPr>
          <w:rFonts w:ascii="Arial" w:cs="Arial" w:eastAsia="Arial" w:hAnsi="Arial"/>
          <w:sz w:val="25"/>
          <w:szCs w:val="25"/>
          <w:color w:val="auto"/>
          <w:vertAlign w:val="superscript"/>
        </w:rPr>
      </w:pPr>
    </w:p>
    <w:p>
      <w:pPr>
        <w:ind w:left="701" w:right="60" w:hanging="701"/>
        <w:spacing w:after="0" w:line="269" w:lineRule="auto"/>
        <w:tabs>
          <w:tab w:leader="none" w:pos="701" w:val="left"/>
        </w:tabs>
        <w:numPr>
          <w:ilvl w:val="0"/>
          <w:numId w:val="105"/>
        </w:numPr>
        <w:rPr>
          <w:rFonts w:ascii="Arial" w:cs="Arial" w:eastAsia="Arial" w:hAnsi="Arial"/>
          <w:sz w:val="23"/>
          <w:szCs w:val="23"/>
          <w:color w:val="auto"/>
          <w:vertAlign w:val="superscript"/>
        </w:rPr>
      </w:pPr>
      <w:r>
        <w:rPr>
          <w:rFonts w:ascii="Arial" w:cs="Arial" w:eastAsia="Arial" w:hAnsi="Arial"/>
          <w:sz w:val="18"/>
          <w:szCs w:val="18"/>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80" w:lineRule="exact"/>
        <w:rPr>
          <w:rFonts w:ascii="Arial" w:cs="Arial" w:eastAsia="Arial" w:hAnsi="Arial"/>
          <w:sz w:val="23"/>
          <w:szCs w:val="23"/>
          <w:color w:val="auto"/>
          <w:vertAlign w:val="superscript"/>
        </w:rPr>
      </w:pPr>
    </w:p>
    <w:p>
      <w:pPr>
        <w:ind w:left="701" w:hanging="701"/>
        <w:spacing w:after="0" w:line="285" w:lineRule="auto"/>
        <w:tabs>
          <w:tab w:leader="none" w:pos="701" w:val="left"/>
        </w:tabs>
        <w:numPr>
          <w:ilvl w:val="0"/>
          <w:numId w:val="105"/>
        </w:numPr>
        <w:rPr>
          <w:rFonts w:ascii="Arial" w:cs="Arial" w:eastAsia="Arial" w:hAnsi="Arial"/>
          <w:sz w:val="22"/>
          <w:szCs w:val="22"/>
          <w:color w:val="auto"/>
          <w:vertAlign w:val="superscript"/>
        </w:rPr>
      </w:pPr>
      <w:r>
        <w:rPr>
          <w:rFonts w:ascii="Arial" w:cs="Arial" w:eastAsia="Arial" w:hAnsi="Arial"/>
          <w:sz w:val="17"/>
          <w:szCs w:val="17"/>
          <w:color w:val="auto"/>
        </w:rPr>
        <w:t>Our total equity-indexed compensation expense includes expense associated with awards that will be settled in PAA common units and awards that will be settled in cash. The awards that will be settled in PAA common units are included in PAA’s diluted net income per unit calculation when the applicable performance criteria have been met. We exclude compensation expense associated with these awards in determining Segment Adjusted EBITDA as the dilutive impact of the outstanding awards is included in PAA’s diluted net income per unit calculation, as applicable. The portion of compensation expense associated with awards that will be settled in cash is not excluded in determining Segment Adjusted EBITDA. See Note 17 for information regarding our equity-indexed compensation plans.</w:t>
      </w:r>
    </w:p>
    <w:p>
      <w:pPr>
        <w:spacing w:after="0" w:line="61" w:lineRule="exact"/>
        <w:rPr>
          <w:rFonts w:ascii="Arial" w:cs="Arial" w:eastAsia="Arial" w:hAnsi="Arial"/>
          <w:sz w:val="22"/>
          <w:szCs w:val="22"/>
          <w:color w:val="auto"/>
          <w:vertAlign w:val="superscript"/>
        </w:rPr>
      </w:pPr>
    </w:p>
    <w:p>
      <w:pPr>
        <w:ind w:left="701" w:right="220" w:hanging="701"/>
        <w:spacing w:after="0" w:line="264" w:lineRule="auto"/>
        <w:tabs>
          <w:tab w:leader="none" w:pos="701" w:val="left"/>
        </w:tabs>
        <w:numPr>
          <w:ilvl w:val="0"/>
          <w:numId w:val="105"/>
        </w:numPr>
        <w:rPr>
          <w:rFonts w:ascii="Arial" w:cs="Arial" w:eastAsia="Arial" w:hAnsi="Arial"/>
          <w:sz w:val="23"/>
          <w:szCs w:val="23"/>
          <w:color w:val="auto"/>
          <w:vertAlign w:val="superscript"/>
        </w:rPr>
      </w:pPr>
      <w:r>
        <w:rPr>
          <w:rFonts w:ascii="Arial" w:cs="Arial" w:eastAsia="Arial" w:hAnsi="Arial"/>
          <w:sz w:val="18"/>
          <w:szCs w:val="18"/>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78" w:lineRule="exact"/>
        <w:rPr>
          <w:rFonts w:ascii="Arial" w:cs="Arial" w:eastAsia="Arial" w:hAnsi="Arial"/>
          <w:sz w:val="23"/>
          <w:szCs w:val="23"/>
          <w:color w:val="auto"/>
          <w:vertAlign w:val="superscript"/>
        </w:rPr>
      </w:pPr>
    </w:p>
    <w:p>
      <w:pPr>
        <w:ind w:left="701" w:right="20" w:hanging="701"/>
        <w:spacing w:after="0" w:line="239" w:lineRule="auto"/>
        <w:tabs>
          <w:tab w:leader="none" w:pos="701" w:val="left"/>
        </w:tabs>
        <w:numPr>
          <w:ilvl w:val="0"/>
          <w:numId w:val="105"/>
        </w:numPr>
        <w:rPr>
          <w:rFonts w:ascii="Arial" w:cs="Arial" w:eastAsia="Arial" w:hAnsi="Arial"/>
          <w:sz w:val="25"/>
          <w:szCs w:val="25"/>
          <w:color w:val="auto"/>
          <w:vertAlign w:val="superscript"/>
        </w:rPr>
      </w:pPr>
      <w:r>
        <w:rPr>
          <w:rFonts w:ascii="Arial" w:cs="Arial" w:eastAsia="Arial" w:hAnsi="Arial"/>
          <w:sz w:val="19"/>
          <w:szCs w:val="19"/>
          <w:color w:val="auto"/>
        </w:rPr>
        <w:t>Includes costs recognized during the period related to the Line 901 incident that occurred in May 2015, net of amounts we believe are probable of recovery from insurance. See Note 18 for additional information regarding the Line 901 incident.</w:t>
      </w:r>
    </w:p>
    <w:p>
      <w:pPr>
        <w:sectPr>
          <w:pgSz w:w="11880" w:h="15480" w:orient="portrait"/>
          <w:cols w:equalWidth="0" w:num="1">
            <w:col w:w="9981"/>
          </w:cols>
          <w:pgMar w:left="939" w:top="432" w:right="960" w:bottom="0" w:gutter="0" w:footer="0" w:header="0"/>
        </w:sectPr>
      </w:pP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right="120"/>
        <w:spacing w:after="0" w:line="269" w:lineRule="auto"/>
        <w:rPr>
          <w:sz w:val="20"/>
          <w:szCs w:val="20"/>
          <w:color w:val="auto"/>
        </w:rPr>
      </w:pPr>
      <w:r>
        <w:rPr>
          <w:rFonts w:ascii="Arial" w:cs="Arial" w:eastAsia="Arial" w:hAnsi="Arial"/>
          <w:sz w:val="19"/>
          <w:szCs w:val="19"/>
          <w:color w:val="auto"/>
        </w:rPr>
        <w:t>Includes expenses associated with the Rattler Permian Transaction in 2023 and the Permian JV transaction in 2021. See Note 7 for additional discussion. An adjustment for these non-recurring expenses is included in the calculation of Segment Adjusted EBITDA for the years ended December 31, 2023 and 2021 as our CODM does not view such expenses as integral to understanding our core segment operating performance.</w:t>
      </w:r>
    </w:p>
    <w:p>
      <w:pPr>
        <w:spacing w:after="0" w:line="73" w:lineRule="exact"/>
        <w:rPr>
          <w:sz w:val="20"/>
          <w:szCs w:val="20"/>
          <w:color w:val="auto"/>
        </w:rPr>
      </w:pPr>
    </w:p>
    <w:p>
      <w:pPr>
        <w:ind w:right="580"/>
        <w:spacing w:after="0" w:line="295" w:lineRule="auto"/>
        <w:rPr>
          <w:sz w:val="20"/>
          <w:szCs w:val="20"/>
          <w:color w:val="auto"/>
        </w:rPr>
      </w:pPr>
      <w:r>
        <w:rPr>
          <w:rFonts w:ascii="Arial" w:cs="Arial" w:eastAsia="Arial" w:hAnsi="Arial"/>
          <w:sz w:val="19"/>
          <w:szCs w:val="19"/>
          <w:color w:val="auto"/>
        </w:rPr>
        <w:t>Reflects amounts attributable to noncontrolling interests in the Permian JV (beginning October 2021), Cactus II (beginning November 2022) and Red River.</w:t>
      </w:r>
    </w:p>
    <w:p>
      <w:pPr>
        <w:spacing w:after="0" w:line="48" w:lineRule="exact"/>
        <w:rPr>
          <w:sz w:val="20"/>
          <w:szCs w:val="20"/>
          <w:color w:val="auto"/>
        </w:rPr>
      </w:pPr>
    </w:p>
    <w:p>
      <w:pPr>
        <w:sectPr>
          <w:pgSz w:w="11880" w:h="15480" w:orient="portrait"/>
          <w:cols w:equalWidth="0" w:num="2">
            <w:col w:w="221" w:space="480"/>
            <w:col w:w="9280"/>
          </w:cols>
          <w:pgMar w:left="939" w:top="432" w:right="960" w:bottom="0" w:gutter="0" w:footer="0" w:header="0"/>
          <w:type w:val="continuous"/>
        </w:sectPr>
      </w:pPr>
    </w:p>
    <w:p>
      <w:pPr>
        <w:ind w:left="701" w:right="100" w:hanging="701"/>
        <w:spacing w:after="0" w:line="231" w:lineRule="auto"/>
        <w:tabs>
          <w:tab w:leader="none" w:pos="701" w:val="left"/>
        </w:tabs>
        <w:numPr>
          <w:ilvl w:val="0"/>
          <w:numId w:val="106"/>
        </w:numPr>
        <w:rPr>
          <w:rFonts w:ascii="Arial" w:cs="Arial" w:eastAsia="Arial" w:hAnsi="Arial"/>
          <w:sz w:val="25"/>
          <w:szCs w:val="25"/>
          <w:color w:val="auto"/>
          <w:vertAlign w:val="superscript"/>
        </w:rPr>
      </w:pPr>
      <w:r>
        <w:rPr>
          <w:rFonts w:ascii="Arial" w:cs="Arial" w:eastAsia="Arial" w:hAnsi="Arial"/>
          <w:sz w:val="19"/>
          <w:szCs w:val="19"/>
          <w:color w:val="auto"/>
        </w:rPr>
        <w:t>Represents general and administrative expenses incremental to those of PAA, which are not allocated to our reporting segments in determining Segment Adjusted EBITDA.</w:t>
      </w:r>
    </w:p>
    <w:p>
      <w:pPr>
        <w:sectPr>
          <w:pgSz w:w="11880" w:h="15480" w:orient="portrait"/>
          <w:cols w:equalWidth="0" w:num="1">
            <w:col w:w="9981"/>
          </w:cols>
          <w:pgMar w:left="939" w:top="432"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F-61</w:t>
      </w:r>
    </w:p>
    <w:p>
      <w:pPr>
        <w:sectPr>
          <w:pgSz w:w="11880" w:h="15480" w:orient="portrait"/>
          <w:cols w:equalWidth="0" w:num="1">
            <w:col w:w="9981"/>
          </w:cols>
          <w:pgMar w:left="939" w:top="432" w:right="960" w:bottom="0" w:gutter="0" w:footer="0" w:header="0"/>
          <w:type w:val="continuous"/>
        </w:sectPr>
      </w:pPr>
    </w:p>
    <w:bookmarkStart w:id="164" w:name="page165"/>
    <w:bookmarkEnd w:id="164"/>
    <w:p>
      <w:pPr>
        <w:jc w:val="center"/>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THE CONSOLIDATED FINANCIAL STATEMENTS</w:t>
      </w:r>
    </w:p>
    <w:p>
      <w:pPr>
        <w:spacing w:after="0" w:line="112"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Geographic Data</w:t>
      </w:r>
    </w:p>
    <w:p>
      <w:pPr>
        <w:spacing w:after="0" w:line="257" w:lineRule="exact"/>
        <w:rPr>
          <w:sz w:val="20"/>
          <w:szCs w:val="20"/>
          <w:color w:val="auto"/>
        </w:rPr>
      </w:pPr>
    </w:p>
    <w:p>
      <w:pPr>
        <w:ind w:left="1" w:right="60" w:firstLine="702"/>
        <w:spacing w:after="0" w:line="295" w:lineRule="auto"/>
        <w:rPr>
          <w:sz w:val="20"/>
          <w:szCs w:val="20"/>
          <w:color w:val="auto"/>
        </w:rPr>
      </w:pPr>
      <w:r>
        <w:rPr>
          <w:rFonts w:ascii="Arial" w:cs="Arial" w:eastAsia="Arial" w:hAnsi="Arial"/>
          <w:sz w:val="19"/>
          <w:szCs w:val="19"/>
          <w:color w:val="auto"/>
        </w:rPr>
        <w:t>We have operations in the United States and Canada. Set forth below are revenues and long-lived assets attributable to these geographic areas (in millions):</w:t>
      </w:r>
    </w:p>
    <w:p>
      <w:pPr>
        <w:spacing w:after="0" w:line="238"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940" w:type="dxa"/>
            <w:vAlign w:val="bottom"/>
            <w:tcBorders>
              <w:bottom w:val="single" w:sz="8" w:color="auto"/>
            </w:tcBorders>
            <w:gridSpan w:val="2"/>
          </w:tcPr>
          <w:p>
            <w:pPr>
              <w:ind w:left="40"/>
              <w:spacing w:after="0" w:line="214" w:lineRule="exact"/>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20"/>
                <w:szCs w:val="20"/>
                <w:b w:val="1"/>
                <w:bCs w:val="1"/>
                <w:color w:val="auto"/>
                <w:vertAlign w:val="superscript"/>
              </w:rPr>
              <w:t>(1)</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2021</w:t>
            </w:r>
          </w:p>
        </w:tc>
      </w:tr>
      <w:tr>
        <w:trPr>
          <w:trHeight w:val="256"/>
        </w:trPr>
        <w:tc>
          <w:tcPr>
            <w:tcW w:w="20" w:type="dxa"/>
            <w:vAlign w:val="bottom"/>
          </w:tcPr>
          <w:p>
            <w:pPr>
              <w:spacing w:after="0"/>
              <w:rPr>
                <w:sz w:val="22"/>
                <w:szCs w:val="22"/>
                <w:color w:val="auto"/>
              </w:rPr>
            </w:pPr>
          </w:p>
        </w:tc>
        <w:tc>
          <w:tcPr>
            <w:tcW w:w="6000" w:type="dxa"/>
            <w:vAlign w:val="bottom"/>
            <w:gridSpan w:val="3"/>
          </w:tcPr>
          <w:p>
            <w:pPr>
              <w:ind w:left="40"/>
              <w:spacing w:after="0"/>
              <w:rPr>
                <w:sz w:val="20"/>
                <w:szCs w:val="20"/>
                <w:color w:val="auto"/>
              </w:rPr>
            </w:pPr>
            <w:r>
              <w:rPr>
                <w:rFonts w:ascii="Arial" w:cs="Arial" w:eastAsia="Arial" w:hAnsi="Arial"/>
                <w:sz w:val="19"/>
                <w:szCs w:val="19"/>
                <w:color w:val="auto"/>
              </w:rPr>
              <w:t>United States</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42,308</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46,903</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34,458</w:t>
            </w:r>
          </w:p>
        </w:tc>
      </w:tr>
      <w:tr>
        <w:trPr>
          <w:trHeight w:val="279"/>
        </w:trPr>
        <w:tc>
          <w:tcPr>
            <w:tcW w:w="20" w:type="dxa"/>
            <w:vAlign w:val="bottom"/>
          </w:tcPr>
          <w:p>
            <w:pPr>
              <w:spacing w:after="0"/>
              <w:rPr>
                <w:sz w:val="24"/>
                <w:szCs w:val="24"/>
                <w:color w:val="auto"/>
              </w:rPr>
            </w:pPr>
          </w:p>
        </w:tc>
        <w:tc>
          <w:tcPr>
            <w:tcW w:w="6000" w:type="dxa"/>
            <w:vAlign w:val="bottom"/>
            <w:gridSpan w:val="3"/>
          </w:tcPr>
          <w:p>
            <w:pPr>
              <w:ind w:left="40"/>
              <w:spacing w:after="0"/>
              <w:rPr>
                <w:sz w:val="20"/>
                <w:szCs w:val="20"/>
                <w:color w:val="auto"/>
              </w:rPr>
            </w:pPr>
            <w:r>
              <w:rPr>
                <w:rFonts w:ascii="Arial" w:cs="Arial" w:eastAsia="Arial" w:hAnsi="Arial"/>
                <w:sz w:val="19"/>
                <w:szCs w:val="19"/>
                <w:color w:val="auto"/>
              </w:rPr>
              <w:t>Canada</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6,404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10,439</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7,620</w:t>
            </w:r>
          </w:p>
        </w:tc>
      </w:tr>
      <w:tr>
        <w:trPr>
          <w:trHeight w:val="238"/>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48,712</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57,342</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42,078</w:t>
            </w: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30"/>
        </w:trPr>
        <w:tc>
          <w:tcPr>
            <w:tcW w:w="20" w:type="dxa"/>
            <w:vAlign w:val="bottom"/>
            <w:tcBorders>
              <w:bottom w:val="single" w:sz="8" w:color="auto"/>
            </w:tcBorders>
          </w:tcPr>
          <w:p>
            <w:pPr>
              <w:spacing w:after="0"/>
              <w:rPr>
                <w:sz w:val="11"/>
                <w:szCs w:val="11"/>
                <w:color w:val="auto"/>
              </w:rPr>
            </w:pPr>
          </w:p>
        </w:tc>
        <w:tc>
          <w:tcPr>
            <w:tcW w:w="3200" w:type="dxa"/>
            <w:vAlign w:val="bottom"/>
            <w:tcBorders>
              <w:bottom w:val="single" w:sz="8" w:color="auto"/>
            </w:tcBorders>
          </w:tcPr>
          <w:p>
            <w:pPr>
              <w:spacing w:after="0"/>
              <w:rPr>
                <w:sz w:val="11"/>
                <w:szCs w:val="11"/>
                <w:color w:val="auto"/>
              </w:rPr>
            </w:pPr>
          </w:p>
        </w:tc>
        <w:tc>
          <w:tcPr>
            <w:tcW w:w="2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-655955</wp:posOffset>
            </wp:positionV>
            <wp:extent cx="6358255" cy="2019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15">
                      <a:extLst>
                        <a:ext uri="{28A0092B-C50C-407E-A947-70E740481C1C}"/>
                      </a:extLst>
                    </a:blip>
                    <a:srcRect/>
                    <a:stretch>
                      <a:fillRect/>
                    </a:stretch>
                  </pic:blipFill>
                  <pic:spPr bwMode="auto">
                    <a:xfrm>
                      <a:off x="0" y="0"/>
                      <a:ext cx="6358255" cy="2019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-302895</wp:posOffset>
            </wp:positionV>
            <wp:extent cx="6358255" cy="2139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16">
                      <a:extLst>
                        <a:ext uri="{28A0092B-C50C-407E-A947-70E740481C1C}"/>
                      </a:extLst>
                    </a:blip>
                    <a:srcRect/>
                    <a:stretch>
                      <a:fillRect/>
                    </a:stretch>
                  </pic:blipFill>
                  <pic:spPr bwMode="auto">
                    <a:xfrm>
                      <a:off x="0" y="0"/>
                      <a:ext cx="6358255" cy="213995"/>
                    </a:xfrm>
                    <a:prstGeom prst="rect">
                      <a:avLst/>
                    </a:prstGeom>
                    <a:noFill/>
                  </pic:spPr>
                </pic:pic>
              </a:graphicData>
            </a:graphic>
          </wp:anchor>
        </w:drawing>
      </w:r>
    </w:p>
    <w:p>
      <w:pPr>
        <w:spacing w:after="0" w:line="65" w:lineRule="exact"/>
        <w:rPr>
          <w:sz w:val="20"/>
          <w:szCs w:val="20"/>
          <w:color w:val="auto"/>
        </w:rPr>
      </w:pPr>
    </w:p>
    <w:p>
      <w:pPr>
        <w:ind w:left="701" w:hanging="701"/>
        <w:spacing w:after="0"/>
        <w:tabs>
          <w:tab w:leader="none" w:pos="701" w:val="left"/>
        </w:tabs>
        <w:numPr>
          <w:ilvl w:val="0"/>
          <w:numId w:val="107"/>
        </w:numPr>
        <w:rPr>
          <w:rFonts w:ascii="Arial" w:cs="Arial" w:eastAsia="Arial" w:hAnsi="Arial"/>
          <w:sz w:val="22"/>
          <w:szCs w:val="22"/>
          <w:color w:val="auto"/>
          <w:vertAlign w:val="superscript"/>
        </w:rPr>
      </w:pPr>
      <w:r>
        <w:rPr>
          <w:rFonts w:ascii="Arial" w:cs="Arial" w:eastAsia="Arial" w:hAnsi="Arial"/>
          <w:sz w:val="17"/>
          <w:szCs w:val="17"/>
          <w:color w:val="auto"/>
        </w:rPr>
        <w:t>Revenues are primarily attributed to each region based on where the services are provided or the product is shipped.</w:t>
      </w:r>
    </w:p>
    <w:p>
      <w:pPr>
        <w:spacing w:after="0" w:line="302"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29"/>
        </w:trPr>
        <w:tc>
          <w:tcPr>
            <w:tcW w:w="7300" w:type="dxa"/>
            <w:vAlign w:val="bottom"/>
            <w:tcBorders>
              <w:bottom w:val="single" w:sz="8" w:color="auto"/>
            </w:tcBorders>
            <w:gridSpan w:val="2"/>
          </w:tcPr>
          <w:p>
            <w:pPr>
              <w:ind w:left="60"/>
              <w:spacing w:after="0" w:line="229" w:lineRule="exact"/>
              <w:rPr>
                <w:sz w:val="20"/>
                <w:szCs w:val="20"/>
                <w:color w:val="auto"/>
              </w:rPr>
            </w:pPr>
            <w:r>
              <w:rPr>
                <w:rFonts w:ascii="Arial" w:cs="Arial" w:eastAsia="Arial" w:hAnsi="Arial"/>
                <w:sz w:val="16"/>
                <w:szCs w:val="16"/>
                <w:b w:val="1"/>
                <w:bCs w:val="1"/>
                <w:color w:val="auto"/>
              </w:rPr>
              <w:t xml:space="preserve">Long-Lived Assets </w:t>
            </w:r>
            <w:r>
              <w:rPr>
                <w:rFonts w:ascii="Arial" w:cs="Arial" w:eastAsia="Arial" w:hAnsi="Arial"/>
                <w:sz w:val="20"/>
                <w:szCs w:val="20"/>
                <w:b w:val="1"/>
                <w:bCs w:val="1"/>
                <w:color w:val="auto"/>
                <w:vertAlign w:val="superscript"/>
              </w:rPr>
              <w:t>(1)</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w w:val="89"/>
              </w:rPr>
              <w:t>2022</w:t>
            </w:r>
          </w:p>
        </w:tc>
      </w:tr>
      <w:tr>
        <w:trPr>
          <w:trHeight w:val="269"/>
        </w:trPr>
        <w:tc>
          <w:tcPr>
            <w:tcW w:w="7380" w:type="dxa"/>
            <w:vAlign w:val="bottom"/>
            <w:gridSpan w:val="3"/>
          </w:tcPr>
          <w:p>
            <w:pPr>
              <w:ind w:left="60"/>
              <w:spacing w:after="0"/>
              <w:rPr>
                <w:sz w:val="20"/>
                <w:szCs w:val="20"/>
                <w:color w:val="auto"/>
              </w:rPr>
            </w:pPr>
            <w:r>
              <w:rPr>
                <w:rFonts w:ascii="Arial" w:cs="Arial" w:eastAsia="Arial" w:hAnsi="Arial"/>
                <w:sz w:val="19"/>
                <w:szCs w:val="19"/>
                <w:color w:val="auto"/>
              </w:rPr>
              <w:t>United States</w:t>
            </w: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18,591</w:t>
            </w:r>
          </w:p>
        </w:tc>
        <w:tc>
          <w:tcPr>
            <w:tcW w:w="5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18,658</w:t>
            </w:r>
          </w:p>
        </w:tc>
      </w:tr>
      <w:tr>
        <w:trPr>
          <w:trHeight w:val="296"/>
        </w:trPr>
        <w:tc>
          <w:tcPr>
            <w:tcW w:w="7380" w:type="dxa"/>
            <w:vAlign w:val="bottom"/>
            <w:gridSpan w:val="3"/>
          </w:tcPr>
          <w:p>
            <w:pPr>
              <w:ind w:left="60"/>
              <w:spacing w:after="0"/>
              <w:rPr>
                <w:sz w:val="20"/>
                <w:szCs w:val="20"/>
                <w:color w:val="auto"/>
              </w:rPr>
            </w:pPr>
            <w:r>
              <w:rPr>
                <w:rFonts w:ascii="Arial" w:cs="Arial" w:eastAsia="Arial" w:hAnsi="Arial"/>
                <w:sz w:val="19"/>
                <w:szCs w:val="19"/>
                <w:color w:val="auto"/>
              </w:rPr>
              <w:t>Canada</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3,820</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3,802</w:t>
            </w:r>
          </w:p>
        </w:tc>
      </w:tr>
      <w:tr>
        <w:trPr>
          <w:trHeight w:val="253"/>
        </w:trPr>
        <w:tc>
          <w:tcPr>
            <w:tcW w:w="32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22,411</w:t>
            </w:r>
          </w:p>
        </w:tc>
        <w:tc>
          <w:tcPr>
            <w:tcW w:w="54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22,460</w:t>
            </w:r>
          </w:p>
        </w:tc>
      </w:tr>
      <w:tr>
        <w:trPr>
          <w:trHeight w:val="20"/>
        </w:trPr>
        <w:tc>
          <w:tcPr>
            <w:tcW w:w="32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30"/>
        </w:trPr>
        <w:tc>
          <w:tcPr>
            <w:tcW w:w="3220" w:type="dxa"/>
            <w:vAlign w:val="bottom"/>
            <w:tcBorders>
              <w:bottom w:val="single" w:sz="8" w:color="auto"/>
            </w:tcBorders>
          </w:tcPr>
          <w:p>
            <w:pPr>
              <w:spacing w:after="0"/>
              <w:rPr>
                <w:sz w:val="11"/>
                <w:szCs w:val="11"/>
                <w:color w:val="auto"/>
              </w:rPr>
            </w:pPr>
          </w:p>
        </w:tc>
        <w:tc>
          <w:tcPr>
            <w:tcW w:w="4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-683895</wp:posOffset>
            </wp:positionV>
            <wp:extent cx="6367145" cy="2108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17">
                      <a:extLst>
                        <a:ext uri="{28A0092B-C50C-407E-A947-70E740481C1C}"/>
                      </a:extLst>
                    </a:blip>
                    <a:srcRect/>
                    <a:stretch>
                      <a:fillRect/>
                    </a:stretch>
                  </pic:blipFill>
                  <pic:spPr bwMode="auto">
                    <a:xfrm>
                      <a:off x="0" y="0"/>
                      <a:ext cx="6367145" cy="21082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-312420</wp:posOffset>
            </wp:positionV>
            <wp:extent cx="6367145" cy="2235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18">
                      <a:extLst>
                        <a:ext uri="{28A0092B-C50C-407E-A947-70E740481C1C}"/>
                      </a:extLst>
                    </a:blip>
                    <a:srcRect/>
                    <a:stretch>
                      <a:fillRect/>
                    </a:stretch>
                  </pic:blipFill>
                  <pic:spPr bwMode="auto">
                    <a:xfrm>
                      <a:off x="0" y="0"/>
                      <a:ext cx="6367145" cy="223520"/>
                    </a:xfrm>
                    <a:prstGeom prst="rect">
                      <a:avLst/>
                    </a:prstGeom>
                    <a:noFill/>
                  </pic:spPr>
                </pic:pic>
              </a:graphicData>
            </a:graphic>
          </wp:anchor>
        </w:drawing>
      </w:r>
    </w:p>
    <w:p>
      <w:pPr>
        <w:spacing w:after="0" w:line="32" w:lineRule="exact"/>
        <w:rPr>
          <w:sz w:val="20"/>
          <w:szCs w:val="20"/>
          <w:color w:val="auto"/>
        </w:rPr>
      </w:pPr>
    </w:p>
    <w:p>
      <w:pPr>
        <w:ind w:left="701" w:hanging="701"/>
        <w:spacing w:after="0"/>
        <w:tabs>
          <w:tab w:leader="none" w:pos="701" w:val="left"/>
        </w:tabs>
        <w:numPr>
          <w:ilvl w:val="0"/>
          <w:numId w:val="108"/>
        </w:numPr>
        <w:rPr>
          <w:rFonts w:ascii="Arial" w:cs="Arial" w:eastAsia="Arial" w:hAnsi="Arial"/>
          <w:sz w:val="25"/>
          <w:szCs w:val="25"/>
          <w:color w:val="auto"/>
          <w:vertAlign w:val="superscript"/>
        </w:rPr>
      </w:pPr>
      <w:r>
        <w:rPr>
          <w:rFonts w:ascii="Arial" w:cs="Arial" w:eastAsia="Arial" w:hAnsi="Arial"/>
          <w:sz w:val="19"/>
          <w:szCs w:val="19"/>
          <w:color w:val="auto"/>
        </w:rPr>
        <w:t>Excludes long-term derivative assets and long-term deferred tax assets.</w:t>
      </w:r>
    </w:p>
    <w:p>
      <w:pPr>
        <w:sectPr>
          <w:pgSz w:w="11880" w:h="15480" w:orient="portrait"/>
          <w:cols w:equalWidth="0" w:num="1">
            <w:col w:w="10001"/>
          </w:cols>
          <w:pgMar w:left="939" w:top="43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F-62</w:t>
      </w:r>
    </w:p>
    <w:sectPr>
      <w:pgSz w:w="11880" w:h="15480" w:orient="portrait"/>
      <w:cols w:equalWidth="0" w:num="1">
        <w:col w:w="10001"/>
      </w:cols>
      <w:pgMar w:left="939" w:top="432" w:right="9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1)"/>
      <w:numFmt w:val="decimal"/>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1)"/>
      <w:numFmt w:val="lowerRoman"/>
      <w:start w:val="3"/>
    </w:lvl>
  </w:abstractNum>
  <w:abstractNum w:abstractNumId="17">
    <w:nsid w:val="77AE35EB"/>
    <w:multiLevelType w:val="hybridMultilevel"/>
    <w:lvl w:ilvl="0">
      <w:lvlJc w:val="left"/>
      <w:lvlText w:val="(%1)"/>
      <w:numFmt w:val="decimal"/>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lvl w:ilvl="1">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1."/>
      <w:numFmt w:val="decimal"/>
      <w:start w:val="7"/>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1)"/>
      <w:numFmt w:val="lowerRoman"/>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1)"/>
      <w:numFmt w:val="decimal"/>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1)"/>
      <w:numFmt w:val="lowerRoman"/>
      <w:start w:val="2"/>
    </w:lvl>
  </w:abstractNum>
  <w:abstractNum w:abstractNumId="40">
    <w:nsid w:val="540A471C"/>
    <w:multiLevelType w:val="hybridMultilevel"/>
    <w:lvl w:ilvl="0">
      <w:lvlJc w:val="left"/>
      <w:lvlText w:val="%1"/>
      <w:numFmt w:val="upperLetter"/>
      <w:start w:val="35"/>
    </w:lvl>
  </w:abstractNum>
  <w:abstractNum w:abstractNumId="41">
    <w:nsid w:val="7BD3EE7B"/>
    <w:multiLevelType w:val="hybridMultilevel"/>
    <w:lvl w:ilvl="0">
      <w:lvlJc w:val="left"/>
      <w:lvlText w:val="(%1)"/>
      <w:numFmt w:val="lowerRoman"/>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1)"/>
      <w:numFmt w:val="lowerRoman"/>
      <w:start w:val="5"/>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1)"/>
      <w:numFmt w:val="decimal"/>
      <w:start w:val="3"/>
    </w:lvl>
  </w:abstractNum>
  <w:abstractNum w:abstractNumId="48">
    <w:nsid w:val="8F2B15E"/>
    <w:multiLevelType w:val="hybridMultilevel"/>
    <w:lvl w:ilvl="0">
      <w:lvlJc w:val="left"/>
      <w:lvlText w:val="(%1)"/>
      <w:numFmt w:val="decimal"/>
      <w:start w:val="1"/>
    </w:lvl>
  </w:abstractNum>
  <w:abstractNum w:abstractNumId="49">
    <w:nsid w:val="1A32234B"/>
    <w:multiLevelType w:val="hybridMultilevel"/>
    <w:lvl w:ilvl="0">
      <w:lvlJc w:val="left"/>
      <w:lvlText w:val="(%1)"/>
      <w:numFmt w:val="decimal"/>
      <w:start w:val="1"/>
    </w:lvl>
  </w:abstractNum>
  <w:abstractNum w:abstractNumId="50">
    <w:nsid w:val="3B0FD379"/>
    <w:multiLevelType w:val="hybridMultilevel"/>
    <w:lvl w:ilvl="0">
      <w:lvlJc w:val="left"/>
      <w:lvlText w:val="(%1)"/>
      <w:numFmt w:val="decimal"/>
      <w:start w:val="1"/>
    </w:lvl>
  </w:abstractNum>
  <w:abstractNum w:abstractNumId="51">
    <w:nsid w:val="68EB2F63"/>
    <w:multiLevelType w:val="hybridMultilevel"/>
    <w:lvl w:ilvl="0">
      <w:lvlJc w:val="left"/>
      <w:lvlText w:val="(%1)"/>
      <w:numFmt w:val="lowerRoman"/>
      <w:start w:val="3"/>
    </w:lvl>
  </w:abstractNum>
  <w:abstractNum w:abstractNumId="52">
    <w:nsid w:val="4962813B"/>
    <w:multiLevelType w:val="hybridMultilevel"/>
    <w:lvl w:ilvl="0">
      <w:lvlJc w:val="left"/>
      <w:lvlText w:val="%1"/>
      <w:numFmt w:val="upperLetter"/>
      <w:start w:val="35"/>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
      <w:numFmt w:val="bullet"/>
      <w:start w:val="1"/>
    </w:lvl>
  </w:abstractNum>
  <w:abstractNum w:abstractNumId="56">
    <w:nsid w:val="7FFFCA11"/>
    <w:multiLevelType w:val="hybridMultilevel"/>
    <w:lvl w:ilvl="0">
      <w:lvlJc w:val="left"/>
      <w:lvlText w:val="(%1)"/>
      <w:numFmt w:val="lowerLetter"/>
      <w:start w:val="1"/>
    </w:lvl>
  </w:abstractNum>
  <w:abstractNum w:abstractNumId="57">
    <w:nsid w:val="1A27709E"/>
    <w:multiLevelType w:val="hybridMultilevel"/>
    <w:lvl w:ilvl="0">
      <w:lvlJc w:val="left"/>
      <w:lvlText w:val="(%1)"/>
      <w:numFmt w:val="decimal"/>
      <w:start w:val="2"/>
    </w:lvl>
  </w:abstractNum>
  <w:abstractNum w:abstractNumId="58">
    <w:nsid w:val="71EA1109"/>
    <w:multiLevelType w:val="hybridMultilevel"/>
    <w:lvl w:ilvl="0">
      <w:lvlJc w:val="left"/>
      <w:lvlText w:val="(%1)"/>
      <w:numFmt w:val="decimal"/>
      <w:start w:val="3"/>
    </w:lvl>
  </w:abstractNum>
  <w:abstractNum w:abstractNumId="59">
    <w:nsid w:val="100F59DC"/>
    <w:multiLevelType w:val="hybridMultilevel"/>
    <w:lvl w:ilvl="0">
      <w:lvlJc w:val="left"/>
      <w:lvlText w:val="%1."/>
      <w:numFmt w:val="decimal"/>
      <w:start w:val="101"/>
    </w:lvl>
  </w:abstractNum>
  <w:abstractNum w:abstractNumId="60">
    <w:nsid w:val="7FB7E0AA"/>
    <w:multiLevelType w:val="hybridMultilevel"/>
    <w:lvl w:ilvl="0">
      <w:lvlJc w:val="left"/>
      <w:lvlText w:val="†"/>
      <w:numFmt w:val="bullet"/>
      <w:start w:val="1"/>
    </w:lvl>
  </w:abstractNum>
  <w:abstractNum w:abstractNumId="61">
    <w:nsid w:val="6EB5BD4"/>
    <w:multiLevelType w:val="hybridMultilevel"/>
    <w:lvl w:ilvl="0">
      <w:lvlJc w:val="left"/>
      <w:lvlText w:val="††"/>
      <w:numFmt w:val="bullet"/>
      <w:start w:val="1"/>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1."/>
      <w:numFmt w:val="decimal"/>
      <w:start w:val="1"/>
    </w:lvl>
  </w:abstractNum>
  <w:abstractNum w:abstractNumId="65">
    <w:nsid w:val="76272110"/>
    <w:multiLevelType w:val="hybridMultilevel"/>
    <w:lvl w:ilvl="0">
      <w:lvlJc w:val="left"/>
      <w:lvlText w:val="(%1)"/>
      <w:numFmt w:val="lowerRoman"/>
      <w:start w:val="1"/>
    </w:lvl>
  </w:abstractNum>
  <w:abstractNum w:abstractNumId="66">
    <w:nsid w:val="4C04A8AF"/>
    <w:multiLevelType w:val="hybridMultilevel"/>
    <w:lvl w:ilvl="0">
      <w:lvlJc w:val="left"/>
      <w:lvlText w:val="%1"/>
      <w:numFmt w:val="decimal"/>
      <w:start w:val="411"/>
    </w:lvl>
  </w:abstractNum>
  <w:abstractNum w:abstractNumId="67">
    <w:nsid w:val="1716703B"/>
    <w:multiLevelType w:val="hybridMultilevel"/>
    <w:lvl w:ilvl="0">
      <w:lvlJc w:val="left"/>
      <w:lvlText w:val="%1"/>
      <w:numFmt w:val="decimal"/>
      <w:start w:val="446"/>
    </w:lvl>
  </w:abstractNum>
  <w:abstractNum w:abstractNumId="68">
    <w:nsid w:val="14E17E33"/>
    <w:multiLevelType w:val="hybridMultilevel"/>
    <w:lvl w:ilvl="0">
      <w:lvlJc w:val="left"/>
      <w:lvlText w:val="%1"/>
      <w:numFmt w:val="decimal"/>
      <w:start w:val="714"/>
    </w:lvl>
  </w:abstractNum>
  <w:abstractNum w:abstractNumId="69">
    <w:nsid w:val="3222E7CD"/>
    <w:multiLevelType w:val="hybridMultilevel"/>
    <w:lvl w:ilvl="0">
      <w:lvlJc w:val="left"/>
      <w:lvlText w:val="%1"/>
      <w:numFmt w:val="decimal"/>
      <w:start w:val="63"/>
    </w:lvl>
  </w:abstractNum>
  <w:abstractNum w:abstractNumId="70">
    <w:nsid w:val="74DE0EE3"/>
    <w:multiLevelType w:val="hybridMultilevel"/>
    <w:lvl w:ilvl="0">
      <w:lvlJc w:val="left"/>
      <w:lvlText w:val="%1"/>
      <w:numFmt w:val="decimal"/>
      <w:start w:val="274"/>
    </w:lvl>
  </w:abstractNum>
  <w:abstractNum w:abstractNumId="71">
    <w:nsid w:val="68EBC550"/>
    <w:multiLevelType w:val="hybridMultilevel"/>
    <w:lvl w:ilvl="0">
      <w:lvlJc w:val="left"/>
      <w:lvlText w:val="(%1)"/>
      <w:numFmt w:val="lowerRoman"/>
      <w:start w:val="1"/>
    </w:lvl>
  </w:abstractNum>
  <w:abstractNum w:abstractNumId="72">
    <w:nsid w:val="2DF6D648"/>
    <w:multiLevelType w:val="hybridMultilevel"/>
    <w:lvl w:ilvl="0">
      <w:lvlJc w:val="left"/>
      <w:lvlText w:val="•"/>
      <w:numFmt w:val="bullet"/>
      <w:start w:val="1"/>
    </w:lvl>
  </w:abstractNum>
  <w:abstractNum w:abstractNumId="73">
    <w:nsid w:val="46B7D447"/>
    <w:multiLevelType w:val="hybridMultilevel"/>
    <w:lvl w:ilvl="0">
      <w:lvlJc w:val="left"/>
      <w:lvlText w:val="(%1)"/>
      <w:numFmt w:val="lowerRoman"/>
      <w:start w:val="4"/>
    </w:lvl>
  </w:abstractNum>
  <w:abstractNum w:abstractNumId="74">
    <w:nsid w:val="4A2AC315"/>
    <w:multiLevelType w:val="hybridMultilevel"/>
    <w:lvl w:ilvl="0">
      <w:lvlJc w:val="left"/>
      <w:lvlText w:val="(%1)"/>
      <w:numFmt w:val="lowerRoman"/>
      <w:start w:val="3"/>
    </w:lvl>
  </w:abstractNum>
  <w:abstractNum w:abstractNumId="75">
    <w:nsid w:val="39EE015C"/>
    <w:multiLevelType w:val="hybridMultilevel"/>
    <w:lvl w:ilvl="0">
      <w:lvlJc w:val="left"/>
      <w:lvlText w:val="(%1)"/>
      <w:numFmt w:val="decimal"/>
      <w:start w:val="1"/>
    </w:lvl>
  </w:abstractNum>
  <w:abstractNum w:abstractNumId="76">
    <w:nsid w:val="57FC4FBB"/>
    <w:multiLevelType w:val="hybridMultilevel"/>
    <w:lvl w:ilvl="0">
      <w:lvlJc w:val="left"/>
      <w:lvlText w:val="(%1)"/>
      <w:numFmt w:val="lowerRoman"/>
      <w:start w:val="6"/>
    </w:lvl>
  </w:abstractNum>
  <w:abstractNum w:abstractNumId="77">
    <w:nsid w:val="CC1016F"/>
    <w:multiLevelType w:val="hybridMultilevel"/>
    <w:lvl w:ilvl="0">
      <w:lvlJc w:val="left"/>
      <w:lvlText w:val="(%1)"/>
      <w:numFmt w:val="lowerRoman"/>
      <w:start w:val="10"/>
    </w:lvl>
  </w:abstractNum>
  <w:abstractNum w:abstractNumId="78">
    <w:nsid w:val="43F18422"/>
    <w:multiLevelType w:val="hybridMultilevel"/>
    <w:lvl w:ilvl="0">
      <w:lvlJc w:val="left"/>
      <w:lvlText w:val="(%1)"/>
      <w:numFmt w:val="decimal"/>
      <w:start w:val="1"/>
    </w:lvl>
  </w:abstractNum>
  <w:abstractNum w:abstractNumId="79">
    <w:nsid w:val="60EF0119"/>
    <w:multiLevelType w:val="hybridMultilevel"/>
    <w:lvl w:ilvl="0">
      <w:lvlJc w:val="left"/>
      <w:lvlText w:val="(%1)"/>
      <w:numFmt w:val="decimal"/>
      <w:start w:val="1"/>
    </w:lvl>
  </w:abstractNum>
  <w:abstractNum w:abstractNumId="80">
    <w:nsid w:val="26F324BA"/>
    <w:multiLevelType w:val="hybridMultilevel"/>
    <w:lvl w:ilvl="0">
      <w:lvlJc w:val="left"/>
      <w:lvlText w:val="•"/>
      <w:numFmt w:val="bullet"/>
      <w:start w:val="1"/>
    </w:lvl>
  </w:abstractNum>
  <w:abstractNum w:abstractNumId="81">
    <w:nsid w:val="7F01579B"/>
    <w:multiLevelType w:val="hybridMultilevel"/>
    <w:lvl w:ilvl="0">
      <w:lvlJc w:val="left"/>
      <w:lvlText w:val="(%1)"/>
      <w:numFmt w:val="decimal"/>
      <w:start w:val="1"/>
    </w:lvl>
  </w:abstractNum>
  <w:abstractNum w:abstractNumId="82">
    <w:nsid w:val="49DA307D"/>
    <w:multiLevelType w:val="hybridMultilevel"/>
    <w:lvl w:ilvl="0">
      <w:lvlJc w:val="left"/>
      <w:lvlText w:val="(%1)"/>
      <w:numFmt w:val="decimal"/>
      <w:start w:val="1"/>
    </w:lvl>
  </w:abstractNum>
  <w:abstractNum w:abstractNumId="83">
    <w:nsid w:val="7055A5F5"/>
    <w:multiLevelType w:val="hybridMultilevel"/>
    <w:lvl w:ilvl="0">
      <w:lvlJc w:val="left"/>
      <w:lvlText w:val="(%1)"/>
      <w:numFmt w:val="decimal"/>
      <w:start w:val="1"/>
    </w:lvl>
  </w:abstractNum>
  <w:abstractNum w:abstractNumId="84">
    <w:nsid w:val="5FB8370B"/>
    <w:multiLevelType w:val="hybridMultilevel"/>
    <w:lvl w:ilvl="0">
      <w:lvlJc w:val="left"/>
      <w:lvlText w:val="•"/>
      <w:numFmt w:val="bullet"/>
      <w:start w:val="1"/>
    </w:lvl>
  </w:abstractNum>
  <w:abstractNum w:abstractNumId="85">
    <w:nsid w:val="50801EE1"/>
    <w:multiLevelType w:val="hybridMultilevel"/>
    <w:lvl w:ilvl="0">
      <w:lvlJc w:val="left"/>
      <w:lvlText w:val="•"/>
      <w:numFmt w:val="bullet"/>
      <w:start w:val="1"/>
    </w:lvl>
  </w:abstractNum>
  <w:abstractNum w:abstractNumId="86">
    <w:nsid w:val="488AC1A"/>
    <w:multiLevelType w:val="hybridMultilevel"/>
    <w:lvl w:ilvl="0">
      <w:lvlJc w:val="left"/>
      <w:lvlText w:val="(%1)"/>
      <w:numFmt w:val="decimal"/>
      <w:start w:val="1"/>
    </w:lvl>
  </w:abstractNum>
  <w:abstractNum w:abstractNumId="87">
    <w:nsid w:val="5FB8011C"/>
    <w:multiLevelType w:val="hybridMultilevel"/>
    <w:lvl w:ilvl="0">
      <w:lvlJc w:val="left"/>
      <w:lvlText w:val="(%1)"/>
      <w:numFmt w:val="decimal"/>
      <w:start w:val="1"/>
    </w:lvl>
  </w:abstractNum>
  <w:abstractNum w:abstractNumId="88">
    <w:nsid w:val="6AA78F7F"/>
    <w:multiLevelType w:val="hybridMultilevel"/>
    <w:lvl w:ilvl="0">
      <w:lvlJc w:val="left"/>
      <w:lvlText w:val="•"/>
      <w:numFmt w:val="bullet"/>
      <w:start w:val="1"/>
    </w:lvl>
  </w:abstractNum>
  <w:abstractNum w:abstractNumId="89">
    <w:nsid w:val="7672BD23"/>
    <w:multiLevelType w:val="hybridMultilevel"/>
    <w:lvl w:ilvl="0">
      <w:lvlJc w:val="left"/>
      <w:lvlText w:val="(%1)"/>
      <w:numFmt w:val="decimal"/>
      <w:start w:val="1"/>
    </w:lvl>
  </w:abstractNum>
  <w:abstractNum w:abstractNumId="90">
    <w:nsid w:val="6FC75AF8"/>
    <w:multiLevelType w:val="hybridMultilevel"/>
    <w:lvl w:ilvl="0">
      <w:lvlJc w:val="left"/>
      <w:lvlText w:val="(%1)"/>
      <w:numFmt w:val="lowerRoman"/>
      <w:start w:val="2"/>
    </w:lvl>
  </w:abstractNum>
  <w:abstractNum w:abstractNumId="91">
    <w:nsid w:val="6A5F7029"/>
    <w:multiLevelType w:val="hybridMultilevel"/>
    <w:lvl w:ilvl="0">
      <w:lvlJc w:val="left"/>
      <w:lvlText w:val="•"/>
      <w:numFmt w:val="bullet"/>
      <w:start w:val="1"/>
    </w:lvl>
  </w:abstractNum>
  <w:abstractNum w:abstractNumId="92">
    <w:nsid w:val="7D5E18F8"/>
    <w:multiLevelType w:val="hybridMultilevel"/>
    <w:lvl w:ilvl="0">
      <w:lvlJc w:val="left"/>
      <w:lvlText w:val="(%1)"/>
      <w:numFmt w:val="decimal"/>
      <w:start w:val="1"/>
    </w:lvl>
  </w:abstractNum>
  <w:abstractNum w:abstractNumId="93">
    <w:nsid w:val="5F3534A4"/>
    <w:multiLevelType w:val="hybridMultilevel"/>
    <w:lvl w:ilvl="0">
      <w:lvlJc w:val="left"/>
      <w:lvlText w:val="(%1)"/>
      <w:numFmt w:val="decimal"/>
      <w:start w:val="1"/>
    </w:lvl>
  </w:abstractNum>
  <w:abstractNum w:abstractNumId="94">
    <w:nsid w:val="73A1821B"/>
    <w:multiLevelType w:val="hybridMultilevel"/>
    <w:lvl w:ilvl="0">
      <w:lvlJc w:val="left"/>
      <w:lvlText w:val="(%1)"/>
      <w:numFmt w:val="decimal"/>
      <w:start w:val="1"/>
    </w:lvl>
  </w:abstractNum>
  <w:abstractNum w:abstractNumId="95">
    <w:nsid w:val="7DE67713"/>
    <w:multiLevelType w:val="hybridMultilevel"/>
    <w:lvl w:ilvl="0">
      <w:lvlJc w:val="left"/>
      <w:lvlText w:val="(%1)"/>
      <w:numFmt w:val="decimal"/>
      <w:start w:val="1"/>
    </w:lvl>
  </w:abstractNum>
  <w:abstractNum w:abstractNumId="96">
    <w:nsid w:val="555C55B5"/>
    <w:multiLevelType w:val="hybridMultilevel"/>
    <w:lvl w:ilvl="0">
      <w:lvlJc w:val="left"/>
      <w:lvlText w:val="(%1)"/>
      <w:numFmt w:val="decimal"/>
      <w:start w:val="1"/>
    </w:lvl>
  </w:abstractNum>
  <w:abstractNum w:abstractNumId="97">
    <w:nsid w:val="3FA62ACA"/>
    <w:multiLevelType w:val="hybridMultilevel"/>
    <w:lvl w:ilvl="0">
      <w:lvlJc w:val="left"/>
      <w:lvlText w:val="(%1)"/>
      <w:numFmt w:val="decimal"/>
      <w:start w:val="1"/>
    </w:lvl>
  </w:abstractNum>
  <w:abstractNum w:abstractNumId="98">
    <w:nsid w:val="14FCE74E"/>
    <w:multiLevelType w:val="hybridMultilevel"/>
    <w:lvl w:ilvl="0">
      <w:lvlJc w:val="left"/>
      <w:lvlText w:val="•"/>
      <w:numFmt w:val="bullet"/>
      <w:start w:val="1"/>
    </w:lvl>
  </w:abstractNum>
  <w:abstractNum w:abstractNumId="99">
    <w:nsid w:val="6A3DD3E8"/>
    <w:multiLevelType w:val="hybridMultilevel"/>
    <w:lvl w:ilvl="0">
      <w:lvlJc w:val="left"/>
      <w:lvlText w:val="(%1)"/>
      <w:numFmt w:val="decimal"/>
      <w:start w:val="1"/>
    </w:lvl>
  </w:abstractNum>
  <w:abstractNum w:abstractNumId="100">
    <w:nsid w:val="71C91298"/>
    <w:multiLevelType w:val="hybridMultilevel"/>
    <w:lvl w:ilvl="0">
      <w:lvlJc w:val="left"/>
      <w:lvlText w:val="(%1)"/>
      <w:numFmt w:val="decimal"/>
      <w:start w:val="1"/>
    </w:lvl>
  </w:abstractNum>
  <w:abstractNum w:abstractNumId="101">
    <w:nsid w:val="9DAF632"/>
    <w:multiLevelType w:val="hybridMultilevel"/>
    <w:lvl w:ilvl="0">
      <w:lvlJc w:val="left"/>
      <w:lvlText w:val="(%1)"/>
      <w:numFmt w:val="decimal"/>
      <w:start w:val="1"/>
    </w:lvl>
  </w:abstractNum>
  <w:abstractNum w:abstractNumId="102">
    <w:nsid w:val="53299938"/>
    <w:multiLevelType w:val="hybridMultilevel"/>
    <w:lvl w:ilvl="0">
      <w:lvlJc w:val="left"/>
      <w:lvlText w:val="(%1)"/>
      <w:numFmt w:val="decimal"/>
      <w:start w:val="2"/>
    </w:lvl>
  </w:abstractNum>
  <w:abstractNum w:abstractNumId="103">
    <w:nsid w:val="1FBFE8E0"/>
    <w:multiLevelType w:val="hybridMultilevel"/>
    <w:lvl w:ilvl="0">
      <w:lvlJc w:val="left"/>
      <w:lvlText w:val="(%1)"/>
      <w:numFmt w:val="lowerRoman"/>
      <w:start w:val="4"/>
    </w:lvl>
  </w:abstractNum>
  <w:abstractNum w:abstractNumId="104">
    <w:nsid w:val="5092CA79"/>
    <w:multiLevelType w:val="hybridMultilevel"/>
    <w:lvl w:ilvl="0">
      <w:lvlJc w:val="left"/>
      <w:lvlText w:val="(%1)"/>
      <w:numFmt w:val="decimal"/>
      <w:start w:val="4"/>
    </w:lvl>
  </w:abstractNum>
  <w:abstractNum w:abstractNumId="105">
    <w:nsid w:val="1D545C4D"/>
    <w:multiLevelType w:val="hybridMultilevel"/>
    <w:lvl w:ilvl="0">
      <w:lvlJc w:val="left"/>
      <w:lvlText w:val="(%1)"/>
      <w:numFmt w:val="decimal"/>
      <w:start w:val="11"/>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2024-04-12T05:17:42Z</dcterms:created>
  <dcterms:modified xsi:type="dcterms:W3CDTF">2024-04-12T05:17:42Z</dcterms:modified>
</cp:coreProperties>
</file>