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ARMSTRONG GREG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PLAINS GP HOLDINGS LP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08/10/2015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Chairman of the Board &amp; CEO</w:t>
      </w:r>
    </w:p>
    <w:p>
      <w:pPr>
        <w:spacing w:after="0" w:line="267" w:lineRule="exact"/>
        <w:rPr>
          <w:sz w:val="24"/>
          <w:szCs w:val="24"/>
          <w:color w:val="auto"/>
        </w:rPr>
      </w:pPr>
    </w:p>
    <w:p>
      <w:pPr>
        <w:sectPr>
          <w:pgSz w:w="11900" w:h="16838" w:orient="portrait"/>
          <w:cols w:equalWidth="0" w:num="3">
            <w:col w:w="3360" w:space="720"/>
            <w:col w:w="3280" w:space="6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7"/>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7"/>
            <w:vMerge w:val="continue"/>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3"/>
          </w:tcPr>
          <w:p>
            <w:pPr>
              <w:ind w:left="52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77002</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780" w:type="dxa"/>
            <w:vAlign w:val="bottom"/>
            <w:tcBorders>
              <w:bottom w:val="single" w:sz="8" w:color="2C2C2C"/>
            </w:tcBorders>
            <w:gridSpan w:val="5"/>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Shares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20"/>
              <w:spacing w:after="0"/>
              <w:rPr>
                <w:sz w:val="20"/>
                <w:szCs w:val="20"/>
                <w:color w:val="auto"/>
              </w:rPr>
            </w:pPr>
            <w:r>
              <w:rPr>
                <w:rFonts w:ascii="Arial" w:cs="Arial" w:eastAsia="Arial" w:hAnsi="Arial"/>
                <w:sz w:val="18"/>
                <w:szCs w:val="18"/>
                <w:color w:val="0000FF"/>
              </w:rPr>
              <w:t>08/10/2015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P</w:t>
            </w: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100,000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18.2723</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100,000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in column 4 is a weighted average price. The shares were purchased in multiple transactions at prices ranging from $18.02 to $18.66. Reporting Person undertakes to provide to the SEC staff, the Issuer or any shareholder of the Issuer, upon request, full information regarding the number of shares purchased at each separate price.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Greg L. Armstrong</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08/10/2015</w:t>
            </w:r>
          </w:p>
        </w:tc>
      </w:tr>
      <w:tr>
        <w:trPr>
          <w:trHeight w:val="20"/>
        </w:trPr>
        <w:tc>
          <w:tcPr>
            <w:tcW w:w="1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4537"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2020-01-22T09:42:48Z</dcterms:created>
  <dcterms:modified xsi:type="dcterms:W3CDTF">2020-01-22T09:42:48Z</dcterms:modified>
</cp:coreProperties>
</file>