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340" w:right="4240" w:hanging="37"/>
        <w:spacing w:after="0" w:line="265" w:lineRule="auto"/>
        <w:tabs>
          <w:tab w:leader="none" w:pos="45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ind w:left="4600"/>
        <w:spacing w:after="0"/>
        <w:rPr>
          <w:rFonts w:ascii="Arial" w:cs="Arial" w:eastAsia="Arial" w:hAnsi="Arial"/>
          <w:sz w:val="17"/>
          <w:szCs w:val="17"/>
          <w:color w:val="auto"/>
        </w:rPr>
      </w:pPr>
      <w:r>
        <w:rPr>
          <w:rFonts w:ascii="Arial" w:cs="Arial" w:eastAsia="Arial" w:hAnsi="Arial"/>
          <w:sz w:val="18"/>
          <w:szCs w:val="18"/>
          <w:color w:val="auto"/>
        </w:rPr>
        <w:t>(AMENDMENT NO. ONE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Plains GP Holdings, L.P.</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Common Units Representing Limited Partners Interests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December 31, 2018</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right="9720" w:firstLine="8"/>
        <w:spacing w:after="0" w:line="271" w:lineRule="exact"/>
        <w:tabs>
          <w:tab w:leader="none" w:pos="12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x ] 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41" w:right="299" w:bottom="1440" w:gutter="0" w:footer="0" w:header="0"/>
        </w:sectPr>
      </w:pPr>
    </w:p>
    <w:bookmarkStart w:id="1" w:name="page2"/>
    <w:bookmarkEnd w:id="1"/>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00" w:type="dxa"/>
            <w:vAlign w:val="bottom"/>
            <w:tcBorders>
              <w:top w:val="single" w:sz="8" w:color="auto"/>
              <w:left w:val="single" w:sz="8" w:color="auto"/>
              <w:right w:val="single" w:sz="8" w:color="auto"/>
            </w:tcBorders>
          </w:tcPr>
          <w:p>
            <w:pPr>
              <w:spacing w:after="0"/>
              <w:rPr>
                <w:sz w:val="21"/>
                <w:szCs w:val="21"/>
                <w:color w:val="auto"/>
              </w:rPr>
            </w:pP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Tortoise Capital Advisors, L.L.C.</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980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 [ X ]</w:t>
            </w:r>
          </w:p>
        </w:tc>
        <w:tc>
          <w:tcPr>
            <w:tcW w:w="5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46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60" w:type="dxa"/>
            <w:vAlign w:val="bottom"/>
          </w:tcPr>
          <w:p>
            <w:pPr>
              <w:ind w:left="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560" w:type="dxa"/>
            <w:vAlign w:val="bottom"/>
            <w:gridSpan w:val="2"/>
            <w:vMerge w:val="restart"/>
          </w:tcPr>
          <w:p>
            <w:pPr>
              <w:ind w:left="40"/>
              <w:spacing w:after="0"/>
              <w:rPr>
                <w:sz w:val="20"/>
                <w:szCs w:val="20"/>
                <w:color w:val="auto"/>
              </w:rPr>
            </w:pPr>
            <w:r>
              <w:rPr>
                <w:rFonts w:ascii="Arial" w:cs="Arial" w:eastAsia="Arial" w:hAnsi="Arial"/>
                <w:sz w:val="18"/>
                <w:szCs w:val="18"/>
                <w:color w:val="auto"/>
              </w:rPr>
              <w:t>9,843,614 (see Item 4)</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56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31"/>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8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8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560" w:type="dxa"/>
            <w:vAlign w:val="bottom"/>
            <w:gridSpan w:val="2"/>
          </w:tcPr>
          <w:p>
            <w:pPr>
              <w:ind w:left="40"/>
              <w:spacing w:after="0"/>
              <w:rPr>
                <w:sz w:val="20"/>
                <w:szCs w:val="20"/>
                <w:color w:val="auto"/>
              </w:rPr>
            </w:pPr>
            <w:r>
              <w:rPr>
                <w:rFonts w:ascii="Arial" w:cs="Arial" w:eastAsia="Arial" w:hAnsi="Arial"/>
                <w:sz w:val="18"/>
                <w:szCs w:val="18"/>
                <w:color w:val="auto"/>
              </w:rPr>
              <w:t>9,843,614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9,843,712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88"/>
              </w:rPr>
              <w:t>6.2% (see Item 4)</w:t>
            </w: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800" w:type="dxa"/>
            <w:vAlign w:val="bottom"/>
            <w:tcBorders>
              <w:bottom w:val="single" w:sz="8" w:color="auto"/>
            </w:tcBorders>
            <w:gridSpan w:val="4"/>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9900" w:type="dxa"/>
            <w:vAlign w:val="bottom"/>
            <w:tcBorders>
              <w:bottom w:val="single" w:sz="8" w:color="auto"/>
            </w:tcBorders>
            <w:gridSpan w:val="5"/>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400" w:type="dxa"/>
            <w:vAlign w:val="bottom"/>
            <w:tcBorders>
              <w:left w:val="single" w:sz="8" w:color="auto"/>
              <w:right w:val="single" w:sz="8" w:color="auto"/>
            </w:tcBorders>
          </w:tcPr>
          <w:p>
            <w:pPr>
              <w:spacing w:after="0"/>
              <w:rPr>
                <w:sz w:val="19"/>
                <w:szCs w:val="19"/>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Tortoise MLP &amp; Pipeline Fund</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I.R.S. IDENTIFICATION NOS. OF ABOVE PERSONS (ENTITIES ONLY)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990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(b) [ X ]</w:t>
            </w:r>
          </w:p>
        </w:tc>
        <w:tc>
          <w:tcPr>
            <w:tcW w:w="5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46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6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9900" w:type="dxa"/>
            <w:vAlign w:val="bottom"/>
            <w:tcBorders>
              <w:bottom w:val="single" w:sz="8" w:color="auto"/>
            </w:tcBorders>
            <w:gridSpan w:val="5"/>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5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gridSpan w:val="2"/>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56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8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8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60" w:type="dxa"/>
            <w:vAlign w:val="bottom"/>
            <w:tcBorders>
              <w:left w:val="single" w:sz="8" w:color="auto"/>
              <w:right w:val="single" w:sz="8" w:color="auto"/>
            </w:tcBorders>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31"/>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560" w:type="dxa"/>
            <w:vAlign w:val="bottom"/>
            <w:gridSpan w:val="2"/>
          </w:tcPr>
          <w:p>
            <w:pPr>
              <w:ind w:left="40"/>
              <w:spacing w:after="0"/>
              <w:rPr>
                <w:sz w:val="20"/>
                <w:szCs w:val="20"/>
                <w:color w:val="auto"/>
              </w:rPr>
            </w:pPr>
            <w:r>
              <w:rPr>
                <w:rFonts w:ascii="Arial" w:cs="Arial" w:eastAsia="Arial" w:hAnsi="Arial"/>
                <w:sz w:val="18"/>
                <w:szCs w:val="18"/>
                <w:color w:val="auto"/>
              </w:rPr>
              <w:t>8,636,401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3" w:right="239" w:bottom="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7</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6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8,636,401 (see Item 4)</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00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8,636,401 (see Item 4)</w:t>
            </w: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Not Applicable</w:t>
            </w:r>
          </w:p>
        </w:tc>
        <w:tc>
          <w:tcPr>
            <w:tcW w:w="8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89"/>
              </w:rPr>
              <w:t>5.4% (see item 4)</w:t>
            </w:r>
          </w:p>
        </w:tc>
        <w:tc>
          <w:tcPr>
            <w:tcW w:w="8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IV</w:t>
            </w:r>
          </w:p>
        </w:tc>
        <w:tc>
          <w:tcPr>
            <w:tcW w:w="8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Plains GP Holdings,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1600, Houston, Texas 77002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p>
    <w:p>
      <w:pPr>
        <w:spacing w:after="0" w:line="256"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This 13G is being jointly filed by Tortoise Capital Advisors, L.L.C., a Delaware limited liability company ("TCA"), and Tortoise MLP &amp; Pipeline Fund, a series of Managed Portfolio Series, a Delaware statutory trust ("TORIX").</w:t>
      </w:r>
    </w:p>
    <w:p>
      <w:pPr>
        <w:spacing w:after="0" w:line="197" w:lineRule="exact"/>
        <w:rPr>
          <w:sz w:val="20"/>
          <w:szCs w:val="20"/>
          <w:color w:val="auto"/>
        </w:rPr>
      </w:pPr>
    </w:p>
    <w:p>
      <w:pPr>
        <w:jc w:val="both"/>
        <w:ind w:left="980" w:firstLine="648"/>
        <w:spacing w:after="0" w:line="264" w:lineRule="auto"/>
        <w:rPr>
          <w:sz w:val="20"/>
          <w:szCs w:val="20"/>
          <w:color w:val="auto"/>
        </w:rPr>
      </w:pPr>
      <w:r>
        <w:rPr>
          <w:rFonts w:ascii="Arial" w:cs="Arial" w:eastAsia="Arial" w:hAnsi="Arial"/>
          <w:sz w:val="18"/>
          <w:szCs w:val="18"/>
          <w:color w:val="auto"/>
        </w:rPr>
        <w:t>TCA and TORIX have entered into an Agreement Regarding Joint Filing of 13G dated February 13, 2019 (the "Agreement") pursuant to which TCA and TORIX have agreed to file this 13G jointly in accordance with the provisions of Rule 13d-1(k)(1) of the Securities Exchange Act of 1934, as amended (the "Act"). A copy of the Agreement is attached hereto as Exhibit A.</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p>
    <w:p>
      <w:pPr>
        <w:spacing w:after="0" w:line="256" w:lineRule="exact"/>
        <w:rPr>
          <w:sz w:val="20"/>
          <w:szCs w:val="20"/>
          <w:color w:val="auto"/>
        </w:rPr>
      </w:pPr>
    </w:p>
    <w:p>
      <w:pPr>
        <w:ind w:left="980" w:right="140"/>
        <w:spacing w:after="0" w:line="308" w:lineRule="auto"/>
        <w:rPr>
          <w:sz w:val="20"/>
          <w:szCs w:val="20"/>
          <w:color w:val="auto"/>
        </w:rPr>
      </w:pPr>
      <w:r>
        <w:rPr>
          <w:rFonts w:ascii="Arial" w:cs="Arial" w:eastAsia="Arial" w:hAnsi="Arial"/>
          <w:sz w:val="17"/>
          <w:szCs w:val="17"/>
          <w:color w:val="auto"/>
        </w:rPr>
        <w:t>The principal business address of TCA is 11550 Ash Street, Suite 300, Leawood, Kansas 66211 and the principal business address of Managed Portfolio Series, the trust of which TORIX is a series, is 615 East Michigan Street, Milwaukee, Wisconsin 53202.</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 and TORIX is a series of Managed Portfolio Series, a Delaware statutory trust.</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TCA is an investment adviser in accordance with Rule 13d-1(b)(1)(ii)(E) and TORIX is an investment company registered under Section 8 of the Investment Company Act of 1940 (15 U.S.C. 80a-8).</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TCA acts as an investment advisor to certain investment companies registered under the Investment Company Act of 1940, including TORIX.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and TORIX has reported that it shares voting power and dispositive power over the securities owned of record by it. TCA also acts as an investment advisor to certain managed accounts. Under contractual agreements with these managed account clients, TCA has investment and voting power. TCA has reported that it shares investment and voting power over the securities held by these client managed accounts despite a delegation of investment and voting power to TCA because the clients have the right to acquire investment and voting power through termination of their agreements with TCA. TCA may be deemed the beneficial owner of the securities covered by this statement under Rule 13d-3 of the 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Tortoise Capital Advisors, L.L.C. :</w:t>
      </w:r>
    </w:p>
    <w:p>
      <w:pPr>
        <w:spacing w:after="0" w:line="229" w:lineRule="exact"/>
        <w:rPr>
          <w:sz w:val="20"/>
          <w:szCs w:val="20"/>
          <w:color w:val="auto"/>
        </w:rPr>
      </w:pPr>
    </w:p>
    <w:p>
      <w:pPr>
        <w:ind w:left="1300" w:right="806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beneficially owned: 9,843,712</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6.2%</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940" w:hanging="315"/>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98</w:t>
      </w:r>
    </w:p>
    <w:p>
      <w:pPr>
        <w:spacing w:after="0" w:line="197" w:lineRule="exact"/>
        <w:rPr>
          <w:rFonts w:ascii="Arial" w:cs="Arial" w:eastAsia="Arial" w:hAnsi="Arial"/>
          <w:sz w:val="18"/>
          <w:szCs w:val="18"/>
          <w:color w:val="auto"/>
        </w:rPr>
      </w:pPr>
    </w:p>
    <w:p>
      <w:pPr>
        <w:ind w:left="1620" w:right="6760" w:hanging="315"/>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9,843,614</w:t>
      </w:r>
    </w:p>
    <w:p>
      <w:pPr>
        <w:spacing w:after="0" w:line="197" w:lineRule="exact"/>
        <w:rPr>
          <w:rFonts w:ascii="Arial" w:cs="Arial" w:eastAsia="Arial" w:hAnsi="Arial"/>
          <w:sz w:val="18"/>
          <w:szCs w:val="18"/>
          <w:color w:val="auto"/>
        </w:rPr>
      </w:pPr>
    </w:p>
    <w:p>
      <w:pPr>
        <w:ind w:left="1620" w:right="6020" w:hanging="315"/>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98</w:t>
      </w:r>
    </w:p>
    <w:p>
      <w:pPr>
        <w:spacing w:after="0" w:line="197" w:lineRule="exact"/>
        <w:rPr>
          <w:rFonts w:ascii="Arial" w:cs="Arial" w:eastAsia="Arial" w:hAnsi="Arial"/>
          <w:sz w:val="18"/>
          <w:szCs w:val="18"/>
          <w:color w:val="auto"/>
        </w:rPr>
      </w:pPr>
    </w:p>
    <w:p>
      <w:pPr>
        <w:ind w:left="1620" w:right="5840" w:hanging="315"/>
        <w:spacing w:after="0" w:line="277" w:lineRule="auto"/>
        <w:tabs>
          <w:tab w:leader="none" w:pos="16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9,843,614</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Tortoise MLP &amp; Pipeline Fund:</w:t>
      </w:r>
    </w:p>
    <w:p>
      <w:pPr>
        <w:spacing w:after="0" w:line="246" w:lineRule="exact"/>
        <w:rPr>
          <w:rFonts w:ascii="Arial" w:cs="Arial" w:eastAsia="Arial" w:hAnsi="Arial"/>
          <w:sz w:val="22"/>
          <w:szCs w:val="22"/>
          <w:b w:val="1"/>
          <w:bCs w:val="1"/>
          <w:color w:val="auto"/>
        </w:rPr>
      </w:pPr>
    </w:p>
    <w:p>
      <w:pPr>
        <w:ind w:left="1300" w:right="806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beneficially owned: 8,636,401</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37"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940" w:hanging="315"/>
        <w:spacing w:after="0" w:line="277" w:lineRule="auto"/>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760" w:hanging="315"/>
        <w:spacing w:after="0" w:line="277" w:lineRule="auto"/>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8,636,401</w:t>
      </w:r>
    </w:p>
    <w:p>
      <w:pPr>
        <w:spacing w:after="0" w:line="197" w:lineRule="exact"/>
        <w:rPr>
          <w:rFonts w:ascii="Arial" w:cs="Arial" w:eastAsia="Arial" w:hAnsi="Arial"/>
          <w:sz w:val="18"/>
          <w:szCs w:val="18"/>
          <w:color w:val="auto"/>
        </w:rPr>
      </w:pPr>
    </w:p>
    <w:p>
      <w:pPr>
        <w:ind w:left="1620" w:right="6020" w:hanging="315"/>
        <w:spacing w:after="0" w:line="277" w:lineRule="auto"/>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840" w:hanging="315"/>
        <w:spacing w:after="0" w:line="277" w:lineRule="auto"/>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8,636,401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256" w:lineRule="exact"/>
        <w:rPr>
          <w:sz w:val="20"/>
          <w:szCs w:val="20"/>
          <w:color w:val="auto"/>
        </w:rPr>
      </w:pPr>
    </w:p>
    <w:p>
      <w:pPr>
        <w:jc w:val="both"/>
        <w:ind w:left="980" w:right="20"/>
        <w:spacing w:after="0" w:line="264" w:lineRule="auto"/>
        <w:rPr>
          <w:sz w:val="20"/>
          <w:szCs w:val="20"/>
          <w:color w:val="auto"/>
        </w:rPr>
      </w:pPr>
      <w:r>
        <w:rPr>
          <w:rFonts w:ascii="Arial" w:cs="Arial" w:eastAsia="Arial" w:hAnsi="Arial"/>
          <w:sz w:val="18"/>
          <w:szCs w:val="18"/>
          <w:color w:val="auto"/>
        </w:rPr>
        <w:t>The investment companies and the managed accounts discussed in Item 4 above have the right to receive all dividends from, and the proceeds from the sale of, the securities held in their respective accounts. Except for TORIX, the interest of any one such person does not exceed 5% of the class of securities.</w:t>
      </w:r>
    </w:p>
    <w:p>
      <w:pPr>
        <w:spacing w:after="0" w:line="200" w:lineRule="exact"/>
        <w:rPr>
          <w:sz w:val="20"/>
          <w:szCs w:val="20"/>
          <w:color w:val="auto"/>
        </w:rPr>
      </w:pP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 Reported on by the Parent Holding Company</w:t>
      </w:r>
      <w:r>
        <w:rPr>
          <w:rFonts w:ascii="Arial" w:cs="Arial" w:eastAsia="Arial" w:hAnsi="Arial"/>
          <w:sz w:val="16"/>
          <w:szCs w:val="16"/>
          <w:b w:val="1"/>
          <w:bCs w:val="1"/>
          <w:color w:val="auto"/>
        </w:rPr>
        <w:t>.</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249" w:lineRule="exact"/>
        <w:rPr>
          <w:sz w:val="20"/>
          <w:szCs w:val="20"/>
          <w:color w:val="auto"/>
        </w:rPr>
      </w:pPr>
    </w:p>
    <w:p>
      <w:pPr>
        <w:jc w:val="center"/>
        <w:ind w:right="80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Certifications.</w:t>
      </w:r>
    </w:p>
    <w:p>
      <w:pPr>
        <w:spacing w:after="0" w:line="249" w:lineRule="exact"/>
        <w:rPr>
          <w:sz w:val="20"/>
          <w:szCs w:val="20"/>
          <w:color w:val="auto"/>
        </w:rPr>
      </w:pPr>
    </w:p>
    <w:p>
      <w:pPr>
        <w:ind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600" w:firstLine="972"/>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2019</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CAPITAL ADVISORS, L.L.C.</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Director and Chief Compliance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MLP &amp; PIPELINE FUND, a series of Managed Portfolio</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Series</w:t>
      </w:r>
    </w:p>
    <w:p>
      <w:pPr>
        <w:spacing w:after="0" w:line="2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Brian R. Wiedmeyer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Brian R. Wiedmeyer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of Managed Portfolio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AGREEMENT REGARDING THE JOINT FILING OF SCHEDULE 13G</w:t>
      </w:r>
    </w:p>
    <w:p>
      <w:pPr>
        <w:spacing w:after="0" w:line="252" w:lineRule="exact"/>
        <w:rPr>
          <w:sz w:val="20"/>
          <w:szCs w:val="20"/>
          <w:color w:val="auto"/>
        </w:rPr>
      </w:pPr>
    </w:p>
    <w:p>
      <w:pPr>
        <w:jc w:val="both"/>
        <w:ind w:firstLine="223"/>
        <w:spacing w:after="0" w:line="264"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Units Representing Limited Partner Interests of Plains GP Holdings, L.P., and further agree that this agreement be included as an exhibit to such filings.</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13th day of February 2019.</w:t>
      </w:r>
    </w:p>
    <w:p>
      <w:pPr>
        <w:spacing w:after="0" w:line="200" w:lineRule="exact"/>
        <w:rPr>
          <w:sz w:val="20"/>
          <w:szCs w:val="20"/>
          <w:color w:val="auto"/>
        </w:rPr>
      </w:pPr>
    </w:p>
    <w:p>
      <w:pPr>
        <w:spacing w:after="0" w:line="29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CAPITAL ADVISORS, L.L.C.</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Managing Director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MLP &amp; PIPELINE FUND, a series of Managed Portfolio</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Series</w:t>
      </w:r>
    </w:p>
    <w:p>
      <w:pPr>
        <w:spacing w:after="0" w:line="2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Brian R. Wiedmeyer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Brian R. Wiedmeyer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of Managed Portfolio Series</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
    <w:nsid w:val="625558E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2020-01-09T20:26:21Z</dcterms:created>
  <dcterms:modified xsi:type="dcterms:W3CDTF">2020-01-09T20:26:21Z</dcterms:modified>
</cp:coreProperties>
</file>