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3, 2022</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August 3, 2022, the Registrant issued a press release reporting its second-quarter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20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0000FF"/>
            </w:tcBorders>
          </w:tcPr>
          <w:p>
            <w:pPr>
              <w:spacing w:after="0" w:line="18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August 3, 2022</w:t>
              </w:r>
            </w:hyperlink>
          </w:p>
        </w:tc>
        <w:tc>
          <w:tcPr>
            <w:tcW w:w="410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60" w:type="dxa"/>
            <w:vAlign w:val="bottom"/>
            <w:gridSpan w:val="2"/>
          </w:tcPr>
          <w:p>
            <w:pPr>
              <w:jc w:val="right"/>
              <w:ind w:right="56"/>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gridSpan w:val="3"/>
          </w:tcPr>
          <w:p>
            <w:pPr>
              <w:jc w:val="right"/>
              <w:ind w:right="3539"/>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040" w:type="dxa"/>
            <w:vAlign w:val="bottom"/>
          </w:tcPr>
          <w:p>
            <w:pPr>
              <w:spacing w:after="0"/>
              <w:rPr>
                <w:sz w:val="20"/>
                <w:szCs w:val="20"/>
                <w:color w:val="auto"/>
              </w:rPr>
            </w:pPr>
            <w:r>
              <w:rPr>
                <w:rFonts w:ascii="Arial" w:cs="Arial" w:eastAsia="Arial" w:hAnsi="Arial"/>
                <w:sz w:val="18"/>
                <w:szCs w:val="18"/>
                <w:color w:val="auto"/>
              </w:rPr>
              <w:t>Date: August 3, 2022</w:t>
            </w: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/s/ Sharon Spurlin</w:t>
            </w:r>
          </w:p>
        </w:tc>
      </w:tr>
      <w:tr>
        <w:trPr>
          <w:trHeight w:val="222"/>
        </w:trPr>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Second-Quarter 2022 Results</w:t>
      </w:r>
    </w:p>
    <w:p>
      <w:pPr>
        <w:spacing w:after="0" w:line="24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Houston, TX – August 3, 2022 – Plains All American Pipeline, L.P. (Nasdaq: PAA) and Plains GP Holdings (Nasdaq: PAGP) today reported second-quarter 2022 results and provided the following updates:</w:t>
      </w:r>
    </w:p>
    <w:p>
      <w:pPr>
        <w:spacing w:after="0" w:line="204"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Second-quarter Net income attributable to PAA of $203 million and Net cash provided by operating activities of $792 million</w:t>
      </w:r>
    </w:p>
    <w:p>
      <w:pPr>
        <w:spacing w:after="0" w:line="254" w:lineRule="exact"/>
        <w:rPr>
          <w:rFonts w:ascii="Arial" w:cs="Arial" w:eastAsia="Arial" w:hAnsi="Arial"/>
          <w:sz w:val="19"/>
          <w:szCs w:val="19"/>
          <w:color w:val="auto"/>
        </w:rPr>
      </w:pPr>
    </w:p>
    <w:p>
      <w:pPr>
        <w:ind w:left="660" w:right="10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Second-quarter Adjusted EBITDA attributable to PAA of $615 million and increased guidance for full-year 2022 Adjusted EBITDA attributable to PAA by $100 million to +/- $2.375 billion</w:t>
      </w:r>
    </w:p>
    <w:p>
      <w:pPr>
        <w:spacing w:after="0" w:line="203"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Expect further deleveraging to achieve mid-point (4.0x) of targeted leverage range by year-end 2022 (previously expected year-end leverage of 4.25x)</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Increased 2022 Asset Sales target to +/- $200 million (+$100 million)</w:t>
      </w:r>
    </w:p>
    <w:p>
      <w:pPr>
        <w:spacing w:after="0" w:line="242"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Repurchased $49 million of common units during the quarter, bringing year-to-date repurchases to $74 million, and total repurchases since program inception to ~$300 million</w:t>
      </w:r>
    </w:p>
    <w:p>
      <w:pPr>
        <w:spacing w:after="0" w:line="203" w:lineRule="exact"/>
        <w:rPr>
          <w:rFonts w:ascii="Arial" w:cs="Arial" w:eastAsia="Arial" w:hAnsi="Arial"/>
          <w:sz w:val="20"/>
          <w:szCs w:val="20"/>
          <w:color w:val="auto"/>
        </w:rPr>
      </w:pPr>
    </w:p>
    <w:p>
      <w:pPr>
        <w:ind w:left="660" w:righ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$42 million (net to our interest, excludes customary closing adjustments) Permian Basin bolt-on acquisition of the remaining 50% ownership interest of the Advantage JV pipeline</w:t>
      </w:r>
    </w:p>
    <w:p>
      <w:pPr>
        <w:spacing w:after="0" w:line="20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“We delivered better than expected second-quarter results and increased our full-year 2022 Adjusted EBITDA guidance by an additional $100 million to plus or minus $2.375 billion, which is $175 million above our initial February guidance, enabling us to achieve the mid-point of our leverage target by year-end 2022, well ahead of our original expectations,” stated Willie Chiang, Chairman and CEO of Plains. “Our increased guidance is driven by higher volumes and higher commodity prices in both our Crude Oil and NGL segments. We are well positioned to capture growing production, advance multiple optimization opportunities, and generate significant Free Cash Flow over the next several years, giving Plains increased financial flexibility and the ability to enhance cash returned to unitholders.”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959"/>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20"/>
              <w:spacing w:after="0" w:line="185"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69"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8" w:lineRule="exact"/>
        <w:rPr>
          <w:rFonts w:ascii="Arial" w:cs="Arial" w:eastAsia="Arial" w:hAnsi="Arial"/>
          <w:sz w:val="21"/>
          <w:szCs w:val="21"/>
          <w:color w:val="auto"/>
          <w:vertAlign w:val="superscript"/>
        </w:rPr>
      </w:pPr>
    </w:p>
    <w:p>
      <w:pPr>
        <w:ind w:left="340" w:right="520" w:hanging="332"/>
        <w:spacing w:after="0" w:line="227"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Three Months Ended June 30, 2021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553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471 %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2021 period further adjusted for impact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471 %</w:t>
            </w:r>
          </w:p>
        </w:tc>
        <w:tc>
          <w:tcPr>
            <w:tcW w:w="0" w:type="dxa"/>
            <w:vAlign w:val="bottom"/>
          </w:tcPr>
          <w:p>
            <w:pPr>
              <w:spacing w:after="0"/>
              <w:rPr>
                <w:sz w:val="1"/>
                <w:szCs w:val="1"/>
                <w:color w:val="auto"/>
              </w:rPr>
            </w:pPr>
          </w:p>
        </w:tc>
      </w:tr>
      <w:tr>
        <w:trPr>
          <w:trHeight w:val="203"/>
        </w:trPr>
        <w:tc>
          <w:tcPr>
            <w:tcW w:w="78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Six Months Ended June 30,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Six Months Ended June 30, 2021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212 %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2021 period further adjusted for impact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212 %</w:t>
            </w:r>
          </w:p>
        </w:tc>
        <w:tc>
          <w:tcPr>
            <w:tcW w:w="0" w:type="dxa"/>
            <w:vAlign w:val="bottom"/>
          </w:tcPr>
          <w:p>
            <w:pPr>
              <w:spacing w:after="0"/>
              <w:rPr>
                <w:sz w:val="1"/>
                <w:szCs w:val="1"/>
                <w:color w:val="auto"/>
              </w:rPr>
            </w:pPr>
          </w:p>
        </w:tc>
      </w:tr>
      <w:tr>
        <w:trPr>
          <w:trHeight w:val="203"/>
        </w:trPr>
        <w:tc>
          <w:tcPr>
            <w:tcW w:w="78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2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39" w:lineRule="exact"/>
        <w:rPr>
          <w:rFonts w:ascii="Arial" w:cs="Arial" w:eastAsia="Arial" w:hAnsi="Arial"/>
          <w:sz w:val="23"/>
          <w:szCs w:val="23"/>
          <w:color w:val="auto"/>
          <w:vertAlign w:val="superscript"/>
        </w:rPr>
      </w:pPr>
    </w:p>
    <w:p>
      <w:pPr>
        <w:ind w:left="340" w:right="40" w:hanging="332"/>
        <w:spacing w:after="0" w:line="24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40" w:lineRule="exact"/>
        <w:rPr>
          <w:rFonts w:ascii="Arial" w:cs="Arial" w:eastAsia="Arial" w:hAnsi="Arial"/>
          <w:sz w:val="23"/>
          <w:szCs w:val="23"/>
          <w:color w:val="auto"/>
          <w:vertAlign w:val="superscript"/>
        </w:rPr>
      </w:pPr>
    </w:p>
    <w:p>
      <w:pPr>
        <w:ind w:left="340" w:right="10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natural gas storage facilities previously included in our Crude Oil segment.</w:t>
      </w:r>
    </w:p>
    <w:p>
      <w:pPr>
        <w:spacing w:after="0" w:line="324" w:lineRule="exact"/>
        <w:rPr>
          <w:sz w:val="20"/>
          <w:szCs w:val="20"/>
          <w:color w:val="auto"/>
        </w:rPr>
      </w:pPr>
    </w:p>
    <w:p>
      <w:pPr>
        <w:jc w:val="both"/>
        <w:ind w:right="320" w:firstLine="648"/>
        <w:spacing w:after="0" w:line="276" w:lineRule="auto"/>
        <w:rPr>
          <w:sz w:val="20"/>
          <w:szCs w:val="20"/>
          <w:color w:val="auto"/>
        </w:rPr>
      </w:pPr>
      <w:r>
        <w:rPr>
          <w:rFonts w:ascii="Arial" w:cs="Arial" w:eastAsia="Arial" w:hAnsi="Arial"/>
          <w:sz w:val="16"/>
          <w:szCs w:val="16"/>
          <w:color w:val="auto"/>
        </w:rPr>
        <w:t>Second-quarter 2022 Crude Oil Segment Adjusted EBITDA decreased 11% versus comparable 2021 results primarily due to (i) the sale of our natural gas storage facilities in August of 2021 and (ii) the monetization of contango hedges that benefited the 2021 period. These items were partially offset by increased earnings in the second quarter of 2022 from higher tariff volumes on our pipelines and higher loss allowance revenue.</w:t>
      </w:r>
    </w:p>
    <w:p>
      <w:pPr>
        <w:spacing w:after="0" w:line="175" w:lineRule="exact"/>
        <w:rPr>
          <w:sz w:val="20"/>
          <w:szCs w:val="20"/>
          <w:color w:val="auto"/>
        </w:rPr>
      </w:pPr>
    </w:p>
    <w:p>
      <w:pPr>
        <w:jc w:val="both"/>
        <w:ind w:right="160" w:firstLine="648"/>
        <w:spacing w:after="0" w:line="235" w:lineRule="auto"/>
        <w:rPr>
          <w:sz w:val="20"/>
          <w:szCs w:val="20"/>
          <w:color w:val="auto"/>
        </w:rPr>
      </w:pPr>
      <w:r>
        <w:rPr>
          <w:rFonts w:ascii="Arial" w:cs="Arial" w:eastAsia="Arial" w:hAnsi="Arial"/>
          <w:sz w:val="18"/>
          <w:szCs w:val="18"/>
          <w:color w:val="auto"/>
        </w:rPr>
        <w:t>Second-quarter 2022 NGL Segment Adjusted EBITDA increased 471% versus comparable 2021 results primarily due to the favorable impact of higher realized fractionation spreads between the price of natural gas and the extracted NGL (“frac spreads”) and higher NGL sales prices, partially offset by lower NGL sales volumes.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60" w:firstLine="180"/>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Wednesday, August 3, 2022 to discuss the following items:</w:t>
      </w:r>
    </w:p>
    <w:p>
      <w:pPr>
        <w:spacing w:after="0" w:line="117"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second-quarter 2022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https://edge.media-server.com/mmc/p/5ttt3v92.</w:t>
      </w:r>
    </w:p>
    <w:p>
      <w:pPr>
        <w:spacing w:after="0" w:line="25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20"/>
          </w:cols>
          <w:pgMar w:left="320" w:top="368"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income/(expense), net</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(expense)/benefit</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 net income/(loss) per common unit</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rPr>
              <w:t>- more -</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$267 and $449, respectively)</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19,192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1"/>
              </w:rPr>
              <w:t>- more -</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Houston, Texas 77002</w:t>
            </w:r>
          </w:p>
        </w:tc>
        <w:tc>
          <w:tcPr>
            <w:tcW w:w="292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7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57"/>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1"/>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4" w:lineRule="exact"/>
        <w:rPr>
          <w:sz w:val="20"/>
          <w:szCs w:val="20"/>
          <w:color w:val="auto"/>
        </w:rPr>
      </w:pPr>
    </w:p>
    <w:p>
      <w:pPr>
        <w:jc w:val="both"/>
        <w:ind w:left="340" w:right="200" w:hanging="332"/>
        <w:spacing w:after="0" w:line="238"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income/(loss).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200" w:hanging="332"/>
        <w:spacing w:after="0" w:line="227"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2022 and 2021 as the effect was antidilutive.</w:t>
      </w:r>
    </w:p>
    <w:p>
      <w:pPr>
        <w:spacing w:after="0" w:line="40" w:lineRule="exact"/>
        <w:rPr>
          <w:rFonts w:ascii="Arial" w:cs="Arial" w:eastAsia="Arial" w:hAnsi="Arial"/>
          <w:sz w:val="23"/>
          <w:szCs w:val="23"/>
          <w:color w:val="auto"/>
          <w:vertAlign w:val="superscript"/>
        </w:rPr>
      </w:pPr>
    </w:p>
    <w:p>
      <w:pPr>
        <w:ind w:left="340" w:right="140" w:hanging="332"/>
        <w:spacing w:after="0" w:line="242"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2022 and 2021, the effect of equity-indexed compensation plan awards was antidilutive, or did not change the presentation of diluted weighted average common units outstanding or diluted net income/(loss) per common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2" w:lineRule="auto"/>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2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840" w:type="dxa"/>
            <w:vAlign w:val="bottom"/>
          </w:tcPr>
          <w:p>
            <w:pPr>
              <w:spacing w:after="0"/>
              <w:rPr>
                <w:sz w:val="16"/>
                <w:szCs w:val="16"/>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600" w:type="dxa"/>
            <w:vAlign w:val="bottom"/>
          </w:tcPr>
          <w:p>
            <w:pPr>
              <w:jc w:val="center"/>
              <w:ind w:right="788"/>
              <w:spacing w:after="0"/>
              <w:rPr>
                <w:sz w:val="20"/>
                <w:szCs w:val="20"/>
                <w:color w:val="auto"/>
              </w:rPr>
            </w:pPr>
            <w:r>
              <w:rPr>
                <w:rFonts w:ascii="Arial" w:cs="Arial" w:eastAsia="Arial" w:hAnsi="Arial"/>
                <w:sz w:val="14"/>
                <w:szCs w:val="14"/>
                <w:b w:val="1"/>
                <w:bCs w:val="1"/>
                <w:color w:val="auto"/>
                <w:w w:val="89"/>
              </w:rPr>
              <w:t>June 30,</w:t>
            </w:r>
          </w:p>
        </w:tc>
      </w:tr>
      <w:tr>
        <w:trPr>
          <w:trHeight w:val="181"/>
        </w:trPr>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6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6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bl>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80"/>
        <w:spacing w:after="0" w:line="192" w:lineRule="auto"/>
        <w:rPr>
          <w:sz w:val="20"/>
          <w:szCs w:val="20"/>
          <w:color w:val="auto"/>
        </w:rPr>
      </w:pPr>
      <w:r>
        <w:rPr>
          <w:rFonts w:ascii="Arial" w:cs="Arial" w:eastAsia="Arial" w:hAnsi="Arial"/>
          <w:sz w:val="16"/>
          <w:szCs w:val="16"/>
          <w:color w:val="auto"/>
        </w:rPr>
        <w:t>Selected items impacting comparability - Adjusted net income attributable to PAA</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(2)</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203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337"/>
        </w:trPr>
        <w:tc>
          <w:tcPr>
            <w:tcW w:w="440" w:type="dxa"/>
            <w:vAlign w:val="bottom"/>
          </w:tcPr>
          <w:p>
            <w:pPr>
              <w:ind w:left="80"/>
              <w:spacing w:after="0"/>
              <w:rPr>
                <w:sz w:val="20"/>
                <w:szCs w:val="20"/>
                <w:color w:val="auto"/>
              </w:rPr>
            </w:pPr>
            <w:r>
              <w:rPr>
                <w:rFonts w:ascii="Arial" w:cs="Arial" w:eastAsia="Arial" w:hAnsi="Arial"/>
                <w:sz w:val="18"/>
                <w:szCs w:val="18"/>
                <w:color w:val="auto"/>
              </w:rPr>
              <w:t>57</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260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40" w:type="dxa"/>
            <w:vAlign w:val="bottom"/>
          </w:tcPr>
          <w:p>
            <w:pPr>
              <w:ind w:left="10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210</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
        </w:trPr>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66"/>
        </w:trPr>
        <w:tc>
          <w:tcPr>
            <w:tcW w:w="440" w:type="dxa"/>
            <w:vAlign w:val="bottom"/>
          </w:tcPr>
          <w:p>
            <w:pPr>
              <w:spacing w:after="0"/>
              <w:rPr>
                <w:sz w:val="20"/>
                <w:szCs w:val="20"/>
                <w:color w:val="auto"/>
              </w:rPr>
            </w:pPr>
            <w:r>
              <w:rPr>
                <w:rFonts w:ascii="Arial" w:cs="Arial" w:eastAsia="Arial" w:hAnsi="Arial"/>
                <w:sz w:val="18"/>
                <w:szCs w:val="18"/>
                <w:color w:val="auto"/>
              </w:rPr>
              <w:t>702</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-334010</wp:posOffset>
            </wp:positionV>
            <wp:extent cx="737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-487680</wp:posOffset>
            </wp:positionV>
            <wp:extent cx="737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-1079500</wp:posOffset>
            </wp:positionV>
            <wp:extent cx="737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3">
            <w:col w:w="6120" w:space="120"/>
            <w:col w:w="100" w:space="720"/>
            <w:col w:w="4180"/>
          </w:cols>
          <w:pgMar w:left="320" w:top="368" w:right="339" w:bottom="1440" w:gutter="0" w:footer="0" w:header="0"/>
          <w:type w:val="continuous"/>
        </w:sectPr>
      </w:pPr>
    </w:p>
    <w:p>
      <w:pPr>
        <w:spacing w:after="0" w:line="40" w:lineRule="exact"/>
        <w:rPr>
          <w:sz w:val="20"/>
          <w:szCs w:val="20"/>
          <w:color w:val="auto"/>
        </w:rPr>
      </w:pPr>
    </w:p>
    <w:p>
      <w:pPr>
        <w:ind w:left="20"/>
        <w:spacing w:after="0"/>
        <w:tabs>
          <w:tab w:leader="none" w:pos="6220" w:val="left"/>
          <w:tab w:leader="none" w:pos="6980" w:val="left"/>
          <w:tab w:leader="none" w:pos="7500" w:val="left"/>
          <w:tab w:leader="none" w:pos="8260" w:val="left"/>
          <w:tab w:leader="none" w:pos="8780" w:val="left"/>
          <w:tab w:leader="none" w:pos="9560" w:val="left"/>
          <w:tab w:leader="none" w:pos="10060" w:val="left"/>
          <w:tab w:leader="none" w:pos="10840" w:val="left"/>
        </w:tabs>
        <w:rPr>
          <w:sz w:val="20"/>
          <w:szCs w:val="20"/>
          <w:color w:val="auto"/>
        </w:rPr>
      </w:pPr>
      <w:r>
        <w:rPr>
          <w:rFonts w:ascii="Arial" w:cs="Arial" w:eastAsia="Arial" w:hAnsi="Arial"/>
          <w:sz w:val="18"/>
          <w:szCs w:val="18"/>
          <w:color w:val="auto"/>
        </w:rPr>
        <w:t>Basic and diluted adjusted net income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0.30</w:t>
        <w:tab/>
        <w:t>$</w:t>
      </w:r>
      <w:r>
        <w:rPr>
          <w:sz w:val="20"/>
          <w:szCs w:val="20"/>
          <w:color w:val="auto"/>
        </w:rPr>
        <w:tab/>
      </w:r>
      <w:r>
        <w:rPr>
          <w:rFonts w:ascii="Arial" w:cs="Arial" w:eastAsia="Arial" w:hAnsi="Arial"/>
          <w:sz w:val="18"/>
          <w:szCs w:val="18"/>
          <w:color w:val="auto"/>
        </w:rPr>
        <w:t>0.23</w:t>
        <w:tab/>
        <w:t>$</w:t>
      </w:r>
      <w:r>
        <w:rPr>
          <w:sz w:val="20"/>
          <w:szCs w:val="20"/>
          <w:color w:val="auto"/>
        </w:rPr>
        <w:tab/>
      </w:r>
      <w:r>
        <w:rPr>
          <w:rFonts w:ascii="Arial" w:cs="Arial" w:eastAsia="Arial" w:hAnsi="Arial"/>
          <w:sz w:val="18"/>
          <w:szCs w:val="18"/>
          <w:color w:val="auto"/>
        </w:rPr>
        <w:t>0.60</w:t>
        <w:tab/>
        <w:t>$</w:t>
      </w:r>
      <w:r>
        <w:rPr>
          <w:sz w:val="20"/>
          <w:szCs w:val="20"/>
          <w:color w:val="auto"/>
        </w:rPr>
        <w:tab/>
      </w:r>
      <w:r>
        <w:rPr>
          <w:rFonts w:ascii="Arial" w:cs="Arial" w:eastAsia="Arial" w:hAnsi="Arial"/>
          <w:sz w:val="15"/>
          <w:szCs w:val="15"/>
          <w:color w:val="auto"/>
        </w:rPr>
        <w:t>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008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1" w:lineRule="exact"/>
        <w:rPr>
          <w:sz w:val="20"/>
          <w:szCs w:val="20"/>
          <w:color w:val="auto"/>
        </w:rPr>
      </w:pPr>
    </w:p>
    <w:p>
      <w:pPr>
        <w:ind w:left="340" w:right="220" w:hanging="332"/>
        <w:spacing w:after="0" w:line="243" w:lineRule="auto"/>
        <w:tabs>
          <w:tab w:leader="none" w:pos="334"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19"/>
          <w:szCs w:val="19"/>
          <w:color w:val="auto"/>
          <w:vertAlign w:val="superscript"/>
        </w:rPr>
      </w:pPr>
    </w:p>
    <w:p>
      <w:pPr>
        <w:ind w:left="340" w:right="340" w:hanging="332"/>
        <w:spacing w:after="0" w:line="220" w:lineRule="auto"/>
        <w:tabs>
          <w:tab w:leader="none" w:pos="334"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 See the “Selected Items Impacting Comparability” table for additional information.</w:t>
      </w:r>
    </w:p>
    <w:p>
      <w:pPr>
        <w:spacing w:after="0" w:line="36" w:lineRule="exact"/>
        <w:rPr>
          <w:rFonts w:ascii="Arial" w:cs="Arial" w:eastAsia="Arial" w:hAnsi="Arial"/>
          <w:sz w:val="20"/>
          <w:szCs w:val="20"/>
          <w:color w:val="auto"/>
          <w:vertAlign w:val="superscript"/>
        </w:rPr>
      </w:pPr>
    </w:p>
    <w:p>
      <w:pPr>
        <w:ind w:left="340" w:right="260" w:hanging="332"/>
        <w:spacing w:after="0" w:line="220" w:lineRule="auto"/>
        <w:tabs>
          <w:tab w:leader="none" w:pos="334"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The possible conversion of our Series A preferred units was excluded from the calculation of diluted net income per common unit for the three and six months ended June 30, 2022 and 2021 as the effect was antidilutive.</w:t>
      </w:r>
    </w:p>
    <w:p>
      <w:pPr>
        <w:spacing w:after="0" w:line="36" w:lineRule="exact"/>
        <w:rPr>
          <w:rFonts w:ascii="Arial" w:cs="Arial" w:eastAsia="Arial" w:hAnsi="Arial"/>
          <w:sz w:val="20"/>
          <w:szCs w:val="20"/>
          <w:color w:val="auto"/>
          <w:vertAlign w:val="superscript"/>
        </w:rPr>
      </w:pPr>
    </w:p>
    <w:p>
      <w:pPr>
        <w:ind w:left="340" w:right="100" w:hanging="332"/>
        <w:spacing w:after="0" w:line="233" w:lineRule="auto"/>
        <w:tabs>
          <w:tab w:leader="none" w:pos="334"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2022 and 2021, the effect of equity-indexed compensation plan awards was antidilutive, or did not change the presentation of diluted weighted average common units outstanding or diluted adjusted net income per common unit.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89"/>
              </w:rPr>
              <w:t>(0.37)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91"/>
              </w:rPr>
              <w:t>0.60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w w:val="91"/>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9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See the “Selected Items Impacting Comparability” and the “Computation of Basic and Diluted Adjusted Net Income Per Common Unit” tables for additional information.</w:t>
      </w:r>
    </w:p>
    <w:p>
      <w:pPr>
        <w:spacing w:after="0" w:line="169"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to Adjusted EBITDA attributable to PAA and Implied DCF Reconciliation: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line="229"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220" w:type="dxa"/>
            <w:vAlign w:val="bottom"/>
            <w:gridSpan w:val="2"/>
          </w:tcPr>
          <w:p>
            <w:pPr>
              <w:ind w:left="40"/>
              <w:spacing w:after="0"/>
              <w:rPr>
                <w:sz w:val="20"/>
                <w:szCs w:val="20"/>
                <w:color w:val="auto"/>
              </w:rPr>
            </w:pPr>
            <w:r>
              <w:rPr>
                <w:rFonts w:ascii="Arial" w:cs="Arial" w:eastAsia="Arial" w:hAnsi="Arial"/>
                <w:sz w:val="17"/>
                <w:szCs w:val="17"/>
                <w:color w:val="auto"/>
              </w:rPr>
              <w:t>Adjusted EBITDA attributable to PAA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Arial" w:cs="Arial" w:eastAsia="Arial" w:hAnsi="Arial"/>
                <w:sz w:val="17"/>
                <w:szCs w:val="17"/>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2"/>
        </w:trPr>
        <w:tc>
          <w:tcPr>
            <w:tcW w:w="622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7"/>
                <w:szCs w:val="17"/>
                <w:color w:val="auto"/>
                <w:w w:val="99"/>
              </w:rPr>
              <w:t>Distributions from unconsolidated entities in excess of/(less than) adjusted equity</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(5)</w:t>
            </w: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line="22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tcPr>
          <w:p>
            <w:pPr>
              <w:ind w:left="180"/>
              <w:spacing w:after="0" w:line="22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2.61x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2.86x</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2.86x</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20"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20" w:lineRule="exact"/>
        <w:rPr>
          <w:rFonts w:ascii="Arial" w:cs="Arial" w:eastAsia="Arial" w:hAnsi="Arial"/>
          <w:sz w:val="17"/>
          <w:szCs w:val="17"/>
          <w:color w:val="auto"/>
          <w:vertAlign w:val="superscript"/>
        </w:rPr>
      </w:pPr>
    </w:p>
    <w:p>
      <w:pPr>
        <w:ind w:left="340" w:right="200" w:hanging="332"/>
        <w:spacing w:after="0" w:line="211" w:lineRule="auto"/>
        <w:tabs>
          <w:tab w:leader="none" w:pos="331"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ind w:left="320" w:hanging="312"/>
        <w:spacing w:after="0" w:line="232" w:lineRule="auto"/>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during the period presented.</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20" w:lineRule="exact"/>
        <w:rPr>
          <w:rFonts w:ascii="Arial" w:cs="Arial" w:eastAsia="Arial" w:hAnsi="Arial"/>
          <w:sz w:val="17"/>
          <w:szCs w:val="17"/>
          <w:color w:val="auto"/>
          <w:vertAlign w:val="superscript"/>
        </w:rPr>
      </w:pPr>
    </w:p>
    <w:p>
      <w:pPr>
        <w:ind w:left="340" w:right="120" w:hanging="332"/>
        <w:spacing w:after="0" w:line="219" w:lineRule="auto"/>
        <w:tabs>
          <w:tab w:leader="none" w:pos="331"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64" w:lineRule="exact"/>
        <w:rPr>
          <w:rFonts w:ascii="Arial" w:cs="Arial" w:eastAsia="Arial" w:hAnsi="Arial"/>
          <w:sz w:val="17"/>
          <w:szCs w:val="17"/>
          <w:color w:val="auto"/>
          <w:vertAlign w:val="superscript"/>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ind w:left="100"/>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5540" w:type="dxa"/>
            <w:vAlign w:val="bottom"/>
            <w:gridSpan w:val="3"/>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9"/>
                <w:szCs w:val="19"/>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(0.37)$</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70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540" w:type="dxa"/>
            <w:vAlign w:val="bottom"/>
            <w:gridSpan w:val="3"/>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24"/>
                <w:szCs w:val="24"/>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(0.37)$</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5540" w:type="dxa"/>
            <w:vAlign w:val="bottom"/>
            <w:gridSpan w:val="3"/>
          </w:tcPr>
          <w:p>
            <w:pPr>
              <w:spacing w:after="0" w:line="230" w:lineRule="exact"/>
              <w:rPr>
                <w:sz w:val="20"/>
                <w:szCs w:val="20"/>
                <w:color w:val="auto"/>
              </w:rPr>
            </w:pPr>
            <w:r>
              <w:rPr>
                <w:rFonts w:ascii="Arial" w:cs="Arial" w:eastAsia="Arial" w:hAnsi="Arial"/>
                <w:sz w:val="18"/>
                <w:szCs w:val="18"/>
                <w:color w:val="auto"/>
                <w:w w:val="99"/>
              </w:rPr>
              <w:t xml:space="preserve">Reconciling items per common unit and common unit equivalent </w:t>
            </w:r>
            <w:r>
              <w:rPr>
                <w:rFonts w:ascii="Arial" w:cs="Arial" w:eastAsia="Arial" w:hAnsi="Arial"/>
                <w:sz w:val="23"/>
                <w:szCs w:val="23"/>
                <w:color w:val="auto"/>
                <w:w w:val="99"/>
                <w:vertAlign w:val="superscript"/>
              </w:rPr>
              <w:t>(1) (3)</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70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-1268095</wp:posOffset>
            </wp:positionV>
            <wp:extent cx="702945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-624840</wp:posOffset>
            </wp:positionV>
            <wp:extent cx="70294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114" w:lineRule="exact"/>
        <w:rPr>
          <w:sz w:val="20"/>
          <w:szCs w:val="20"/>
          <w:color w:val="auto"/>
        </w:rPr>
      </w:pPr>
    </w:p>
    <w:p>
      <w:pPr>
        <w:ind w:left="440" w:right="280" w:hanging="332"/>
        <w:spacing w:after="0" w:line="227" w:lineRule="auto"/>
        <w:tabs>
          <w:tab w:leader="none" w:pos="4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Income/(Loss) to calculate Implied DCF Available to Common Unitholders. See the “Net Income/(Loss) to Adjusted EBITDA attributable to PAA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702 million, 720 million, 703 million and 721 million, respectively.</w:t>
      </w:r>
    </w:p>
    <w:p>
      <w:pPr>
        <w:spacing w:after="0" w:line="55" w:lineRule="exact"/>
        <w:rPr>
          <w:rFonts w:ascii="Arial" w:cs="Arial" w:eastAsia="Arial" w:hAnsi="Arial"/>
          <w:sz w:val="23"/>
          <w:szCs w:val="23"/>
          <w:color w:val="auto"/>
          <w:vertAlign w:val="superscript"/>
        </w:rPr>
      </w:pPr>
    </w:p>
    <w:p>
      <w:pPr>
        <w:ind w:left="440" w:right="240" w:hanging="332"/>
        <w:spacing w:after="0" w:line="219" w:lineRule="auto"/>
        <w:tabs>
          <w:tab w:leader="none" w:pos="4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121" w:lineRule="exact"/>
        <w:rPr>
          <w:sz w:val="20"/>
          <w:szCs w:val="20"/>
          <w:color w:val="auto"/>
        </w:rPr>
      </w:pPr>
    </w:p>
    <w:p>
      <w:pPr>
        <w:ind w:left="440" w:right="300" w:hanging="332"/>
        <w:spacing w:after="0" w:line="238"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420" w:hanging="312"/>
        <w:spacing w:after="0"/>
        <w:tabs>
          <w:tab w:leader="none" w:pos="4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420" w:hanging="312"/>
        <w:spacing w:after="0" w:line="194" w:lineRule="auto"/>
        <w:tabs>
          <w:tab w:leader="none" w:pos="4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175" w:lineRule="exact"/>
        <w:rPr>
          <w:rFonts w:ascii="Arial" w:cs="Arial" w:eastAsia="Arial" w:hAnsi="Arial"/>
          <w:sz w:val="23"/>
          <w:szCs w:val="23"/>
          <w:color w:val="auto"/>
          <w:vertAlign w:val="superscript"/>
        </w:rPr>
      </w:pPr>
    </w:p>
    <w:p>
      <w:pPr>
        <w:ind w:left="5540" w:hanging="106"/>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197"/>
        </w:trPr>
        <w:tc>
          <w:tcPr>
            <w:tcW w:w="62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2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780" w:type="dxa"/>
            <w:vAlign w:val="bottom"/>
          </w:tcPr>
          <w:p>
            <w:pPr>
              <w:jc w:val="right"/>
              <w:ind w:right="6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740" w:type="dxa"/>
            <w:vAlign w:val="bottom"/>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6"/>
        </w:trPr>
        <w:tc>
          <w:tcPr>
            <w:tcW w:w="6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62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6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62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6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(8)</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78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Gains from derivative activities</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4"/>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w w:val="99"/>
              </w:rPr>
              <w:t>Selected items impacting comparability - Adjusted net income attributable to PAA</w:t>
            </w: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3" w:lineRule="exact"/>
        <w:rPr>
          <w:sz w:val="20"/>
          <w:szCs w:val="20"/>
          <w:color w:val="auto"/>
        </w:rPr>
      </w:pPr>
    </w:p>
    <w:p>
      <w:pPr>
        <w:ind w:left="340" w:right="120" w:hanging="332"/>
        <w:spacing w:after="0" w:line="228" w:lineRule="auto"/>
        <w:tabs>
          <w:tab w:leader="none" w:pos="33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23" w:lineRule="exact"/>
        <w:rPr>
          <w:rFonts w:ascii="Arial" w:cs="Arial" w:eastAsia="Arial" w:hAnsi="Arial"/>
          <w:sz w:val="18"/>
          <w:szCs w:val="18"/>
          <w:color w:val="auto"/>
          <w:vertAlign w:val="superscript"/>
        </w:rPr>
      </w:pPr>
    </w:p>
    <w:p>
      <w:pPr>
        <w:ind w:left="340" w:right="100" w:hanging="332"/>
        <w:spacing w:after="0" w:line="234" w:lineRule="auto"/>
        <w:tabs>
          <w:tab w:leader="none" w:pos="33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2" w:lineRule="exact"/>
        <w:rPr>
          <w:rFonts w:ascii="Arial" w:cs="Arial" w:eastAsia="Arial" w:hAnsi="Arial"/>
          <w:sz w:val="18"/>
          <w:szCs w:val="18"/>
          <w:color w:val="auto"/>
          <w:vertAlign w:val="superscript"/>
        </w:rPr>
      </w:pPr>
    </w:p>
    <w:p>
      <w:pPr>
        <w:ind w:left="340" w:right="100" w:hanging="332"/>
        <w:spacing w:after="0" w:line="250" w:lineRule="auto"/>
        <w:tabs>
          <w:tab w:leader="none" w:pos="33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7" w:lineRule="exact"/>
        <w:rPr>
          <w:rFonts w:ascii="Arial" w:cs="Arial" w:eastAsia="Arial" w:hAnsi="Arial"/>
          <w:sz w:val="17"/>
          <w:szCs w:val="17"/>
          <w:color w:val="auto"/>
          <w:vertAlign w:val="superscript"/>
        </w:rPr>
      </w:pPr>
    </w:p>
    <w:p>
      <w:pPr>
        <w:ind w:left="340" w:right="40" w:hanging="332"/>
        <w:spacing w:after="0" w:line="256" w:lineRule="auto"/>
        <w:tabs>
          <w:tab w:leader="none" w:pos="33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4" w:lineRule="exact"/>
        <w:rPr>
          <w:rFonts w:ascii="Arial" w:cs="Arial" w:eastAsia="Arial" w:hAnsi="Arial"/>
          <w:sz w:val="17"/>
          <w:szCs w:val="17"/>
          <w:color w:val="auto"/>
          <w:vertAlign w:val="superscript"/>
        </w:rPr>
      </w:pPr>
    </w:p>
    <w:p>
      <w:pPr>
        <w:ind w:left="340" w:right="100" w:hanging="332"/>
        <w:spacing w:after="0" w:line="250" w:lineRule="auto"/>
        <w:tabs>
          <w:tab w:leader="none" w:pos="33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 w:lineRule="exact"/>
        <w:rPr>
          <w:rFonts w:ascii="Arial" w:cs="Arial" w:eastAsia="Arial" w:hAnsi="Arial"/>
          <w:sz w:val="17"/>
          <w:szCs w:val="17"/>
          <w:color w:val="auto"/>
          <w:vertAlign w:val="superscript"/>
        </w:rPr>
      </w:pPr>
    </w:p>
    <w:p>
      <w:pPr>
        <w:ind w:left="340" w:right="180" w:hanging="332"/>
        <w:spacing w:after="0" w:line="228" w:lineRule="auto"/>
        <w:tabs>
          <w:tab w:leader="none" w:pos="33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ind w:left="340" w:hanging="332"/>
        <w:spacing w:after="0" w:line="234"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36" w:lineRule="exact"/>
        <w:rPr>
          <w:rFonts w:ascii="Arial" w:cs="Arial" w:eastAsia="Arial" w:hAnsi="Arial"/>
          <w:sz w:val="18"/>
          <w:szCs w:val="18"/>
          <w:color w:val="auto"/>
          <w:vertAlign w:val="superscript"/>
        </w:rPr>
      </w:pPr>
    </w:p>
    <w:p>
      <w:pPr>
        <w:ind w:left="340" w:hanging="332"/>
        <w:spacing w:after="0" w:line="193"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expenses associated with the Permian Basin joint venture transaction announced in July 2021.</w:t>
      </w:r>
    </w:p>
    <w:p>
      <w:pPr>
        <w:spacing w:after="0" w:line="160"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4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and Red River Pipeline LLC.</w:t>
      </w:r>
    </w:p>
    <w:p>
      <w:pPr>
        <w:spacing w:after="0" w:line="55"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22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2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and Red River Pipeline LLC.</w:t>
      </w:r>
    </w:p>
    <w:p>
      <w:pPr>
        <w:spacing w:after="0" w:line="55"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55"/>
        </w:trPr>
        <w:tc>
          <w:tcPr>
            <w:tcW w:w="622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2"/>
              </w:rPr>
              <w:t>Crude oil pipeline tariff volumes (average volumes in thousands of barrels per day)</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162"/>
        </w:trPr>
        <w:tc>
          <w:tcPr>
            <w:tcW w:w="3880" w:type="dxa"/>
            <w:vAlign w:val="bottom"/>
          </w:tcPr>
          <w:p>
            <w:pPr>
              <w:ind w:left="140"/>
              <w:spacing w:after="0"/>
              <w:rPr>
                <w:sz w:val="20"/>
                <w:szCs w:val="20"/>
                <w:color w:val="auto"/>
              </w:rPr>
            </w:pPr>
            <w:r>
              <w:rPr>
                <w:rFonts w:ascii="Arial" w:cs="Arial" w:eastAsia="Arial" w:hAnsi="Arial"/>
                <w:sz w:val="12"/>
                <w:szCs w:val="12"/>
                <w:color w:val="auto"/>
              </w:rPr>
              <w:t>(1) (2)</w:t>
            </w:r>
          </w:p>
        </w:tc>
        <w:tc>
          <w:tcPr>
            <w:tcW w:w="2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2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Commercial crude oil storage capacity (average monthly volumes in millions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(2) (3)</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2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Crude oil lease gathering purchases (average volumes in thousands of barrels per</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day) </w:t>
            </w:r>
            <w:r>
              <w:rPr>
                <w:rFonts w:ascii="Arial" w:cs="Arial" w:eastAsia="Arial" w:hAnsi="Arial"/>
                <w:sz w:val="23"/>
                <w:szCs w:val="23"/>
                <w:color w:val="auto"/>
                <w:vertAlign w:val="superscript"/>
              </w:rPr>
              <w:t>(1)</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b w:val="1"/>
                <w:bCs w:val="1"/>
                <w:color w:val="auto"/>
              </w:rPr>
              <w:t>NGL Segment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fractionation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80"/>
              <w:spacing w:after="0" w:line="230" w:lineRule="exact"/>
              <w:rPr>
                <w:sz w:val="20"/>
                <w:szCs w:val="20"/>
                <w:color w:val="auto"/>
              </w:rPr>
            </w:pPr>
            <w:r>
              <w:rPr>
                <w:rFonts w:ascii="Arial" w:cs="Arial" w:eastAsia="Arial" w:hAnsi="Arial"/>
                <w:sz w:val="18"/>
                <w:szCs w:val="18"/>
                <w:color w:val="auto"/>
                <w:w w:val="93"/>
              </w:rPr>
              <w:t xml:space="preserve">NGL pipeline tariff volumes (average volumes in thousands of barrels per day) </w:t>
            </w:r>
            <w:r>
              <w:rPr>
                <w:rFonts w:ascii="Arial" w:cs="Arial" w:eastAsia="Arial" w:hAnsi="Arial"/>
                <w:sz w:val="23"/>
                <w:szCs w:val="23"/>
                <w:color w:val="auto"/>
                <w:w w:val="93"/>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sales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22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Average daily volumes calculated as the total volumes (attributable to our interest for pipelines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assets owned by unconsolidated entities.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3980" w:type="dxa"/>
            <w:vAlign w:val="bottom"/>
            <w:gridSpan w:val="2"/>
          </w:tcPr>
          <w:p>
            <w:pPr>
              <w:spacing w:after="0"/>
              <w:rPr>
                <w:sz w:val="20"/>
                <w:szCs w:val="20"/>
                <w:color w:val="auto"/>
              </w:rPr>
            </w:pPr>
            <w:r>
              <w:rPr>
                <w:rFonts w:ascii="Arial" w:cs="Arial" w:eastAsia="Arial" w:hAnsi="Arial"/>
                <w:sz w:val="18"/>
                <w:szCs w:val="18"/>
                <w:color w:val="auto"/>
              </w:rPr>
              <w:t>Crude Oil Segment Adjusted EBITDA</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NGL Segment Adjusted EBITDA</w:t>
            </w: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3880" w:type="dxa"/>
            <w:vAlign w:val="bottom"/>
            <w:vMerge w:val="continue"/>
            <w:shd w:val="clear" w:color="auto" w:fill="CCEEFF"/>
          </w:tcPr>
          <w:p>
            <w:pPr>
              <w:spacing w:after="0"/>
              <w:rPr>
                <w:sz w:val="19"/>
                <w:szCs w:val="19"/>
                <w:color w:val="auto"/>
              </w:rPr>
            </w:pPr>
          </w:p>
        </w:tc>
        <w:tc>
          <w:tcPr>
            <w:tcW w:w="226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2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-934085</wp:posOffset>
            </wp:positionV>
            <wp:extent cx="702945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pacing w:after="0" w:line="114" w:lineRule="exact"/>
        <w:rPr>
          <w:sz w:val="20"/>
          <w:szCs w:val="20"/>
          <w:color w:val="auto"/>
        </w:rPr>
      </w:pPr>
    </w:p>
    <w:p>
      <w:pPr>
        <w:ind w:left="440" w:right="60" w:hanging="332"/>
        <w:spacing w:after="0" w:line="273" w:lineRule="auto"/>
        <w:tabs>
          <w:tab w:leader="none" w:pos="4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“Other income/(expense), net” as reported on our Condensed Consolidated Statements of Operations, adjusted for selected items impacting comparability of $119 million and $(83) million for the three months ended June 30, 2022 and 2021, respectively and $156 million and $(22) million for the six months ended June 30, 2022 and 2021, respectively. See the “Selected Items Impacting Comparability” table for additional information. Adjusted other income/(expense), net attributable to noncontrolling interests is less than $1 million for each of the periods presented.</w:t>
      </w:r>
    </w:p>
    <w:p>
      <w:pPr>
        <w:ind w:left="420" w:hanging="312"/>
        <w:spacing w:after="0"/>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attributable to PAA and Implied DCF Reconciliation” table for reconciliation to Net Income.</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2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3"/>
              </w:rPr>
              <w:t>Three Months Ended</w:t>
            </w:r>
          </w:p>
        </w:tc>
      </w:tr>
      <w:tr>
        <w:trPr>
          <w:trHeight w:val="188"/>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0"/>
              </w:rPr>
              <w:t>June 30, 2022</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0"/>
              </w:rPr>
              <w:t>June 30, 2021</w:t>
            </w:r>
          </w:p>
        </w:tc>
        <w:tc>
          <w:tcPr>
            <w:tcW w:w="780" w:type="dxa"/>
            <w:vAlign w:val="bottom"/>
            <w:tcBorders>
              <w:bottom w:val="single" w:sz="8" w:color="auto"/>
            </w:tcBorders>
          </w:tcPr>
          <w:p>
            <w:pPr>
              <w:spacing w:after="0"/>
              <w:rPr>
                <w:sz w:val="16"/>
                <w:szCs w:val="16"/>
                <w:color w:val="auto"/>
              </w:rPr>
            </w:pPr>
          </w:p>
        </w:tc>
      </w:tr>
      <w:tr>
        <w:trPr>
          <w:trHeight w:val="195"/>
        </w:trPr>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17"/>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80" w:type="dxa"/>
            <w:vAlign w:val="bottom"/>
          </w:tcPr>
          <w:p>
            <w:pPr>
              <w:jc w:val="right"/>
              <w:ind w:right="337"/>
              <w:spacing w:after="0"/>
              <w:rPr>
                <w:sz w:val="20"/>
                <w:szCs w:val="20"/>
                <w:color w:val="auto"/>
              </w:rPr>
            </w:pPr>
            <w:r>
              <w:rPr>
                <w:rFonts w:ascii="Arial" w:cs="Arial" w:eastAsia="Arial" w:hAnsi="Arial"/>
                <w:sz w:val="15"/>
                <w:szCs w:val="15"/>
                <w:b w:val="1"/>
                <w:bCs w:val="1"/>
                <w:color w:val="auto"/>
              </w:rPr>
              <w:t>NGL</w:t>
            </w:r>
          </w:p>
        </w:tc>
      </w:tr>
      <w:tr>
        <w:trPr>
          <w:trHeight w:val="212"/>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494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553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17"/>
        </w:trPr>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24"/>
                <w:szCs w:val="24"/>
                <w:color w:val="auto"/>
              </w:rPr>
            </w:pPr>
          </w:p>
        </w:tc>
        <w:tc>
          <w:tcPr>
            <w:tcW w:w="22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0"/>
              </w:rPr>
              <w:t>June 30, 2022</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0"/>
              </w:rPr>
              <w:t>June 30, 2021</w:t>
            </w:r>
          </w:p>
        </w:tc>
        <w:tc>
          <w:tcPr>
            <w:tcW w:w="780" w:type="dxa"/>
            <w:vAlign w:val="bottom"/>
            <w:tcBorders>
              <w:bottom w:val="single" w:sz="8" w:color="auto"/>
            </w:tcBorders>
          </w:tcPr>
          <w:p>
            <w:pPr>
              <w:spacing w:after="0"/>
              <w:rPr>
                <w:sz w:val="16"/>
                <w:szCs w:val="16"/>
                <w:color w:val="auto"/>
              </w:rPr>
            </w:pPr>
          </w:p>
        </w:tc>
      </w:tr>
      <w:tr>
        <w:trPr>
          <w:trHeight w:val="195"/>
        </w:trPr>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17"/>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80" w:type="dxa"/>
            <w:vAlign w:val="bottom"/>
          </w:tcPr>
          <w:p>
            <w:pPr>
              <w:jc w:val="right"/>
              <w:ind w:right="337"/>
              <w:spacing w:after="0"/>
              <w:rPr>
                <w:sz w:val="20"/>
                <w:szCs w:val="20"/>
                <w:color w:val="auto"/>
              </w:rPr>
            </w:pPr>
            <w:r>
              <w:rPr>
                <w:rFonts w:ascii="Arial" w:cs="Arial" w:eastAsia="Arial" w:hAnsi="Arial"/>
                <w:sz w:val="15"/>
                <w:szCs w:val="15"/>
                <w:b w:val="1"/>
                <w:bCs w:val="1"/>
                <w:color w:val="auto"/>
              </w:rPr>
              <w:t>NGL</w:t>
            </w:r>
          </w:p>
        </w:tc>
      </w:tr>
      <w:tr>
        <w:trPr>
          <w:trHeight w:val="212"/>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1,027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248920</wp:posOffset>
            </wp:positionV>
            <wp:extent cx="2459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440" w:right="100" w:hanging="332"/>
        <w:spacing w:after="0" w:line="204" w:lineRule="auto"/>
        <w:tabs>
          <w:tab w:leader="none" w:pos="428" w:val="left"/>
        </w:tabs>
        <w:numPr>
          <w:ilvl w:val="0"/>
          <w:numId w:val="17"/>
        </w:numPr>
        <w:rPr>
          <w:rFonts w:ascii="Arial" w:cs="Arial" w:eastAsia="Arial" w:hAnsi="Arial"/>
          <w:sz w:val="26"/>
          <w:szCs w:val="26"/>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natural gas storage facilities previously included in our Crude Oil segment. Note: The natural gas storage business captured one-time benefits from Winter Storm Uri in the first quarter 2021.</w:t>
      </w:r>
    </w:p>
    <w:p>
      <w:pPr>
        <w:spacing w:after="0" w:line="149" w:lineRule="exact"/>
        <w:rPr>
          <w:rFonts w:ascii="Arial" w:cs="Arial" w:eastAsia="Arial" w:hAnsi="Arial"/>
          <w:sz w:val="26"/>
          <w:szCs w:val="26"/>
          <w:color w:val="auto"/>
          <w:vertAlign w:val="superscript"/>
        </w:rPr>
      </w:pPr>
    </w:p>
    <w:p>
      <w:pPr>
        <w:ind w:left="5540" w:hanging="106"/>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 ATTRIBUTABLE</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TO PAGP</w:t>
            </w:r>
          </w:p>
        </w:tc>
        <w:tc>
          <w:tcPr>
            <w:tcW w:w="2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PAGP</w:t>
            </w:r>
          </w:p>
        </w:tc>
        <w:tc>
          <w:tcPr>
            <w:tcW w:w="2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11"/>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3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4"/>
        </w:trPr>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Class A share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77" w:lineRule="exact"/>
        <w:rPr>
          <w:sz w:val="20"/>
          <w:szCs w:val="20"/>
          <w:color w:val="auto"/>
        </w:rPr>
      </w:pPr>
    </w:p>
    <w:p>
      <w:pPr>
        <w:ind w:left="340" w:right="280" w:hanging="332"/>
        <w:spacing w:after="0" w:line="224" w:lineRule="auto"/>
        <w:tabs>
          <w:tab w:leader="none" w:pos="334"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For each of the three and six months ended June 30, 2022 and 2021, the possible exchange of AAP units and AAP Management units would not have had a dilutive effect on basic net income/(loss)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0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120" w:hanging="328"/>
        <w:spacing w:after="0" w:line="259" w:lineRule="auto"/>
        <w:tabs>
          <w:tab w:leader="none" w:pos="655" w:val="left"/>
        </w:tabs>
        <w:numPr>
          <w:ilvl w:val="0"/>
          <w:numId w:val="22"/>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119" w:lineRule="exact"/>
        <w:rPr>
          <w:rFonts w:ascii="Arial" w:cs="Arial" w:eastAsia="Arial" w:hAnsi="Arial"/>
          <w:sz w:val="21"/>
          <w:szCs w:val="21"/>
          <w:color w:val="auto"/>
        </w:rPr>
      </w:pPr>
    </w:p>
    <w:p>
      <w:pPr>
        <w:ind w:left="660" w:right="120" w:hanging="328"/>
        <w:spacing w:after="0" w:line="261" w:lineRule="auto"/>
        <w:tabs>
          <w:tab w:leader="none" w:pos="655" w:val="left"/>
        </w:tabs>
        <w:numPr>
          <w:ilvl w:val="0"/>
          <w:numId w:val="22"/>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9" w:lineRule="exact"/>
        <w:rPr>
          <w:rFonts w:ascii="Arial" w:cs="Arial" w:eastAsia="Arial" w:hAnsi="Arial"/>
          <w:sz w:val="21"/>
          <w:szCs w:val="21"/>
          <w:color w:val="auto"/>
        </w:rPr>
      </w:pPr>
    </w:p>
    <w:p>
      <w:pPr>
        <w:ind w:left="660" w:right="30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34" w:lineRule="exact"/>
        <w:rPr>
          <w:rFonts w:ascii="Arial" w:cs="Arial" w:eastAsia="Arial" w:hAnsi="Arial"/>
          <w:sz w:val="22"/>
          <w:szCs w:val="22"/>
          <w:color w:val="auto"/>
        </w:rPr>
      </w:pPr>
    </w:p>
    <w:p>
      <w:pPr>
        <w:ind w:left="660" w:right="100" w:hanging="328"/>
        <w:spacing w:after="0" w:line="297" w:lineRule="auto"/>
        <w:tabs>
          <w:tab w:leader="none" w:pos="655" w:val="left"/>
        </w:tabs>
        <w:numPr>
          <w:ilvl w:val="0"/>
          <w:numId w:val="22"/>
        </w:numPr>
        <w:rPr>
          <w:rFonts w:ascii="Arial" w:cs="Arial" w:eastAsia="Arial" w:hAnsi="Arial"/>
          <w:sz w:val="19"/>
          <w:szCs w:val="19"/>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82" w:lineRule="exact"/>
        <w:rPr>
          <w:rFonts w:ascii="Arial" w:cs="Arial" w:eastAsia="Arial" w:hAnsi="Arial"/>
          <w:sz w:val="19"/>
          <w:szCs w:val="19"/>
          <w:color w:val="auto"/>
        </w:rPr>
      </w:pPr>
    </w:p>
    <w:p>
      <w:pPr>
        <w:ind w:left="660" w:right="180" w:hanging="328"/>
        <w:spacing w:after="0" w:line="251" w:lineRule="auto"/>
        <w:tabs>
          <w:tab w:leader="none" w:pos="655" w:val="left"/>
        </w:tabs>
        <w:numPr>
          <w:ilvl w:val="0"/>
          <w:numId w:val="22"/>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82" w:lineRule="exact"/>
        <w:rPr>
          <w:sz w:val="20"/>
          <w:szCs w:val="20"/>
          <w:color w:val="auto"/>
        </w:rPr>
      </w:pPr>
    </w:p>
    <w:p>
      <w:pPr>
        <w:ind w:left="660" w:right="70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right="20" w:hanging="328"/>
        <w:spacing w:after="0" w:line="285"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7" w:lineRule="exact"/>
        <w:rPr>
          <w:rFonts w:ascii="Arial" w:cs="Arial" w:eastAsia="Arial" w:hAnsi="Arial"/>
          <w:sz w:val="19"/>
          <w:szCs w:val="19"/>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loss of key personnel and inability to attract and retain new talent;</w:t>
      </w:r>
    </w:p>
    <w:p>
      <w:pPr>
        <w:spacing w:after="0" w:line="134"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80" w:hanging="328"/>
        <w:spacing w:after="0" w:line="297"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12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34" w:lineRule="exact"/>
        <w:rPr>
          <w:rFonts w:ascii="Arial" w:cs="Arial" w:eastAsia="Arial" w:hAnsi="Arial"/>
          <w:sz w:val="22"/>
          <w:szCs w:val="22"/>
          <w:color w:val="auto"/>
        </w:rPr>
      </w:pPr>
    </w:p>
    <w:p>
      <w:pPr>
        <w:ind w:left="660" w:right="60" w:hanging="328"/>
        <w:spacing w:after="0" w:line="284"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ind w:left="660" w:hanging="328"/>
        <w:spacing w:after="0" w:line="297"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500" w:hanging="328"/>
        <w:spacing w:after="0" w:line="23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27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3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80"/>
      </w:cols>
      <w:pgMar w:left="320" w:top="3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lvl w:ilvl="1">
      <w:lvlJc w:val="left"/>
      <w:lvlText w:val="-"/>
      <w:numFmt w:val="bullet"/>
      <w:start w:val="1"/>
    </w:lvl>
  </w:abstractNum>
  <w:abstractNum w:abstractNumId="8">
    <w:nsid w:val="4E6AFB66"/>
    <w:multiLevelType w:val="hybridMultilevel"/>
    <w:lvl w:ilvl="0">
      <w:lvlJc w:val="left"/>
      <w:lvlText w:val="(%1)"/>
      <w:numFmt w:val="decimal"/>
      <w:start w:val="1"/>
    </w:lvl>
    <w:lvl w:ilvl="1">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1)"/>
      <w:numFmt w:val="decimal"/>
      <w:start w:val="1"/>
    </w:lvl>
    <w:lvl w:ilvl="1">
      <w:lvlJc w:val="left"/>
      <w:lvlText w:val="-"/>
      <w:numFmt w:val="bullet"/>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lvl w:ilvl="1">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2022-08-03T16:12:40Z</dcterms:created>
  <dcterms:modified xsi:type="dcterms:W3CDTF">2022-08-03T16:12:40Z</dcterms:modified>
</cp:coreProperties>
</file>