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94"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PAA GP Holdings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1600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jc w:val="right"/>
              <w:spacing w:after="0"/>
              <w:rPr>
                <w:sz w:val="20"/>
                <w:szCs w:val="20"/>
                <w:color w:val="auto"/>
              </w:rPr>
            </w:pPr>
            <w:r>
              <w:rPr>
                <w:rFonts w:ascii="Arial" w:cs="Arial" w:eastAsia="Arial" w:hAnsi="Arial"/>
                <w:sz w:val="13"/>
                <w:szCs w:val="13"/>
                <w:color w:val="auto"/>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5440" w:type="dxa"/>
            <w:vAlign w:val="bottom"/>
            <w:gridSpan w:val="6"/>
          </w:tcPr>
          <w:p>
            <w:pPr>
              <w:spacing w:after="0" w:line="213"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PLAINS ALL AMERICAN PIPELINE LP  </w:t>
              </w:r>
            </w:hyperlink>
            <w:r>
              <w:rPr>
                <w:rFonts w:ascii="Arial" w:cs="Arial" w:eastAsia="Arial" w:hAnsi="Arial"/>
                <w:sz w:val="24"/>
                <w:szCs w:val="24"/>
                <w:color w:val="000000"/>
                <w:vertAlign w:val="superscript"/>
              </w:rPr>
              <w:t>(Check</w:t>
            </w:r>
            <w:r>
              <w:rPr>
                <w:rFonts w:ascii="Times New Roman" w:cs="Times New Roman" w:eastAsia="Times New Roman" w:hAnsi="Times New Roman"/>
                <w:sz w:val="20"/>
                <w:szCs w:val="20"/>
                <w:color w:val="0000EE"/>
              </w:rPr>
              <w:t xml:space="preserve"> </w:t>
            </w:r>
            <w:r>
              <w:rPr>
                <w:rFonts w:ascii="Arial" w:cs="Arial" w:eastAsia="Arial" w:hAnsi="Arial"/>
                <w:sz w:val="24"/>
                <w:szCs w:val="24"/>
                <w:color w:val="000000"/>
                <w:vertAlign w:val="superscript"/>
              </w:rPr>
              <w:t>all applicable)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Times New Roman" w:cs="Times New Roman" w:eastAsia="Times New Roman" w:hAnsi="Times New Roman"/>
                <w:sz w:val="3"/>
                <w:szCs w:val="3"/>
                <w:color w:val="auto"/>
              </w:rPr>
            </w:pPr>
            <w:hyperlink r:id="rId13">
              <w:r>
                <w:rPr>
                  <w:rFonts w:ascii="Times New Roman" w:cs="Times New Roman" w:eastAsia="Times New Roman" w:hAnsi="Times New Roman"/>
                  <w:sz w:val="3"/>
                  <w:szCs w:val="3"/>
                  <w:color w:val="auto"/>
                </w:rPr>
                <w:t xml:space="preserve">[ </w:t>
              </w:r>
              <w:r>
                <w:rPr>
                  <w:rFonts w:ascii="Times New Roman" w:cs="Times New Roman" w:eastAsia="Times New Roman" w:hAnsi="Times New Roman"/>
                  <w:sz w:val="3"/>
                  <w:szCs w:val="3"/>
                  <w:color w:val="0000FF"/>
                </w:rPr>
                <w:t>PAA</w:t>
              </w:r>
              <w:r>
                <w:rPr>
                  <w:rFonts w:ascii="Times New Roman" w:cs="Times New Roman" w:eastAsia="Times New Roman" w:hAnsi="Times New Roman"/>
                  <w:sz w:val="3"/>
                  <w:szCs w:val="3"/>
                  <w:color w:val="auto"/>
                </w:rPr>
                <w:t xml:space="preserve"> ]</w:t>
              </w:r>
            </w:hyperlink>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80"/>
              <w:spacing w:after="0" w:line="27" w:lineRule="exact"/>
              <w:rPr>
                <w:sz w:val="20"/>
                <w:szCs w:val="20"/>
                <w:color w:val="auto"/>
              </w:rPr>
            </w:pPr>
            <w:r>
              <w:rPr>
                <w:rFonts w:ascii="Times New Roman" w:cs="Times New Roman" w:eastAsia="Times New Roman" w:hAnsi="Times New Roman"/>
                <w:sz w:val="3"/>
                <w:szCs w:val="3"/>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tcPr>
          <w:p>
            <w:pPr>
              <w:ind w:left="140"/>
              <w:spacing w:after="0" w:line="27" w:lineRule="exact"/>
              <w:rPr>
                <w:sz w:val="20"/>
                <w:szCs w:val="20"/>
                <w:color w:val="auto"/>
              </w:rPr>
            </w:pPr>
            <w:r>
              <w:rPr>
                <w:rFonts w:ascii="Times New Roman" w:cs="Times New Roman" w:eastAsia="Times New Roman" w:hAnsi="Times New Roman"/>
                <w:sz w:val="3"/>
                <w:szCs w:val="3"/>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8"/>
                <w:szCs w:val="18"/>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5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ind w:left="100"/>
              <w:spacing w:after="0" w:line="113" w:lineRule="exact"/>
              <w:rPr>
                <w:sz w:val="20"/>
                <w:szCs w:val="20"/>
                <w:color w:val="auto"/>
              </w:rPr>
            </w:pPr>
            <w:r>
              <w:rPr>
                <w:rFonts w:ascii="Arial" w:cs="Arial" w:eastAsia="Arial" w:hAnsi="Arial"/>
                <w:sz w:val="13"/>
                <w:szCs w:val="13"/>
                <w:color w:val="auto"/>
              </w:rPr>
              <w:t>below)</w:t>
            </w:r>
          </w:p>
        </w:tc>
        <w:tc>
          <w:tcPr>
            <w:tcW w:w="360" w:type="dxa"/>
            <w:vAlign w:val="bottom"/>
          </w:tcPr>
          <w:p>
            <w:pPr>
              <w:spacing w:after="0"/>
              <w:rPr>
                <w:sz w:val="12"/>
                <w:szCs w:val="12"/>
                <w:color w:val="auto"/>
              </w:rPr>
            </w:pPr>
          </w:p>
        </w:tc>
        <w:tc>
          <w:tcPr>
            <w:tcW w:w="1240" w:type="dxa"/>
            <w:vAlign w:val="bottom"/>
          </w:tcPr>
          <w:p>
            <w:pPr>
              <w:ind w:left="1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08/12/2022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5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jc w:val="right"/>
              <w:spacing w:after="0"/>
              <w:rPr>
                <w:sz w:val="20"/>
                <w:szCs w:val="20"/>
                <w:color w:val="auto"/>
              </w:rPr>
            </w:pPr>
            <w:r>
              <w:rPr>
                <w:rFonts w:ascii="Arial" w:cs="Arial" w:eastAsia="Arial" w:hAnsi="Arial"/>
                <w:sz w:val="13"/>
                <w:szCs w:val="13"/>
                <w:color w:val="auto"/>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23" w:lineRule="exact"/>
        <w:rPr>
          <w:sz w:val="20"/>
          <w:szCs w:val="20"/>
          <w:color w:val="auto"/>
        </w:rPr>
      </w:pPr>
    </w:p>
    <w:p>
      <w:pPr>
        <w:sectPr>
          <w:pgSz w:w="11900" w:h="16894"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3"/>
                <w:szCs w:val="13"/>
                <w:color w:val="auto"/>
              </w:rPr>
            </w:pP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8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Units (Limited Partner Interests)</w:t>
            </w:r>
          </w:p>
        </w:tc>
        <w:tc>
          <w:tcPr>
            <w:tcW w:w="10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0000FF"/>
              </w:rPr>
              <w:t>08/12/2022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35,715</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18"/>
                <w:szCs w:val="18"/>
                <w:color w:val="auto"/>
              </w:rPr>
            </w:pPr>
          </w:p>
        </w:tc>
        <w:tc>
          <w:tcPr>
            <w:tcW w:w="540" w:type="dxa"/>
            <w:vAlign w:val="bottom"/>
            <w:gridSpan w:val="3"/>
            <w:vMerge w:val="restart"/>
          </w:tcPr>
          <w:p>
            <w:pPr>
              <w:jc w:val="right"/>
              <w:ind w:right="80"/>
              <w:spacing w:after="0" w:line="388"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241,508,935</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Plains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gridSpan w:val="7"/>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AAP,</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gridSpan w:val="18"/>
          </w:tcPr>
          <w:p>
            <w:pPr>
              <w:ind w:left="2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6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PAA GP Holdings LLC</w:t>
              </w:r>
            </w:hyperlink>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333 CLAY STREET</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1600</w:t>
            </w: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77002</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520" w:type="dxa"/>
            <w:vAlign w:val="bottom"/>
          </w:tcPr>
          <w:p>
            <w:pPr>
              <w:ind w:left="240"/>
              <w:spacing w:after="0"/>
              <w:rPr>
                <w:sz w:val="20"/>
                <w:szCs w:val="20"/>
                <w:color w:val="auto"/>
              </w:rPr>
            </w:pPr>
            <w:r>
              <w:rPr>
                <w:rFonts w:ascii="Arial" w:cs="Arial" w:eastAsia="Arial" w:hAnsi="Arial"/>
                <w:sz w:val="13"/>
                <w:szCs w:val="13"/>
                <w:color w:val="auto"/>
                <w:w w:val="97"/>
              </w:rPr>
              <w:t>(Zip)</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Plains AAP, L.P.</w:t>
              </w:r>
            </w:hyperlink>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333 CLAY STREET</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1600</w:t>
            </w: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77002</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520" w:type="dxa"/>
            <w:vAlign w:val="bottom"/>
          </w:tcPr>
          <w:p>
            <w:pPr>
              <w:ind w:left="240"/>
              <w:spacing w:after="0"/>
              <w:rPr>
                <w:sz w:val="20"/>
                <w:szCs w:val="20"/>
                <w:color w:val="auto"/>
              </w:rPr>
            </w:pPr>
            <w:r>
              <w:rPr>
                <w:rFonts w:ascii="Arial" w:cs="Arial" w:eastAsia="Arial" w:hAnsi="Arial"/>
                <w:sz w:val="13"/>
                <w:szCs w:val="13"/>
                <w:color w:val="auto"/>
                <w:w w:val="97"/>
              </w:rPr>
              <w:t>(Zip)</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Plains All American GP LLC</w:t>
        </w:r>
      </w:hyperlink>
    </w:p>
    <w:p>
      <w:pPr>
        <w:sectPr>
          <w:pgSz w:w="11900" w:h="16894"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94"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948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948940"/>
                    </a:xfrm>
                    <a:prstGeom prst="rect">
                      <a:avLst/>
                    </a:prstGeom>
                    <a:noFill/>
                  </pic:spPr>
                </pic:pic>
              </a:graphicData>
            </a:graphic>
          </wp:anchor>
        </w:drawing>
        <w:t>333 CLAY STREET</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1600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3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6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52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PLAINS GP HOLDINGS LP</w:t>
              </w:r>
            </w:hyperlink>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333 CLAY STREET</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1600</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3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that certain Omnibus Agreement (the "Omnibus Agreement") dated November 15, 2016, by and among PAA GP Holdings LLC ("PAGP GP"), Plains GP Holdings, L.P. ("PAGP"), Plains All American GP LLC ("GP LLC"), Plains AAP, L.P. ("AAP"), PAA GP LLC and Plains All American Pipeline, L.P. ("PAA"), AAP is obligated to issue to PAGP a number of AAP Class A units equal to the number of PAGP Class A shares issued upon vesting of awards under PAGP's long-term incentive plan. The Omnibus Agreement also provides that immediately following such issuance, PAA is obligated to issue to AAP an equivalent number of PAA Common Units. On August 12, 2022, a total of 35,715 PAGP Class A shares were issued in connection with the vesting of outstanding LTIP awards under PAGP's long-term incentive plan. An equal number of AAP Class A units was issued to PAGP and an equal number of PAA Common Units was issued to AAP.</w:t>
      </w:r>
    </w:p>
    <w:p>
      <w:pPr>
        <w:spacing w:after="0" w:line="26" w:lineRule="exact"/>
        <w:rPr>
          <w:rFonts w:ascii="Times New Roman" w:cs="Times New Roman" w:eastAsia="Times New Roman" w:hAnsi="Times New Roman"/>
          <w:sz w:val="13"/>
          <w:szCs w:val="13"/>
          <w:color w:val="008000"/>
        </w:rPr>
      </w:pPr>
    </w:p>
    <w:p>
      <w:pPr>
        <w:ind w:left="20" w:right="4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spacing w:after="0" w:line="2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Ann F. Gullion, Assistant</w:t>
            </w:r>
          </w:p>
        </w:tc>
        <w:tc>
          <w:tcPr>
            <w:tcW w:w="12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08/16/2022</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Secretary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92"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6" Type="http://schemas.openxmlformats.org/officeDocument/2006/relationships/hyperlink" Target="http://www.sec.gov/cgi-bin/browse-edgar?action=getcompany&amp;CIK=0001490402" TargetMode="External"/><Relationship Id="rId18"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2022-08-16T15:38:32Z</dcterms:created>
  <dcterms:modified xsi:type="dcterms:W3CDTF">2022-08-16T15:38:32Z</dcterms:modified>
</cp:coreProperties>
</file>