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8,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349250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238125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8, 2017, the Registrant issued a press release reporting its first-quarter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99.1 — Press Release dated May 8, 2017</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8360" w:type="dxa"/>
            <w:vAlign w:val="bottom"/>
            <w:gridSpan w:val="3"/>
          </w:tcPr>
          <w:p>
            <w:pPr>
              <w:ind w:left="1660"/>
              <w:spacing w:after="0"/>
              <w:rPr>
                <w:sz w:val="20"/>
                <w:szCs w:val="20"/>
                <w:color w:val="auto"/>
              </w:rPr>
            </w:pPr>
            <w:r>
              <w:rPr>
                <w:rFonts w:ascii="Arial" w:cs="Arial" w:eastAsia="Arial" w:hAnsi="Arial"/>
                <w:sz w:val="18"/>
                <w:szCs w:val="18"/>
                <w:color w:val="auto"/>
              </w:rPr>
              <w:t>PLAINS ALL AMERICAN PIPELINE, L.P.</w:t>
            </w:r>
          </w:p>
        </w:tc>
      </w:tr>
      <w:tr>
        <w:trPr>
          <w:trHeight w:val="594"/>
        </w:trPr>
        <w:tc>
          <w:tcPr>
            <w:tcW w:w="3020" w:type="dxa"/>
            <w:vAlign w:val="bottom"/>
          </w:tcPr>
          <w:p>
            <w:pPr>
              <w:spacing w:after="0"/>
              <w:rPr>
                <w:sz w:val="24"/>
                <w:szCs w:val="24"/>
                <w:color w:val="auto"/>
              </w:rPr>
            </w:pPr>
          </w:p>
        </w:tc>
        <w:tc>
          <w:tcPr>
            <w:tcW w:w="8360" w:type="dxa"/>
            <w:vAlign w:val="bottom"/>
            <w:gridSpan w:val="3"/>
          </w:tcPr>
          <w:p>
            <w:pPr>
              <w:ind w:left="1660"/>
              <w:spacing w:after="0"/>
              <w:rPr>
                <w:sz w:val="20"/>
                <w:szCs w:val="20"/>
                <w:color w:val="auto"/>
              </w:rPr>
            </w:pPr>
            <w:r>
              <w:rPr>
                <w:rFonts w:ascii="Arial" w:cs="Arial" w:eastAsia="Arial" w:hAnsi="Arial"/>
                <w:sz w:val="18"/>
                <w:szCs w:val="18"/>
                <w:color w:val="auto"/>
              </w:rPr>
              <w:t>By:  PAA GP LLC, its general partner</w:t>
            </w:r>
          </w:p>
        </w:tc>
      </w:tr>
      <w:tr>
        <w:trPr>
          <w:trHeight w:val="594"/>
        </w:trPr>
        <w:tc>
          <w:tcPr>
            <w:tcW w:w="3020" w:type="dxa"/>
            <w:vAlign w:val="bottom"/>
          </w:tcPr>
          <w:p>
            <w:pPr>
              <w:spacing w:after="0"/>
              <w:rPr>
                <w:sz w:val="24"/>
                <w:szCs w:val="24"/>
                <w:color w:val="auto"/>
              </w:rPr>
            </w:pPr>
          </w:p>
        </w:tc>
        <w:tc>
          <w:tcPr>
            <w:tcW w:w="8360" w:type="dxa"/>
            <w:vAlign w:val="bottom"/>
            <w:gridSpan w:val="3"/>
          </w:tcPr>
          <w:p>
            <w:pPr>
              <w:ind w:left="1660"/>
              <w:spacing w:after="0"/>
              <w:rPr>
                <w:sz w:val="20"/>
                <w:szCs w:val="20"/>
                <w:color w:val="auto"/>
              </w:rPr>
            </w:pPr>
            <w:r>
              <w:rPr>
                <w:rFonts w:ascii="Arial" w:cs="Arial" w:eastAsia="Arial" w:hAnsi="Arial"/>
                <w:sz w:val="18"/>
                <w:szCs w:val="18"/>
                <w:color w:val="auto"/>
              </w:rPr>
              <w:t>By:  PLAINS AAP, L.P., its sole member</w:t>
            </w:r>
          </w:p>
        </w:tc>
      </w:tr>
      <w:tr>
        <w:trPr>
          <w:trHeight w:val="594"/>
        </w:trPr>
        <w:tc>
          <w:tcPr>
            <w:tcW w:w="3020" w:type="dxa"/>
            <w:vAlign w:val="bottom"/>
          </w:tcPr>
          <w:p>
            <w:pPr>
              <w:spacing w:after="0"/>
              <w:rPr>
                <w:sz w:val="24"/>
                <w:szCs w:val="24"/>
                <w:color w:val="auto"/>
              </w:rPr>
            </w:pPr>
          </w:p>
        </w:tc>
        <w:tc>
          <w:tcPr>
            <w:tcW w:w="8360" w:type="dxa"/>
            <w:vAlign w:val="bottom"/>
            <w:gridSpan w:val="3"/>
          </w:tcPr>
          <w:p>
            <w:pPr>
              <w:ind w:left="1660"/>
              <w:spacing w:after="0"/>
              <w:rPr>
                <w:sz w:val="20"/>
                <w:szCs w:val="20"/>
                <w:color w:val="auto"/>
              </w:rPr>
            </w:pPr>
            <w:r>
              <w:rPr>
                <w:rFonts w:ascii="Arial" w:cs="Arial" w:eastAsia="Arial" w:hAnsi="Arial"/>
                <w:sz w:val="18"/>
                <w:szCs w:val="18"/>
                <w:color w:val="auto"/>
              </w:rPr>
              <w:t>By:  PLAINS ALL AMERICAN GP LLC, its general partner</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Date: May 8, 2017</w:t>
            </w:r>
          </w:p>
        </w:tc>
        <w:tc>
          <w:tcPr>
            <w:tcW w:w="8360" w:type="dxa"/>
            <w:vAlign w:val="bottom"/>
            <w:gridSpan w:val="3"/>
          </w:tcPr>
          <w:p>
            <w:pPr>
              <w:ind w:left="1660"/>
              <w:spacing w:after="0"/>
              <w:rPr>
                <w:sz w:val="20"/>
                <w:szCs w:val="20"/>
                <w:color w:val="auto"/>
              </w:rPr>
            </w:pPr>
            <w:r>
              <w:rPr>
                <w:rFonts w:ascii="Arial" w:cs="Arial" w:eastAsia="Arial" w:hAnsi="Arial"/>
                <w:sz w:val="18"/>
                <w:szCs w:val="18"/>
                <w:color w:val="auto"/>
              </w:rPr>
              <w:t>By:  /s/ Sharon Spurlin</w:t>
            </w:r>
          </w:p>
        </w:tc>
      </w:tr>
      <w:tr>
        <w:trPr>
          <w:trHeight w:val="27"/>
        </w:trPr>
        <w:tc>
          <w:tcPr>
            <w:tcW w:w="3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6"/>
              </w:rPr>
              <w:t>Name:</w:t>
            </w:r>
          </w:p>
        </w:tc>
        <w:tc>
          <w:tcPr>
            <w:tcW w:w="5760" w:type="dxa"/>
            <w:vAlign w:val="bottom"/>
          </w:tcPr>
          <w:p>
            <w:pPr>
              <w:ind w:left="320"/>
              <w:spacing w:after="0"/>
              <w:rPr>
                <w:sz w:val="20"/>
                <w:szCs w:val="20"/>
                <w:color w:val="auto"/>
              </w:rPr>
            </w:pPr>
            <w:r>
              <w:rPr>
                <w:rFonts w:ascii="Arial" w:cs="Arial" w:eastAsia="Arial" w:hAnsi="Arial"/>
                <w:sz w:val="18"/>
                <w:szCs w:val="18"/>
                <w:color w:val="auto"/>
              </w:rPr>
              <w:t>Sharon Spurlin</w:t>
            </w:r>
          </w:p>
        </w:tc>
      </w:tr>
      <w:tr>
        <w:trPr>
          <w:trHeight w:val="270"/>
        </w:trPr>
        <w:tc>
          <w:tcPr>
            <w:tcW w:w="3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Title:</w:t>
            </w:r>
          </w:p>
        </w:tc>
        <w:tc>
          <w:tcPr>
            <w:tcW w:w="5760" w:type="dxa"/>
            <w:vAlign w:val="bottom"/>
          </w:tcPr>
          <w:p>
            <w:pPr>
              <w:ind w:left="320"/>
              <w:spacing w:after="0"/>
              <w:rPr>
                <w:sz w:val="20"/>
                <w:szCs w:val="20"/>
                <w:color w:val="auto"/>
              </w:rPr>
            </w:pPr>
            <w:r>
              <w:rPr>
                <w:rFonts w:ascii="Arial" w:cs="Arial" w:eastAsia="Arial" w:hAnsi="Arial"/>
                <w:sz w:val="18"/>
                <w:szCs w:val="18"/>
                <w:i w:val="1"/>
                <w:iCs w:val="1"/>
                <w:color w:val="auto"/>
              </w:rPr>
              <w:t>Vice President and Treasurer</w:t>
            </w:r>
          </w:p>
        </w:tc>
      </w:tr>
      <w:tr>
        <w:trPr>
          <w:trHeight w:val="702"/>
        </w:trPr>
        <w:tc>
          <w:tcPr>
            <w:tcW w:w="3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60" w:type="dxa"/>
            <w:vAlign w:val="bottom"/>
          </w:tcPr>
          <w:p>
            <w:pPr>
              <w:jc w:val="right"/>
              <w:ind w:right="5570"/>
              <w:spacing w:after="0"/>
              <w:rPr>
                <w:sz w:val="20"/>
                <w:szCs w:val="20"/>
                <w:color w:val="auto"/>
              </w:rPr>
            </w:pPr>
            <w:r>
              <w:rPr>
                <w:rFonts w:ascii="Arial" w:cs="Arial" w:eastAsia="Arial" w:hAnsi="Arial"/>
                <w:sz w:val="18"/>
                <w:szCs w:val="18"/>
                <w:color w:val="auto"/>
                <w:w w:val="79"/>
              </w:rPr>
              <w:t>3</w:t>
            </w:r>
          </w:p>
        </w:tc>
      </w:tr>
    </w:tbl>
    <w:p>
      <w:pPr>
        <w:sectPr>
          <w:pgSz w:w="11900" w:h="16838" w:orient="portrait"/>
          <w:cols w:equalWidth="0" w:num="1">
            <w:col w:w="11420"/>
          </w:cols>
          <w:pgMar w:left="240" w:top="66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Updates 2017 Full-Year Guidance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(Houston — May 8, 2017) Plains All American Pipeline, L.P. (NYSE: PAA) and Plains GP Holdings (NYSE: PAGP) today reported first-quarter 2017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8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22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27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729 %</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6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8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been recast to conform to certain changes made in the fourth quarter of 2016.</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first quarter results reflect in-line performance from our fee-based Transportation and Facilities segments as well as our margin-based crude oil marketing activities, but were adversely impacted by weaker than anticipated performance from our NGL marketing activities, which are included in our Supply and Logistics segment,” said Greg Armstrong, Chairman and CEO. “NGL margins were negatively impacted by warmer weather and tighter differentials between Canada and our US demand markets among other factors. To address these issues in future periods, we are modifying the way we manage our inventory and implementing contractual provisions that will reduce earnings volatility and the quantity of seasonal NGL inventory we store, in exchange for partially limiting our upside potential.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February, we shared our view that the first six to nine months of the current year would prove challenging but that we expected to see strong improvement toward the end of 2017 as several multi-year capital projects are completed and volume growth in the Permian advances. Although our cautious outlook for the near term is proving accurate, we definitely like the way the industry is shaping up for the latter part of 2017 and beyond.</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“Producer activity levels in almost every area are ahead of levels included in our outlook at the beginning of the year, especially with respect to the Permian Basin. Well productivity is increasing as new wells are coming in stronger than previously modeled. Our outlook continues to incorporate an increasing time lag between increased drilling activity and increased production volumes as producers shift to multi-well pad operations. Accordingly, we continue to expect our transportation volumes to ramp up in the second half of this year.</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“Consistent with our outlook, we are seeing increased interest from potential shippers for pipeline space currently available on our existing assets as well as for incremental pipeline capacity at rates that provide us an attractive return. All of this reinforces our outlook and confidence in a back-end weighted improvement during 2017 in our fee based growth and that we remain on-course for a meaningful increase in year-over-year performance in 2018 and beyond.”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first quarter of 2017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00" w:hanging="332"/>
        <w:spacing w:after="0" w:line="226"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and also modified our definition of adjusted EBITDA to exclude our proportionate share of depreciation and amortization expense associated with equity method investments. Prior period segment amounts have been recast to reflect these changes.</w:t>
      </w:r>
    </w:p>
    <w:p>
      <w:pPr>
        <w:spacing w:after="0" w:line="20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First-quarter 2017 Transportation segment adjusted EBITDA decreased by 3% versus comparable 2016 results. This decrease was primarily driven by the impact of non-core asset sales and other volume decreases in the Rocky Mountain region primarily associated with pipeline downtime. These decreases were partially offset by increases on certain of our Permian Basin pipelines due largely to increased Delaware Basin production impacting our Basin pipeline and contributions from our Alpha Crude Connector gathering system which we acquired in February 2017.</w:t>
      </w:r>
    </w:p>
    <w:p>
      <w:pPr>
        <w:spacing w:after="0" w:line="17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First-quarter 2017 Facilities segment adjusted EBITDA increased by 13% versus comparable 2016 results. This increase was primarily due to contributions from the Canadian NGL assets we acquired in August 2016, higher fees at certain of our NGL storage and fractionation facilities and contributions from ongoing expansion projects at our Fort Saskatchewan facility. These increases were partially offset by lower U.S. rail terminal activity, lower utilization of our West Coast terminals, and the impact of non-core asset sales.</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First-quarter 2017 Supply and Logistics segment adjusted EBITDA decreased by 72% relative to comparable 2016 results. This decrease was primarily driven by lower results from our NGL activities due to the impact of competition and continued margin compression, and unusually warm weather, as well as margin compression from our crude oil gathering and marketing activities caused by continued intense competition.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Full-year 2017 financial and operating guidance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Twelve Months Ended December 31,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2017 (G)</w:t>
            </w:r>
          </w:p>
        </w:tc>
        <w:tc>
          <w:tcPr>
            <w:tcW w:w="200" w:type="dxa"/>
            <w:vAlign w:val="bottom"/>
          </w:tcPr>
          <w:p>
            <w:pPr>
              <w:spacing w:after="0"/>
              <w:rPr>
                <w:sz w:val="20"/>
                <w:szCs w:val="20"/>
                <w:color w:val="auto"/>
              </w:rPr>
            </w:pPr>
          </w:p>
        </w:tc>
        <w:tc>
          <w:tcPr>
            <w:tcW w:w="126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2017 vs 2016</w:t>
            </w: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color w:val="auto"/>
              </w:rPr>
              <w:t>+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Supply and Logistics</w:t>
            </w:r>
          </w:p>
        </w:tc>
        <w:tc>
          <w:tcPr>
            <w:tcW w:w="3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304"/>
        </w:trPr>
        <w:tc>
          <w:tcPr>
            <w:tcW w:w="520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2,169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2,260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r>
      <w:tr>
        <w:trPr>
          <w:trHeight w:val="251"/>
        </w:trPr>
        <w:tc>
          <w:tcPr>
            <w:tcW w:w="520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3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5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Transportation</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Facilities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capacity (MMBbls/Mo)</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Expansion Capital</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rPr>
              <w:t>1,405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(505)</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w w:val="99"/>
              </w:rPr>
              <w:t>Second Quarter Adjusted EBITDA as Percentage of Full Year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(G) 2017 Guidance forecasts are intended to be + / - amounts.</w:t>
      </w:r>
    </w:p>
    <w:p>
      <w:pPr>
        <w:spacing w:after="0" w:line="158" w:lineRule="exact"/>
        <w:rPr>
          <w:sz w:val="20"/>
          <w:szCs w:val="20"/>
          <w:color w:val="auto"/>
        </w:rPr>
      </w:pPr>
    </w:p>
    <w:p>
      <w:pPr>
        <w:ind w:left="340" w:hanging="332"/>
        <w:spacing w:after="0" w:line="249" w:lineRule="auto"/>
        <w:tabs>
          <w:tab w:leader="none" w:pos="3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Financial Data Reconciliations table attached hereto for information regarding non-GAAP financial measures. For the historical 2015 and 2016 periods, please visit our website at www.plainsallamerican.com (in particular the section under “Financial Information” entitled “Non-GAAP Reconciliations” within the “Investor Relations” tab), for a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ind w:left="340" w:hanging="332"/>
        <w:spacing w:after="0" w:line="231" w:lineRule="auto"/>
        <w:tabs>
          <w:tab w:leader="none" w:pos="3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Q1 2017</w:t>
            </w: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Q4 2016</w:t>
            </w:r>
          </w:p>
        </w:tc>
        <w:tc>
          <w:tcPr>
            <w:tcW w:w="22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Q1 2016</w:t>
            </w:r>
          </w:p>
        </w:tc>
      </w:tr>
      <w:tr>
        <w:trPr>
          <w:trHeight w:val="3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0.62</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Q1 2017 distribution percentage change from prior periods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11:00 a.m. ET on Tuesday, May 9, 2017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first-quarter 2017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2017;</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 expansion projects;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and adjusted for certain selected items impacting comparability (“Adjusted EBITDA”) and implied distributable cash flow (“DCF”).</w:t>
      </w:r>
    </w:p>
    <w:p>
      <w:pPr>
        <w:spacing w:after="0" w:line="15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new or recently constructed infrastructure projects, which impacts volumes, margins, returns and overall earnings; unanticipated changes in crude oil market structure, grade differentials and volatility (or lack thereof); environmental liabilities or events that are not covered by an indemnity, insurance or existing reserves; maintenance of our credit rating and ability to receive open credit from our suppliers and trade counterparties;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4.7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5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5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2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5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Current income tax expense</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5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2560" w:type="dxa"/>
            <w:vAlign w:val="bottom"/>
            <w:shd w:val="clear" w:color="auto" w:fill="CCEEFF"/>
          </w:tcPr>
          <w:p>
            <w:pPr>
              <w:spacing w:after="0"/>
              <w:rPr>
                <w:sz w:val="22"/>
                <w:szCs w:val="22"/>
                <w:color w:val="auto"/>
              </w:rPr>
            </w:pPr>
          </w:p>
        </w:tc>
        <w:tc>
          <w:tcPr>
            <w:tcW w:w="2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allocated to common unitholders — Basic</w:t>
            </w:r>
          </w:p>
        </w:tc>
        <w:tc>
          <w:tcPr>
            <w:tcW w:w="256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0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Basic net income per common unit</w:t>
            </w:r>
          </w:p>
        </w:tc>
        <w:tc>
          <w:tcPr>
            <w:tcW w:w="2560" w:type="dxa"/>
            <w:vAlign w:val="bottom"/>
          </w:tcPr>
          <w:p>
            <w:pPr>
              <w:spacing w:after="0"/>
              <w:rPr>
                <w:sz w:val="24"/>
                <w:szCs w:val="24"/>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1780" w:type="dxa"/>
            <w:vAlign w:val="bottom"/>
            <w:tcBorders>
              <w:top w:val="single" w:sz="8" w:color="CCEEFF"/>
            </w:tcBorders>
            <w:shd w:val="clear" w:color="auto" w:fill="CCEEFF"/>
          </w:tcPr>
          <w:p>
            <w:pPr>
              <w:spacing w:after="0"/>
              <w:rPr>
                <w:sz w:val="23"/>
                <w:szCs w:val="23"/>
                <w:color w:val="auto"/>
              </w:rPr>
            </w:pPr>
          </w:p>
        </w:tc>
        <w:tc>
          <w:tcPr>
            <w:tcW w:w="2560" w:type="dxa"/>
            <w:vAlign w:val="bottom"/>
            <w:tcBorders>
              <w:top w:val="single" w:sz="8" w:color="CCEEFF"/>
            </w:tcBorders>
            <w:shd w:val="clear" w:color="auto" w:fill="CCEEFF"/>
          </w:tcPr>
          <w:p>
            <w:pPr>
              <w:spacing w:after="0"/>
              <w:rPr>
                <w:sz w:val="23"/>
                <w:szCs w:val="23"/>
                <w:color w:val="auto"/>
              </w:rPr>
            </w:pPr>
          </w:p>
        </w:tc>
        <w:tc>
          <w:tcPr>
            <w:tcW w:w="186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w w:val="99"/>
              </w:rPr>
              <w:t>Net income allocated to common unitholders — Diluted</w:t>
            </w:r>
          </w:p>
        </w:tc>
        <w:tc>
          <w:tcPr>
            <w:tcW w:w="256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6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common unit</w:t>
            </w:r>
          </w:p>
        </w:tc>
        <w:tc>
          <w:tcPr>
            <w:tcW w:w="2560" w:type="dxa"/>
            <w:vAlign w:val="bottom"/>
          </w:tcPr>
          <w:p>
            <w:pPr>
              <w:spacing w:after="0"/>
              <w:rPr>
                <w:sz w:val="22"/>
                <w:szCs w:val="22"/>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2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0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560" w:type="dxa"/>
            <w:vAlign w:val="bottom"/>
            <w:shd w:val="clear" w:color="auto" w:fill="CCEEFF"/>
          </w:tcPr>
          <w:p>
            <w:pPr>
              <w:spacing w:after="0"/>
              <w:rPr>
                <w:sz w:val="22"/>
                <w:szCs w:val="22"/>
                <w:color w:val="auto"/>
              </w:rPr>
            </w:pPr>
          </w:p>
        </w:tc>
        <w:tc>
          <w:tcPr>
            <w:tcW w:w="2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 more -</w:t>
            </w:r>
          </w:p>
        </w:tc>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60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2560" w:type="dxa"/>
            <w:vAlign w:val="bottom"/>
          </w:tcPr>
          <w:p>
            <w:pPr>
              <w:ind w:left="340"/>
              <w:spacing w:after="0"/>
              <w:rPr>
                <w:sz w:val="20"/>
                <w:szCs w:val="20"/>
                <w:color w:val="auto"/>
              </w:rPr>
            </w:pPr>
            <w:r>
              <w:rPr>
                <w:rFonts w:ascii="Arial" w:cs="Arial" w:eastAsia="Arial" w:hAnsi="Arial"/>
                <w:sz w:val="18"/>
                <w:szCs w:val="18"/>
                <w:b w:val="1"/>
                <w:bCs w:val="1"/>
                <w:color w:val="auto"/>
              </w:rPr>
              <w:t>Houston, Texas 77002</w:t>
            </w:r>
          </w:p>
        </w:tc>
        <w:tc>
          <w:tcPr>
            <w:tcW w:w="3020" w:type="dxa"/>
            <w:vAlign w:val="bottom"/>
            <w:gridSpan w:val="3"/>
          </w:tcPr>
          <w:p>
            <w:pPr>
              <w:jc w:val="right"/>
              <w:ind w:right="211"/>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4,272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4,664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14,679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8,759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Total partners' capital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33"/>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4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9,879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10,124</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11,220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11,839</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8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10,124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2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8,816</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18,940</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book capitalization, including short-term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21,810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20,655</w:t>
            </w:r>
          </w:p>
        </w:tc>
      </w:tr>
      <w:tr>
        <w:trPr>
          <w:trHeight w:val="271"/>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jc w:val="both"/>
        <w:ind w:left="340" w:right="240" w:hanging="332"/>
        <w:spacing w:after="0" w:line="22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 of March 31, 2017 and December 31, 2016, short-term debt includes borrowings of approximately $1,307 million and $1,303 million, respectively, for short-term hedged inventory purchases and borrowings of approximately $95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90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4,324</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4,608</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Crude oil, refined products and NGL terminalling and storage (average monthly capacity in millions of barrels)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51"/>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r>
      <w:tr>
        <w:trPr>
          <w:trHeight w:val="251"/>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7"/>
        </w:trPr>
        <w:tc>
          <w:tcPr>
            <w:tcW w:w="9020" w:type="dxa"/>
            <w:vAlign w:val="bottom"/>
            <w:tcBorders>
              <w:bottom w:val="single" w:sz="8" w:color="CCEEFF"/>
            </w:tcBorders>
          </w:tcPr>
          <w:p>
            <w:pPr>
              <w:ind w:left="200"/>
              <w:spacing w:after="0" w:line="257" w:lineRule="exact"/>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5"/>
                <w:szCs w:val="25"/>
                <w:color w:val="auto"/>
                <w:vertAlign w:val="superscript"/>
              </w:rPr>
              <w:t>(3)</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264"/>
        </w:trPr>
        <w:tc>
          <w:tcPr>
            <w:tcW w:w="90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9020" w:type="dxa"/>
            <w:vAlign w:val="bottom"/>
          </w:tcPr>
          <w:p>
            <w:pPr>
              <w:ind w:left="360"/>
              <w:spacing w:after="0"/>
              <w:rPr>
                <w:sz w:val="20"/>
                <w:szCs w:val="20"/>
                <w:color w:val="auto"/>
              </w:rPr>
            </w:pPr>
            <w:r>
              <w:rPr>
                <w:rFonts w:ascii="Arial" w:cs="Arial" w:eastAsia="Arial" w:hAnsi="Arial"/>
                <w:sz w:val="18"/>
                <w:szCs w:val="18"/>
                <w:color w:val="auto"/>
              </w:rPr>
              <w:t>Supply and Logistics segment total volumes</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55"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Region includes volumes (attributable to our interest) from pipelines owned by unconsolidated entities.</w:t>
      </w:r>
    </w:p>
    <w:p>
      <w:pPr>
        <w:spacing w:after="0" w:line="56" w:lineRule="exact"/>
        <w:rPr>
          <w:rFonts w:ascii="Arial" w:cs="Arial" w:eastAsia="Arial" w:hAnsi="Arial"/>
          <w:sz w:val="24"/>
          <w:szCs w:val="24"/>
          <w:color w:val="auto"/>
          <w:vertAlign w:val="superscript"/>
        </w:rPr>
      </w:pPr>
    </w:p>
    <w:p>
      <w:pPr>
        <w:ind w:left="340" w:right="160" w:hanging="332"/>
        <w:spacing w:after="0" w:line="262"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12" w:lineRule="exact"/>
        <w:rPr>
          <w:rFonts w:ascii="Arial" w:cs="Arial" w:eastAsia="Arial" w:hAnsi="Arial"/>
          <w:sz w:val="22"/>
          <w:szCs w:val="22"/>
          <w:color w:val="auto"/>
          <w:vertAlign w:val="superscript"/>
        </w:rPr>
      </w:pPr>
    </w:p>
    <w:p>
      <w:pPr>
        <w:ind w:left="5520" w:hanging="9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0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hanging="332"/>
        <w:spacing w:after="0" w:line="273"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16" w:lineRule="exact"/>
        <w:rPr>
          <w:rFonts w:ascii="Arial" w:cs="Arial" w:eastAsia="Arial" w:hAnsi="Arial"/>
          <w:sz w:val="22"/>
          <w:szCs w:val="22"/>
          <w:color w:val="auto"/>
          <w:vertAlign w:val="superscript"/>
        </w:rPr>
      </w:pPr>
    </w:p>
    <w:p>
      <w:pPr>
        <w:ind w:left="340" w:right="2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2016 as the effect was antidilutive.</w:t>
      </w:r>
    </w:p>
    <w:p>
      <w:pPr>
        <w:spacing w:after="0" w:line="41" w:lineRule="exact"/>
        <w:rPr>
          <w:rFonts w:ascii="Arial" w:cs="Arial" w:eastAsia="Arial" w:hAnsi="Arial"/>
          <w:sz w:val="25"/>
          <w:szCs w:val="25"/>
          <w:color w:val="auto"/>
          <w:vertAlign w:val="superscript"/>
        </w:rPr>
      </w:pPr>
    </w:p>
    <w:p>
      <w:pPr>
        <w:ind w:left="340" w:hanging="332"/>
        <w:spacing w:after="0" w:line="232"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0" w:hanging="332"/>
        <w:spacing w:after="0" w:line="262"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Prior period segment amounts have been recast to reflect this change.</w:t>
      </w:r>
    </w:p>
    <w:p>
      <w:pPr>
        <w:ind w:left="340" w:hanging="332"/>
        <w:spacing w:after="0" w:line="22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intersegment amounts.</w:t>
      </w:r>
    </w:p>
    <w:p>
      <w:pPr>
        <w:spacing w:after="0" w:line="56" w:lineRule="exact"/>
        <w:rPr>
          <w:rFonts w:ascii="Arial" w:cs="Arial" w:eastAsia="Arial" w:hAnsi="Arial"/>
          <w:sz w:val="25"/>
          <w:szCs w:val="25"/>
          <w:color w:val="auto"/>
          <w:vertAlign w:val="superscript"/>
        </w:rPr>
      </w:pPr>
    </w:p>
    <w:p>
      <w:pPr>
        <w:ind w:left="340" w:right="18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41" w:lineRule="exact"/>
        <w:rPr>
          <w:rFonts w:ascii="Arial" w:cs="Arial" w:eastAsia="Arial" w:hAnsi="Arial"/>
          <w:sz w:val="25"/>
          <w:szCs w:val="25"/>
          <w:color w:val="auto"/>
          <w:vertAlign w:val="superscript"/>
        </w:rPr>
      </w:pPr>
    </w:p>
    <w:p>
      <w:pPr>
        <w:ind w:left="340" w:right="260" w:hanging="332"/>
        <w:spacing w:after="0" w:line="252"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340" w:right="300" w:hanging="332"/>
        <w:spacing w:after="0" w:line="22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on the following page for additional discussion.</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(7)</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97"/>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Selected items impacting comparability - Adjusted net income attributable to PAA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to basic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51"/>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to diluted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Certain of our non-GAAP financial measures may not be impacted by each of the selected items impacting comparability.</w:t>
      </w:r>
    </w:p>
    <w:p>
      <w:pPr>
        <w:spacing w:after="0" w:line="45" w:lineRule="exact"/>
        <w:rPr>
          <w:rFonts w:ascii="Arial" w:cs="Arial" w:eastAsia="Arial" w:hAnsi="Arial"/>
          <w:sz w:val="13"/>
          <w:szCs w:val="13"/>
          <w:color w:val="auto"/>
        </w:rPr>
      </w:pPr>
    </w:p>
    <w:p>
      <w:pPr>
        <w:ind w:left="340" w:right="380" w:hanging="332"/>
        <w:spacing w:after="0" w:line="296"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11"/>
          <w:szCs w:val="11"/>
          <w:color w:val="auto"/>
        </w:rPr>
      </w:pPr>
    </w:p>
    <w:p>
      <w:pPr>
        <w:ind w:left="340" w:right="160" w:hanging="332"/>
        <w:spacing w:after="0" w:line="235"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1" w:lineRule="exact"/>
        <w:rPr>
          <w:rFonts w:ascii="Arial" w:cs="Arial" w:eastAsia="Arial" w:hAnsi="Arial"/>
          <w:sz w:val="13"/>
          <w:szCs w:val="13"/>
          <w:color w:val="auto"/>
        </w:rPr>
      </w:pPr>
    </w:p>
    <w:p>
      <w:pPr>
        <w:ind w:left="340" w:right="20" w:hanging="332"/>
        <w:spacing w:after="0" w:line="292"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79" w:lineRule="exact"/>
        <w:rPr>
          <w:rFonts w:ascii="Arial" w:cs="Arial" w:eastAsia="Arial" w:hAnsi="Arial"/>
          <w:sz w:val="11"/>
          <w:szCs w:val="11"/>
          <w:color w:val="auto"/>
        </w:rPr>
      </w:pPr>
    </w:p>
    <w:p>
      <w:pPr>
        <w:ind w:left="340" w:right="40" w:hanging="332"/>
        <w:spacing w:after="0" w:line="253"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5"/>
          <w:szCs w:val="15"/>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2" w:lineRule="exact"/>
        <w:rPr>
          <w:rFonts w:ascii="Arial" w:cs="Arial" w:eastAsia="Arial" w:hAnsi="Arial"/>
          <w:sz w:val="12"/>
          <w:szCs w:val="12"/>
          <w:color w:val="auto"/>
        </w:rPr>
      </w:pPr>
    </w:p>
    <w:p>
      <w:pPr>
        <w:ind w:left="340" w:right="540" w:hanging="332"/>
        <w:spacing w:after="0" w:line="249"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23" w:lineRule="exact"/>
        <w:rPr>
          <w:rFonts w:ascii="Arial" w:cs="Arial" w:eastAsia="Arial" w:hAnsi="Arial"/>
          <w:sz w:val="13"/>
          <w:szCs w:val="13"/>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Includes acquisition-related expenses associated with the Alpha Crude Connector acquisition.</w:t>
      </w:r>
    </w:p>
    <w:p>
      <w:pPr>
        <w:spacing w:after="0" w:line="239" w:lineRule="exact"/>
        <w:rPr>
          <w:rFonts w:ascii="Arial" w:cs="Arial" w:eastAsia="Arial" w:hAnsi="Arial"/>
          <w:sz w:val="13"/>
          <w:szCs w:val="13"/>
          <w:color w:val="auto"/>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Adjustment to add back our proportionate share of depreciation and amortization expense of unconsolidated entities.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w:t>
      </w:r>
    </w:p>
    <w:p>
      <w:pPr>
        <w:spacing w:after="0" w:line="56"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56" w:lineRule="exact"/>
        <w:rPr>
          <w:rFonts w:ascii="Arial" w:cs="Arial" w:eastAsia="Arial" w:hAnsi="Arial"/>
          <w:sz w:val="24"/>
          <w:szCs w:val="24"/>
          <w:color w:val="auto"/>
          <w:vertAlign w:val="superscript"/>
        </w:rPr>
      </w:pPr>
    </w:p>
    <w:p>
      <w:pPr>
        <w:ind w:left="340" w:right="760" w:hanging="332"/>
        <w:spacing w:after="0" w:line="208"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cash distributions received from such entities.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17"/>
        </w:trPr>
        <w:tc>
          <w:tcPr>
            <w:tcW w:w="9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9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70"/>
        </w:trPr>
        <w:tc>
          <w:tcPr>
            <w:tcW w:w="90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70"/>
        </w:trPr>
        <w:tc>
          <w:tcPr>
            <w:tcW w:w="90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Effect of dilutive securities: LTIP units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902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80" w:hanging="332"/>
        <w:spacing w:after="0" w:line="239"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spacing w:after="0" w:line="3"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56"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43" w:lineRule="exact"/>
        <w:rPr>
          <w:rFonts w:ascii="Arial" w:cs="Arial" w:eastAsia="Arial" w:hAnsi="Arial"/>
          <w:sz w:val="25"/>
          <w:szCs w:val="25"/>
          <w:color w:val="auto"/>
          <w:vertAlign w:val="superscript"/>
        </w:rPr>
      </w:pPr>
    </w:p>
    <w:p>
      <w:pPr>
        <w:ind w:left="340" w:right="16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months ended March 31, 2017 and 2016 as the effect was antidilutive.</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5,593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2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27,508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27,508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84"/>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Class A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Incremental net income attributable to PAGP resulting from assumed exchange of AAP units and AAP Management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9020" w:type="dxa"/>
            <w:vAlign w:val="bottom"/>
          </w:tcPr>
          <w:p>
            <w:pPr>
              <w:ind w:left="180"/>
              <w:spacing w:after="0"/>
              <w:rPr>
                <w:sz w:val="20"/>
                <w:szCs w:val="20"/>
                <w:color w:val="auto"/>
              </w:rPr>
            </w:pPr>
            <w:r>
              <w:rPr>
                <w:rFonts w:ascii="Arial" w:cs="Arial" w:eastAsia="Arial" w:hAnsi="Arial"/>
                <w:sz w:val="18"/>
                <w:szCs w:val="18"/>
                <w:color w:val="auto"/>
                <w:w w:val="96"/>
              </w:rPr>
              <w:t>Net income attributable to PAGP including incremental net income from assumed exchange of AAP units and AAP</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9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Management Units</w:t>
            </w:r>
          </w:p>
        </w:tc>
        <w:tc>
          <w:tcPr>
            <w:tcW w:w="2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 Management Units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9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160" w:hanging="332"/>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41" w:lineRule="exact"/>
        <w:rPr>
          <w:rFonts w:ascii="Arial" w:cs="Arial" w:eastAsia="Arial" w:hAnsi="Arial"/>
          <w:sz w:val="25"/>
          <w:szCs w:val="25"/>
          <w:color w:val="auto"/>
          <w:vertAlign w:val="superscript"/>
        </w:rPr>
      </w:pPr>
    </w:p>
    <w:p>
      <w:pPr>
        <w:ind w:left="340" w:right="120" w:hanging="332"/>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For the three months ended March 31, 2017, the possible exchange of any AAP units and certain AAP Management Units would not have had a dilutive effect on basic net income per Class A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53"/>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60"/>
              <w:spacing w:after="0"/>
              <w:rPr>
                <w:sz w:val="20"/>
                <w:szCs w:val="20"/>
                <w:color w:val="auto"/>
              </w:rPr>
            </w:pPr>
            <w:r>
              <w:rPr>
                <w:rFonts w:ascii="Arial" w:cs="Arial" w:eastAsia="Arial" w:hAnsi="Arial"/>
                <w:sz w:val="18"/>
                <w:szCs w:val="18"/>
                <w:color w:val="auto"/>
              </w:rPr>
              <w:t>Brett Magill</w:t>
            </w:r>
          </w:p>
        </w:tc>
        <w:tc>
          <w:tcPr>
            <w:tcW w:w="4180" w:type="dxa"/>
            <w:vAlign w:val="bottom"/>
          </w:tcPr>
          <w:p>
            <w:pPr>
              <w:spacing w:after="0"/>
              <w:rPr>
                <w:sz w:val="24"/>
                <w:szCs w:val="24"/>
                <w:color w:val="auto"/>
              </w:rPr>
            </w:pP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7020" w:type="dxa"/>
            <w:vAlign w:val="bottom"/>
            <w:gridSpan w:val="2"/>
          </w:tcPr>
          <w:p>
            <w:pPr>
              <w:ind w:left="136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60"/>
              <w:spacing w:after="0"/>
              <w:rPr>
                <w:sz w:val="20"/>
                <w:szCs w:val="20"/>
                <w:color w:val="auto"/>
              </w:rPr>
            </w:pPr>
            <w:r>
              <w:rPr>
                <w:rFonts w:ascii="Arial" w:cs="Arial" w:eastAsia="Arial" w:hAnsi="Arial"/>
                <w:sz w:val="18"/>
                <w:szCs w:val="18"/>
                <w:color w:val="auto"/>
              </w:rPr>
              <w:t>(866) 809-1291</w:t>
            </w:r>
          </w:p>
        </w:tc>
        <w:tc>
          <w:tcPr>
            <w:tcW w:w="4180" w:type="dxa"/>
            <w:vAlign w:val="bottom"/>
          </w:tcPr>
          <w:p>
            <w:pPr>
              <w:spacing w:after="0"/>
              <w:rPr>
                <w:sz w:val="23"/>
                <w:szCs w:val="23"/>
                <w:color w:val="auto"/>
              </w:rPr>
            </w:pPr>
          </w:p>
        </w:tc>
      </w:tr>
      <w:tr>
        <w:trPr>
          <w:trHeight w:val="70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tcPr>
          <w:p>
            <w:pPr>
              <w:jc w:val="right"/>
              <w:ind w:right="129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r>
      <w:tr>
        <w:trPr>
          <w:trHeight w:val="34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ind w:left="10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Houston, Texas 77002</w:t>
            </w:r>
          </w:p>
        </w:tc>
        <w:tc>
          <w:tcPr>
            <w:tcW w:w="4180" w:type="dxa"/>
            <w:vAlign w:val="bottom"/>
          </w:tcPr>
          <w:p>
            <w:pPr>
              <w:jc w:val="right"/>
              <w:ind w:right="15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lvl w:ilvl="1">
      <w:lvlJc w:val="left"/>
      <w:lvlText w:val="-"/>
      <w:numFmt w:val="bullet"/>
      <w:start w:val="1"/>
    </w:lvl>
  </w:abstractNum>
  <w:abstractNum w:abstractNumId="6">
    <w:nsid w:val="1F16E9E8"/>
    <w:multiLevelType w:val="hybridMultilevel"/>
    <w:lvl w:ilvl="0">
      <w:lvlJc w:val="left"/>
      <w:lvlText w:val="(%1)"/>
      <w:numFmt w:val="decimal"/>
      <w:start w:val="1"/>
    </w:lvl>
    <w:lvl w:ilvl="1">
      <w:lvlJc w:val="left"/>
      <w:lvlText w:val="-"/>
      <w:numFmt w:val="bullet"/>
      <w:start w:val="1"/>
    </w:lvl>
  </w:abstractNum>
  <w:abstractNum w:abstractNumId="7">
    <w:nsid w:val="1190CDE7"/>
    <w:multiLevelType w:val="hybridMultilevel"/>
    <w:lvl w:ilvl="0">
      <w:lvlJc w:val="left"/>
      <w:lvlText w:val="(%1)"/>
      <w:numFmt w:val="decimal"/>
      <w:start w:val="1"/>
    </w:lvl>
    <w:lvl w:ilvl="1">
      <w:lvlJc w:val="left"/>
      <w:lvlText w:val="-"/>
      <w:numFmt w:val="bullet"/>
      <w:start w:val="1"/>
    </w:lvl>
  </w:abstractNum>
  <w:abstractNum w:abstractNumId="8">
    <w:nsid w:val="66EF438D"/>
    <w:multiLevelType w:val="hybridMultilevel"/>
    <w:lvl w:ilvl="0">
      <w:lvlJc w:val="left"/>
      <w:lvlText w:val="(%1)"/>
      <w:numFmt w:val="decimal"/>
      <w:start w:val="1"/>
    </w:lvl>
    <w:lvl w:ilvl="1">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2020-01-17T07:37:31Z</dcterms:created>
  <dcterms:modified xsi:type="dcterms:W3CDTF">2020-01-17T07:37:31Z</dcterms:modified>
</cp:coreProperties>
</file>