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333-214964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144145</wp:posOffset>
            </wp:positionV>
            <wp:extent cx="283019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Class A Shares Representing Limited Partner Interests Having an Aggregate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Offering Price of Up to $500,000,000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2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relate to the issuance and sale from time to time of Class A shares representing limited partner interests in Plains GP Holdings, L.P. having an aggregate offering price of up to $500,000,000 through one or more of our sales agents. These sales, if any, will be made pursuant to the terms of the equity distribution agreement dated December 27, 2016 between us and the sales agents, which will be filed as an exhibit to a Current Report on Form 8-K that we will file with the Securities and Exchange Commission (the "SEC").</w:t>
      </w:r>
    </w:p>
    <w:p>
      <w:pPr>
        <w:spacing w:after="0" w:line="167" w:lineRule="exact"/>
        <w:rPr>
          <w:sz w:val="24"/>
          <w:szCs w:val="24"/>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terms of the equity distribution agreement, we also may sell Class A shares to any sales agent as principal for its own account at a price agreed upon at the time of the sale. If we sell Class A shares to any such sales agent as principal, we will enter into a separate terms agreement with such sales agent and we will describe that agreement in a separate prospectus supplement or pricing supplement.</w:t>
      </w:r>
    </w:p>
    <w:p>
      <w:pPr>
        <w:spacing w:after="0" w:line="194" w:lineRule="exact"/>
        <w:rPr>
          <w:sz w:val="24"/>
          <w:szCs w:val="24"/>
          <w:color w:val="auto"/>
        </w:rPr>
      </w:pPr>
    </w:p>
    <w:p>
      <w:pPr>
        <w:ind w:right="100" w:firstLine="351"/>
        <w:spacing w:after="0" w:line="256" w:lineRule="auto"/>
        <w:rPr>
          <w:sz w:val="20"/>
          <w:szCs w:val="20"/>
          <w:color w:val="auto"/>
        </w:rPr>
      </w:pPr>
      <w:r>
        <w:rPr>
          <w:rFonts w:ascii="Arial" w:cs="Arial" w:eastAsia="Arial" w:hAnsi="Arial"/>
          <w:sz w:val="18"/>
          <w:szCs w:val="18"/>
          <w:color w:val="auto"/>
        </w:rPr>
        <w:t>Our Class A shares trade on the New York Stock Exchange (the "NYSE") under the symbol "PAGP." On December 23, 2016, the last reported sale price of our Class A shares on the NYSE was $35.32 per Class A share. Sales of Class A shares under this prospectus supplement, if any, will be made by means of ordinary brokers' transactions through the facilities of the NYSE at market prices, in block transactions or as otherwise agreed between us and one or more of the sales agents.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right="280" w:firstLine="351"/>
        <w:spacing w:after="0" w:line="301" w:lineRule="auto"/>
        <w:rPr>
          <w:sz w:val="20"/>
          <w:szCs w:val="20"/>
          <w:color w:val="auto"/>
        </w:rPr>
      </w:pPr>
      <w:r>
        <w:rPr>
          <w:rFonts w:ascii="Arial" w:cs="Arial" w:eastAsia="Arial" w:hAnsi="Arial"/>
          <w:sz w:val="19"/>
          <w:szCs w:val="19"/>
          <w:b w:val="1"/>
          <w:bCs w:val="1"/>
          <w:color w:val="auto"/>
        </w:rPr>
        <w:t>Investing in our Class A shares involves risks. Limited partnerships are inherently different from corporations. You should carefully consider the risks relating to investing in our Class A shares and each of the risk factors described under "Risk Factors" on page S-4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95885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compensation of the sales agents for sales of Class A shares shall be at a fixed commission rate of up to 2.0% of the gross sales price per Class A share, depending upon the number of Class A shares sold. The net proceeds from any sales under this prospectus supplement will be used as described under "Use of Proceeds" in this prospectus supplement.</w:t>
      </w:r>
    </w:p>
    <w:p>
      <w:pPr>
        <w:spacing w:after="0" w:line="194"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Neither the SEC nor any state securities commission has approved or disapproved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240" w:type="dxa"/>
        <w:tblCellMar>
          <w:top w:w="0" w:type="dxa"/>
          <w:left w:w="0" w:type="dxa"/>
          <w:bottom w:w="0" w:type="dxa"/>
          <w:right w:w="0" w:type="dxa"/>
        </w:tblCellMar>
      </w:tblPr>
      <w:tr>
        <w:trPr>
          <w:trHeight w:val="253"/>
        </w:trPr>
        <w:tc>
          <w:tcPr>
            <w:tcW w:w="2100" w:type="dxa"/>
            <w:vAlign w:val="bottom"/>
          </w:tcPr>
          <w:p>
            <w:pPr>
              <w:spacing w:after="0"/>
              <w:rPr>
                <w:sz w:val="20"/>
                <w:szCs w:val="20"/>
                <w:color w:val="auto"/>
              </w:rPr>
            </w:pPr>
            <w:r>
              <w:rPr>
                <w:rFonts w:ascii="Arial" w:cs="Arial" w:eastAsia="Arial" w:hAnsi="Arial"/>
                <w:sz w:val="22"/>
                <w:szCs w:val="22"/>
                <w:b w:val="1"/>
                <w:bCs w:val="1"/>
                <w:color w:val="auto"/>
                <w:w w:val="88"/>
              </w:rPr>
              <w:t>Wells Fargo Securities</w:t>
            </w:r>
          </w:p>
        </w:tc>
        <w:tc>
          <w:tcPr>
            <w:tcW w:w="17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7"/>
              </w:rPr>
              <w:t>Barclays</w:t>
            </w:r>
          </w:p>
        </w:tc>
        <w:tc>
          <w:tcPr>
            <w:tcW w:w="29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5"/>
              </w:rPr>
              <w:t>BB&amp;T Capital Markets</w:t>
            </w:r>
          </w:p>
        </w:tc>
        <w:tc>
          <w:tcPr>
            <w:tcW w:w="2140" w:type="dxa"/>
            <w:vAlign w:val="bottom"/>
          </w:tcPr>
          <w:p>
            <w:pPr>
              <w:jc w:val="right"/>
              <w:spacing w:after="0"/>
              <w:rPr>
                <w:sz w:val="20"/>
                <w:szCs w:val="20"/>
                <w:color w:val="auto"/>
              </w:rPr>
            </w:pPr>
            <w:r>
              <w:rPr>
                <w:rFonts w:ascii="Arial" w:cs="Arial" w:eastAsia="Arial" w:hAnsi="Arial"/>
                <w:sz w:val="22"/>
                <w:szCs w:val="22"/>
                <w:b w:val="1"/>
                <w:bCs w:val="1"/>
                <w:color w:val="auto"/>
                <w:w w:val="96"/>
              </w:rPr>
              <w:t>BMO Capital Markets</w:t>
            </w:r>
          </w:p>
        </w:tc>
      </w:tr>
      <w:tr>
        <w:trPr>
          <w:trHeight w:val="243"/>
        </w:trPr>
        <w:tc>
          <w:tcPr>
            <w:tcW w:w="2100" w:type="dxa"/>
            <w:vAlign w:val="bottom"/>
          </w:tcPr>
          <w:p>
            <w:pPr>
              <w:spacing w:after="0" w:line="243" w:lineRule="exact"/>
              <w:rPr>
                <w:sz w:val="20"/>
                <w:szCs w:val="20"/>
                <w:color w:val="auto"/>
              </w:rPr>
            </w:pPr>
            <w:r>
              <w:rPr>
                <w:rFonts w:ascii="Arial" w:cs="Arial" w:eastAsia="Arial" w:hAnsi="Arial"/>
                <w:sz w:val="22"/>
                <w:szCs w:val="22"/>
                <w:b w:val="1"/>
                <w:bCs w:val="1"/>
                <w:color w:val="auto"/>
              </w:rPr>
              <w:t>BNP PARIBAS</w:t>
            </w:r>
          </w:p>
        </w:tc>
        <w:tc>
          <w:tcPr>
            <w:tcW w:w="17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2"/>
              </w:rPr>
              <w:t>Citigroup</w:t>
            </w:r>
          </w:p>
        </w:tc>
        <w:tc>
          <w:tcPr>
            <w:tcW w:w="2960" w:type="dxa"/>
            <w:vAlign w:val="bottom"/>
            <w:gridSpan w:val="2"/>
          </w:tcPr>
          <w:p>
            <w:pPr>
              <w:jc w:val="center"/>
              <w:ind w:right="20"/>
              <w:spacing w:after="0" w:line="243" w:lineRule="exact"/>
              <w:rPr>
                <w:sz w:val="20"/>
                <w:szCs w:val="20"/>
                <w:color w:val="auto"/>
              </w:rPr>
            </w:pPr>
            <w:r>
              <w:rPr>
                <w:rFonts w:ascii="Arial" w:cs="Arial" w:eastAsia="Arial" w:hAnsi="Arial"/>
                <w:sz w:val="22"/>
                <w:szCs w:val="22"/>
                <w:b w:val="1"/>
                <w:bCs w:val="1"/>
                <w:color w:val="auto"/>
                <w:w w:val="86"/>
              </w:rPr>
              <w:t>Deutsche Bank Securities</w:t>
            </w:r>
          </w:p>
        </w:tc>
        <w:tc>
          <w:tcPr>
            <w:tcW w:w="21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DNB Markets</w:t>
            </w:r>
          </w:p>
        </w:tc>
      </w:tr>
      <w:tr>
        <w:trPr>
          <w:trHeight w:val="243"/>
        </w:trPr>
        <w:tc>
          <w:tcPr>
            <w:tcW w:w="2100" w:type="dxa"/>
            <w:vAlign w:val="bottom"/>
          </w:tcPr>
          <w:p>
            <w:pPr>
              <w:spacing w:after="0" w:line="243" w:lineRule="exact"/>
              <w:rPr>
                <w:sz w:val="20"/>
                <w:szCs w:val="20"/>
                <w:color w:val="auto"/>
              </w:rPr>
            </w:pPr>
            <w:r>
              <w:rPr>
                <w:rFonts w:ascii="Arial" w:cs="Arial" w:eastAsia="Arial" w:hAnsi="Arial"/>
                <w:sz w:val="22"/>
                <w:szCs w:val="22"/>
                <w:b w:val="1"/>
                <w:bCs w:val="1"/>
                <w:color w:val="auto"/>
                <w:w w:val="94"/>
              </w:rPr>
              <w:t>Fifth Third Securities</w:t>
            </w:r>
          </w:p>
        </w:tc>
        <w:tc>
          <w:tcPr>
            <w:tcW w:w="17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9"/>
              </w:rPr>
              <w:t>J.P. Morgan</w:t>
            </w:r>
          </w:p>
        </w:tc>
        <w:tc>
          <w:tcPr>
            <w:tcW w:w="2960" w:type="dxa"/>
            <w:vAlign w:val="bottom"/>
            <w:gridSpan w:val="2"/>
          </w:tcPr>
          <w:p>
            <w:pPr>
              <w:jc w:val="center"/>
              <w:ind w:right="20"/>
              <w:spacing w:after="0" w:line="243" w:lineRule="exact"/>
              <w:rPr>
                <w:sz w:val="20"/>
                <w:szCs w:val="20"/>
                <w:color w:val="auto"/>
              </w:rPr>
            </w:pPr>
            <w:r>
              <w:rPr>
                <w:rFonts w:ascii="Arial" w:cs="Arial" w:eastAsia="Arial" w:hAnsi="Arial"/>
                <w:sz w:val="22"/>
                <w:szCs w:val="22"/>
                <w:b w:val="1"/>
                <w:bCs w:val="1"/>
                <w:color w:val="auto"/>
                <w:w w:val="86"/>
              </w:rPr>
              <w:t>Jefferies</w:t>
            </w:r>
          </w:p>
        </w:tc>
        <w:tc>
          <w:tcPr>
            <w:tcW w:w="21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BofA Merrill Lynch</w:t>
            </w:r>
          </w:p>
        </w:tc>
      </w:tr>
      <w:tr>
        <w:trPr>
          <w:trHeight w:val="243"/>
        </w:trPr>
        <w:tc>
          <w:tcPr>
            <w:tcW w:w="2100" w:type="dxa"/>
            <w:vAlign w:val="bottom"/>
          </w:tcPr>
          <w:p>
            <w:pPr>
              <w:spacing w:after="0" w:line="243" w:lineRule="exact"/>
              <w:rPr>
                <w:sz w:val="20"/>
                <w:szCs w:val="20"/>
                <w:color w:val="auto"/>
              </w:rPr>
            </w:pPr>
            <w:r>
              <w:rPr>
                <w:rFonts w:ascii="Arial" w:cs="Arial" w:eastAsia="Arial" w:hAnsi="Arial"/>
                <w:sz w:val="22"/>
                <w:szCs w:val="22"/>
                <w:b w:val="1"/>
                <w:bCs w:val="1"/>
                <w:color w:val="auto"/>
              </w:rPr>
              <w:t>MUFG</w:t>
            </w:r>
          </w:p>
        </w:tc>
        <w:tc>
          <w:tcPr>
            <w:tcW w:w="17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29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21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Raymond James</w:t>
            </w:r>
          </w:p>
        </w:tc>
      </w:tr>
      <w:tr>
        <w:trPr>
          <w:trHeight w:val="281"/>
        </w:trPr>
        <w:tc>
          <w:tcPr>
            <w:tcW w:w="2100" w:type="dxa"/>
            <w:vAlign w:val="bottom"/>
          </w:tcPr>
          <w:p>
            <w:pPr>
              <w:spacing w:after="0"/>
              <w:rPr>
                <w:sz w:val="20"/>
                <w:szCs w:val="20"/>
                <w:color w:val="auto"/>
              </w:rPr>
            </w:pPr>
            <w:r>
              <w:rPr>
                <w:rFonts w:ascii="Arial" w:cs="Arial" w:eastAsia="Arial" w:hAnsi="Arial"/>
                <w:sz w:val="22"/>
                <w:szCs w:val="22"/>
                <w:b w:val="1"/>
                <w:bCs w:val="1"/>
                <w:color w:val="auto"/>
              </w:rPr>
              <w:t>Scotia Howard Weil</w:t>
            </w:r>
          </w:p>
        </w:tc>
        <w:tc>
          <w:tcPr>
            <w:tcW w:w="17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4"/>
              </w:rPr>
              <w:t>SMBC Nikko</w:t>
            </w:r>
          </w:p>
        </w:tc>
        <w:tc>
          <w:tcPr>
            <w:tcW w:w="29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SunTrust Robinson Humphrey</w:t>
            </w:r>
          </w:p>
        </w:tc>
        <w:tc>
          <w:tcPr>
            <w:tcW w:w="2140" w:type="dxa"/>
            <w:vAlign w:val="bottom"/>
          </w:tcPr>
          <w:p>
            <w:pPr>
              <w:jc w:val="right"/>
              <w:spacing w:after="0"/>
              <w:rPr>
                <w:sz w:val="20"/>
                <w:szCs w:val="20"/>
                <w:color w:val="auto"/>
              </w:rPr>
            </w:pPr>
            <w:r>
              <w:rPr>
                <w:rFonts w:ascii="Arial" w:cs="Arial" w:eastAsia="Arial" w:hAnsi="Arial"/>
                <w:sz w:val="22"/>
                <w:szCs w:val="22"/>
                <w:b w:val="1"/>
                <w:bCs w:val="1"/>
                <w:color w:val="auto"/>
                <w:w w:val="92"/>
              </w:rPr>
              <w:t>UBS Investment Bank</w:t>
            </w:r>
          </w:p>
        </w:tc>
      </w:tr>
      <w:tr>
        <w:trPr>
          <w:trHeight w:val="206"/>
        </w:trPr>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4"/>
          <w:szCs w:val="24"/>
          <w:color w:val="auto"/>
        </w:rPr>
      </w:pPr>
    </w:p>
    <w:p>
      <w:pPr>
        <w:sectPr>
          <w:pgSz w:w="11900" w:h="16838" w:orient="portrait"/>
          <w:cols w:equalWidth="0" w:num="1">
            <w:col w:w="11420"/>
          </w:cols>
          <w:pgMar w:left="240" w:top="685" w:right="239" w:bottom="10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December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01"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8"/>
        </w:trPr>
        <w:tc>
          <w:tcPr>
            <w:tcW w:w="8560" w:type="dxa"/>
            <w:vAlign w:val="bottom"/>
            <w:gridSpan w:val="17"/>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560" w:type="dxa"/>
            <w:vAlign w:val="bottom"/>
            <w:gridSpan w:val="1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Important Notice About Information in This Prospectus Supplement and the Accompanying Base Prospectus</w:t>
              </w:r>
            </w:hyperlink>
          </w:p>
        </w:tc>
        <w:tc>
          <w:tcPr>
            <w:tcW w:w="42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S-ii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Forward-Looking Statements</w:t>
              </w:r>
            </w:hyperlink>
          </w:p>
        </w:tc>
        <w:tc>
          <w:tcPr>
            <w:tcW w:w="5580" w:type="dxa"/>
            <w:vAlign w:val="bottom"/>
            <w:tcBorders>
              <w:top w:val="single" w:sz="8" w:color="0000EE"/>
            </w:tcBorders>
            <w:gridSpan w:val="6"/>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1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0"/>
                <w:szCs w:val="10"/>
                <w:color w:val="0000EE"/>
                <w:w w:val="76"/>
              </w:rPr>
            </w:pPr>
            <w:hyperlink w:anchor="page6">
              <w:r>
                <w:rPr>
                  <w:rFonts w:ascii="Arial" w:cs="Arial" w:eastAsia="Arial" w:hAnsi="Arial"/>
                  <w:sz w:val="10"/>
                  <w:szCs w:val="10"/>
                  <w:color w:val="0000EE"/>
                  <w:w w:val="76"/>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66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0"/>
                <w:szCs w:val="10"/>
                <w:color w:val="0000EE"/>
                <w:w w:val="76"/>
              </w:rPr>
            </w:pPr>
            <w:hyperlink w:anchor="page9">
              <w:r>
                <w:rPr>
                  <w:rFonts w:ascii="Arial" w:cs="Arial" w:eastAsia="Arial" w:hAnsi="Arial"/>
                  <w:sz w:val="10"/>
                  <w:szCs w:val="10"/>
                  <w:color w:val="0000EE"/>
                  <w:w w:val="76"/>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740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0"/>
                <w:szCs w:val="10"/>
                <w:color w:val="0000EE"/>
                <w:w w:val="76"/>
              </w:rPr>
            </w:pPr>
            <w:hyperlink w:anchor="page10">
              <w:r>
                <w:rPr>
                  <w:rFonts w:ascii="Arial" w:cs="Arial" w:eastAsia="Arial" w:hAnsi="Arial"/>
                  <w:sz w:val="10"/>
                  <w:szCs w:val="10"/>
                  <w:color w:val="0000EE"/>
                  <w:w w:val="76"/>
                </w:rPr>
                <w:t>S-5</w:t>
              </w:r>
            </w:hyperlink>
          </w:p>
        </w:tc>
        <w:tc>
          <w:tcPr>
            <w:tcW w:w="0" w:type="dxa"/>
            <w:vAlign w:val="bottom"/>
          </w:tcPr>
          <w:p>
            <w:pPr>
              <w:spacing w:after="0"/>
              <w:rPr>
                <w:sz w:val="1"/>
                <w:szCs w:val="1"/>
                <w:color w:val="auto"/>
              </w:rPr>
            </w:pPr>
          </w:p>
        </w:tc>
      </w:tr>
      <w:tr>
        <w:trPr>
          <w:trHeight w:val="196"/>
        </w:trPr>
        <w:tc>
          <w:tcPr>
            <w:tcW w:w="856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Plan of Distribution</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spacing w:after="0"/>
              <w:rPr>
                <w:rFonts w:ascii="Arial" w:cs="Arial" w:eastAsia="Arial" w:hAnsi="Arial"/>
                <w:sz w:val="10"/>
                <w:szCs w:val="10"/>
                <w:color w:val="0000EE"/>
                <w:w w:val="76"/>
              </w:rPr>
            </w:pPr>
            <w:hyperlink w:anchor="page11">
              <w:r>
                <w:rPr>
                  <w:rFonts w:ascii="Arial" w:cs="Arial" w:eastAsia="Arial" w:hAnsi="Arial"/>
                  <w:sz w:val="10"/>
                  <w:szCs w:val="10"/>
                  <w:color w:val="0000EE"/>
                  <w:w w:val="76"/>
                </w:rPr>
                <w:t>S-6</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Legal Matters</w:t>
              </w:r>
            </w:hyperlink>
          </w:p>
        </w:tc>
        <w:tc>
          <w:tcPr>
            <w:tcW w:w="71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0"/>
                <w:szCs w:val="10"/>
                <w:color w:val="0000EE"/>
                <w:w w:val="76"/>
              </w:rPr>
            </w:pPr>
            <w:hyperlink w:anchor="page13">
              <w:r>
                <w:rPr>
                  <w:rFonts w:ascii="Arial" w:cs="Arial" w:eastAsia="Arial" w:hAnsi="Arial"/>
                  <w:sz w:val="10"/>
                  <w:szCs w:val="10"/>
                  <w:color w:val="0000EE"/>
                  <w:w w:val="76"/>
                </w:rPr>
                <w:t>S-8</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758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0"/>
                <w:szCs w:val="10"/>
                <w:color w:val="0000EE"/>
                <w:w w:val="76"/>
              </w:rPr>
            </w:pPr>
            <w:hyperlink w:anchor="page13">
              <w:r>
                <w:rPr>
                  <w:rFonts w:ascii="Arial" w:cs="Arial" w:eastAsia="Arial" w:hAnsi="Arial"/>
                  <w:sz w:val="10"/>
                  <w:szCs w:val="10"/>
                  <w:color w:val="0000EE"/>
                  <w:w w:val="76"/>
                </w:rPr>
                <w:t>S-8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spacing w:after="0"/>
              <w:rPr>
                <w:rFonts w:ascii="Arial" w:cs="Arial" w:eastAsia="Arial" w:hAnsi="Arial"/>
                <w:sz w:val="10"/>
                <w:szCs w:val="10"/>
                <w:color w:val="0000EE"/>
                <w:w w:val="76"/>
              </w:rPr>
            </w:pPr>
            <w:hyperlink w:anchor="page13">
              <w:r>
                <w:rPr>
                  <w:rFonts w:ascii="Arial" w:cs="Arial" w:eastAsia="Arial" w:hAnsi="Arial"/>
                  <w:sz w:val="10"/>
                  <w:szCs w:val="10"/>
                  <w:color w:val="0000EE"/>
                  <w:w w:val="76"/>
                </w:rPr>
                <w:t>S-8</w:t>
              </w:r>
            </w:hyperlink>
          </w:p>
        </w:tc>
        <w:tc>
          <w:tcPr>
            <w:tcW w:w="0" w:type="dxa"/>
            <w:vAlign w:val="bottom"/>
          </w:tcPr>
          <w:p>
            <w:pPr>
              <w:spacing w:after="0"/>
              <w:rPr>
                <w:sz w:val="1"/>
                <w:szCs w:val="1"/>
                <w:color w:val="auto"/>
              </w:rPr>
            </w:pPr>
          </w:p>
        </w:tc>
      </w:tr>
      <w:tr>
        <w:trPr>
          <w:trHeight w:val="451"/>
        </w:trPr>
        <w:tc>
          <w:tcPr>
            <w:tcW w:w="2800" w:type="dxa"/>
            <w:vAlign w:val="bottom"/>
            <w:tcBorders>
              <w:top w:val="single" w:sz="8" w:color="0000EE"/>
            </w:tcBorders>
            <w:gridSpan w:val="13"/>
          </w:tcPr>
          <w:p>
            <w:pPr>
              <w:spacing w:after="0"/>
              <w:rPr>
                <w:sz w:val="20"/>
                <w:szCs w:val="20"/>
                <w:color w:val="auto"/>
              </w:rPr>
            </w:pPr>
            <w:r>
              <w:rPr>
                <w:rFonts w:ascii="Arial" w:cs="Arial" w:eastAsia="Arial" w:hAnsi="Arial"/>
                <w:sz w:val="18"/>
                <w:szCs w:val="18"/>
                <w:b w:val="1"/>
                <w:bCs w:val="1"/>
                <w:color w:val="auto"/>
              </w:rPr>
              <w:t>Prospectus</w:t>
            </w:r>
          </w:p>
        </w:tc>
        <w:tc>
          <w:tcPr>
            <w:tcW w:w="57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20"/>
        </w:trPr>
        <w:tc>
          <w:tcPr>
            <w:tcW w:w="16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57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About Plains GP Holdings, L.P.</w:t>
              </w:r>
            </w:hyperlink>
          </w:p>
        </w:tc>
        <w:tc>
          <w:tcPr>
            <w:tcW w:w="6280" w:type="dxa"/>
            <w:vAlign w:val="bottom"/>
            <w:gridSpan w:val="6"/>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660" w:type="dxa"/>
            <w:vAlign w:val="bottom"/>
            <w:gridSpan w:val="15"/>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Use of Proceeds</w:t>
              </w:r>
            </w:hyperlink>
          </w:p>
        </w:tc>
        <w:tc>
          <w:tcPr>
            <w:tcW w:w="7400" w:type="dxa"/>
            <w:vAlign w:val="bottom"/>
            <w:gridSpan w:val="13"/>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856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Our Cash Distribution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The Partnership Agreement</w:t>
              </w:r>
            </w:hyperlink>
          </w:p>
        </w:tc>
        <w:tc>
          <w:tcPr>
            <w:tcW w:w="6500" w:type="dxa"/>
            <w:vAlign w:val="bottom"/>
            <w:gridSpan w:val="8"/>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Our Shares</w:t>
              </w:r>
            </w:hyperlink>
          </w:p>
        </w:tc>
        <w:tc>
          <w:tcPr>
            <w:tcW w:w="662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840" w:type="dxa"/>
            <w:vAlign w:val="bottom"/>
            <w:gridSpan w:val="7"/>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Material U.S. Federal Income Tax Consequences</w:t>
              </w:r>
            </w:hyperlink>
          </w:p>
        </w:tc>
        <w:tc>
          <w:tcPr>
            <w:tcW w:w="5100" w:type="dxa"/>
            <w:vAlign w:val="bottom"/>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1">
              <w:r>
                <w:rPr>
                  <w:rFonts w:ascii="Arial" w:cs="Arial" w:eastAsia="Arial" w:hAnsi="Arial"/>
                  <w:sz w:val="15"/>
                  <w:szCs w:val="15"/>
                  <w:color w:val="0000EE"/>
                  <w:w w:val="71"/>
                </w:rPr>
                <w:t>21</w:t>
              </w:r>
            </w:hyperlink>
          </w:p>
        </w:tc>
        <w:tc>
          <w:tcPr>
            <w:tcW w:w="0" w:type="dxa"/>
            <w:vAlign w:val="bottom"/>
          </w:tcPr>
          <w:p>
            <w:pPr>
              <w:spacing w:after="0"/>
              <w:rPr>
                <w:sz w:val="1"/>
                <w:szCs w:val="1"/>
                <w:color w:val="auto"/>
              </w:rPr>
            </w:pPr>
          </w:p>
        </w:tc>
      </w:tr>
      <w:tr>
        <w:trPr>
          <w:trHeight w:val="196"/>
        </w:trPr>
        <w:tc>
          <w:tcPr>
            <w:tcW w:w="856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Investment in Plains GP Holdings, L.P. by Employee Benefit Plans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384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7160" w:type="dxa"/>
            <w:vAlign w:val="bottom"/>
            <w:gridSpan w:val="12"/>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31</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7580" w:type="dxa"/>
            <w:vAlign w:val="bottom"/>
            <w:gridSpan w:val="14"/>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 PROSPECTUS SUPPLEMENT AND THE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ACCOMPANYING BASE PROSPECTUS</w:t>
      </w:r>
    </w:p>
    <w:p>
      <w:pPr>
        <w:spacing w:after="0" w:line="219"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providing information to you about this offering of our Class A shares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supplement and the accompanying base prospectus contain and incorporate by reference information that you should consider when making your investment decision. Neither we nor any of the sales agents or their affiliates and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our Class A shares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None of Plains GP Holdings, L.P., the sales agents or any of their respective representatives is making any representation to you regarding the legality of an investment in our Class A shares by you under applicable laws. You should consult with your own advisors as to legal, tax, business, financial and related aspects of an investment in the Class A shares.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 (as defined below);</w:t>
      </w:r>
    </w:p>
    <w:p>
      <w:pPr>
        <w:spacing w:after="0" w:line="238"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declines in the volume of crude oil, refined product and natural gas liquids ("NGL") shipped, processed, purchased, stored, fractionated and/or gathered at or through the use of our assets, whether due to declines in production from existing oil and gas reserves, failure to develop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slowdown in the development of additional oil and gas reserves, whether from reduced cash flow to fund drilling or the inability to access capital, or other factors;</w:t>
      </w:r>
    </w:p>
    <w:p>
      <w:pPr>
        <w:spacing w:after="0" w:line="19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PAA's (as defined below)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NGLs.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on page S-4 of this prospectus supplement and as discussed in Item 1A. "Risk Factors" in our Annual Report on Form 10-K for the fiscal year ended December 31, 2015 (File No. 001-36132),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38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38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80" w:firstLine="351"/>
        <w:spacing w:after="0" w:line="254"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Class A shares. Please read "Risk Factors" on page S-4 of this prospectus supplement and in our Annual Report on Form 10-K for the fiscal year ended December 31, 2015, which is incorporated by reference herein, for information regarding risks you should consider before investing in our Class A shares.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For purposes of this prospectus supplement and the accompanying base prospectus, unless the context clearly indicates otherwise:</w:t>
      </w:r>
    </w:p>
    <w:p>
      <w:pPr>
        <w:spacing w:after="0" w:line="252" w:lineRule="exact"/>
        <w:rPr>
          <w:sz w:val="20"/>
          <w:szCs w:val="20"/>
          <w:color w:val="auto"/>
        </w:rPr>
      </w:pPr>
    </w:p>
    <w:p>
      <w:pPr>
        <w:ind w:left="1320" w:right="4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80"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"PAA" refers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"PAA GP" refers to PAA GP LLC, the general partner of PAA;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"AAP" refers to Plains AAP, L.P., which owns a 100% membership interest in PAA GP;</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"general partner" refers to PAA GP Holdings LLC;</w:t>
      </w:r>
    </w:p>
    <w:p>
      <w:pPr>
        <w:spacing w:after="0" w:line="252" w:lineRule="exact"/>
        <w:rPr>
          <w:rFonts w:ascii="Arial" w:cs="Arial" w:eastAsia="Arial" w:hAnsi="Arial"/>
          <w:sz w:val="18"/>
          <w:szCs w:val="18"/>
          <w:color w:val="auto"/>
        </w:rPr>
      </w:pPr>
    </w:p>
    <w:p>
      <w:pPr>
        <w:ind w:left="1320" w:right="20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 and</w:t>
      </w:r>
    </w:p>
    <w:p>
      <w:pPr>
        <w:spacing w:after="0" w:line="207" w:lineRule="exact"/>
        <w:rPr>
          <w:rFonts w:ascii="Arial" w:cs="Arial" w:eastAsia="Arial" w:hAnsi="Arial"/>
          <w:sz w:val="18"/>
          <w:szCs w:val="18"/>
          <w:color w:val="auto"/>
        </w:rPr>
      </w:pPr>
    </w:p>
    <w:p>
      <w:pPr>
        <w:ind w:left="1320" w:hanging="538"/>
        <w:spacing w:after="0" w:line="29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240" w:right="40" w:firstLine="348"/>
        <w:spacing w:after="0" w:line="298"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 December 23, 2016, our only cash-generating assets consisted of our direct and indirect ownership of 100,771,924 Class A units of AAP, which we refer to as AAP Class A units, which represent a 41.8% limited partner interest in AAP (41.0% economic interest including the dilutive effect of the Class B units of AAP). AAP owns a non-economic general partner interest in PAA and, as of December 23, 2016, 244,707,926 common units of PAA.</w:t>
      </w:r>
    </w:p>
    <w:p>
      <w:pPr>
        <w:spacing w:after="0" w:line="167" w:lineRule="exact"/>
        <w:rPr>
          <w:sz w:val="20"/>
          <w:szCs w:val="20"/>
          <w:color w:val="auto"/>
        </w:rPr>
      </w:pPr>
    </w:p>
    <w:p>
      <w:pPr>
        <w:ind w:left="240" w:right="740" w:firstLine="351"/>
        <w:spacing w:after="0" w:line="268" w:lineRule="auto"/>
        <w:rPr>
          <w:sz w:val="20"/>
          <w:szCs w:val="20"/>
          <w:color w:val="auto"/>
        </w:rPr>
      </w:pPr>
      <w:r>
        <w:rPr>
          <w:rFonts w:ascii="Arial" w:cs="Arial" w:eastAsia="Arial" w:hAnsi="Arial"/>
          <w:sz w:val="18"/>
          <w:szCs w:val="18"/>
          <w:color w:val="auto"/>
        </w:rPr>
        <w:t>PAA is a Delaware limited partnership formed in 1998. PAA's operations are conducted directly and indirectly through its primary operating subsidiaries. PAA owns and operates midstream energy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6" w:lineRule="auto"/>
        <w:rPr>
          <w:sz w:val="20"/>
          <w:szCs w:val="20"/>
          <w:color w:val="auto"/>
        </w:rPr>
      </w:pPr>
      <w:r>
        <w:rPr>
          <w:rFonts w:ascii="Arial" w:cs="Arial" w:eastAsia="Arial" w:hAnsi="Arial"/>
          <w:sz w:val="18"/>
          <w:szCs w:val="18"/>
          <w:color w:val="auto"/>
        </w:rPr>
        <w:t>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PAA's business activities are conducted through three operating segments: Transportation, Facilities and Supply and Logistics.</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Ongoing Acquisition Activities</w:t>
      </w:r>
    </w:p>
    <w:p>
      <w:pPr>
        <w:spacing w:after="0" w:line="231" w:lineRule="exact"/>
        <w:rPr>
          <w:sz w:val="20"/>
          <w:szCs w:val="20"/>
          <w:color w:val="auto"/>
        </w:rPr>
      </w:pPr>
    </w:p>
    <w:p>
      <w:pPr>
        <w:ind w:left="240" w:right="60" w:firstLine="351"/>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72" w:lineRule="exact"/>
        <w:rPr>
          <w:sz w:val="20"/>
          <w:szCs w:val="20"/>
          <w:color w:val="auto"/>
        </w:rPr>
      </w:pPr>
    </w:p>
    <w:p>
      <w:pPr>
        <w:ind w:left="240" w:right="120" w:firstLine="348"/>
        <w:spacing w:after="0" w:line="314" w:lineRule="auto"/>
        <w:rPr>
          <w:sz w:val="20"/>
          <w:szCs w:val="20"/>
          <w:color w:val="auto"/>
        </w:rPr>
      </w:pPr>
      <w:r>
        <w:rPr>
          <w:rFonts w:ascii="Arial" w:cs="Arial" w:eastAsia="Arial" w:hAnsi="Arial"/>
          <w:sz w:val="15"/>
          <w:szCs w:val="15"/>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left="240" w:right="520" w:firstLine="342"/>
        <w:spacing w:after="0" w:line="268" w:lineRule="auto"/>
        <w:rPr>
          <w:sz w:val="20"/>
          <w:szCs w:val="20"/>
          <w:color w:val="auto"/>
        </w:rPr>
      </w:pPr>
      <w:r>
        <w:rPr>
          <w:rFonts w:ascii="Arial" w:cs="Arial" w:eastAsia="Arial" w:hAnsi="Arial"/>
          <w:sz w:val="18"/>
          <w:szCs w:val="18"/>
          <w:color w:val="auto"/>
        </w:rPr>
        <w:t>As a result of the completion of the transactions contemplated by the Simplification Agreement on November 15, 2016, our general partner has responsibility for managing the business and affairs of PAA, in addition to us and AAP.</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left="240" w:right="20" w:firstLine="351"/>
        <w:spacing w:after="0" w:line="255" w:lineRule="auto"/>
        <w:rPr>
          <w:sz w:val="20"/>
          <w:szCs w:val="20"/>
          <w:color w:val="auto"/>
        </w:rPr>
      </w:pPr>
      <w:r>
        <w:rPr>
          <w:rFonts w:ascii="Arial" w:cs="Arial" w:eastAsia="Arial" w:hAnsi="Arial"/>
          <w:sz w:val="18"/>
          <w:szCs w:val="18"/>
          <w:color w:val="auto"/>
        </w:rPr>
        <w:t xml:space="preserve">Our principal executive offices are located at 333 Clay Street, Suite 1600, Houston, TX 77002 and our telephone number is (713) 646-4100. Our website is located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2015 and our Quarterly Reports on Form 10-Q for the quarterly periods ended March 31, 2016, June 30, 2016 and September 30, 2016,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620" w:type="dxa"/>
            <w:vAlign w:val="bottom"/>
            <w:tcBorders>
              <w:top w:val="single" w:sz="8" w:color="auto"/>
              <w:left w:val="single" w:sz="8" w:color="auto"/>
            </w:tcBorders>
          </w:tcPr>
          <w:p>
            <w:pPr>
              <w:spacing w:after="0"/>
              <w:rPr>
                <w:sz w:val="24"/>
                <w:szCs w:val="24"/>
                <w:color w:val="auto"/>
              </w:rPr>
            </w:pPr>
          </w:p>
        </w:tc>
        <w:tc>
          <w:tcPr>
            <w:tcW w:w="8800" w:type="dxa"/>
            <w:vAlign w:val="bottom"/>
            <w:tcBorders>
              <w:top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Class A Shares Offered</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Class A shares having an aggregate offering price of up to $500,000,000.</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6"/>
              </w:rPr>
              <w:t>Pursuant to the Omnibus Agreement, we have agreed to use the net proceeds from any public or private</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3"/>
              </w:rPr>
              <w:t>offering and sale of Class A shares, including this offering, to purchase from AAP a number of AAP Class A</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0"/>
              </w:rPr>
              <w:t>units equal to the number of Class A shares sold in such offering at a price equal to the net proceeds from such</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2"/>
              </w:rPr>
              <w:t>offering. The Omnibus Agreement also provides that immediately following such purchase and sale, AAP will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6"/>
              </w:rPr>
              <w:t>use the net proceeds it receives from such sale of AAP Class A units to PAGP to purchase from PAA an</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equivalent number of common units of PAA.</w:t>
            </w:r>
          </w:p>
        </w:tc>
      </w:tr>
      <w:tr>
        <w:trPr>
          <w:trHeight w:val="426"/>
        </w:trPr>
        <w:tc>
          <w:tcPr>
            <w:tcW w:w="262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3"/>
              </w:rPr>
              <w:t>PAA is expected to use the net proceeds it receives from any sale of such common units to AAP for general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0"/>
              </w:rPr>
              <w:t>partnership purposes, which may include, among other things, repayment of indebtedness, acquisitions, capital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expenditures and additions to working capital. Amounts repaid under PAA's credit facilities or commercial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paper program may be reborrowed to fund its ongoing expansion capital program, future acquisitions and</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0"/>
              </w:rPr>
              <w:t>investments or for general partnership purposes. Please read "Use of Proceeds" in this prospectus supplement</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for further information.</w:t>
            </w:r>
          </w:p>
        </w:tc>
      </w:tr>
      <w:tr>
        <w:trPr>
          <w:trHeight w:val="432"/>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Exchange Listing</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Our Class A shares are traded on the NYSE under the symbol "PAGP."</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Conflicts of Interest</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8"/>
              </w:rPr>
              <w:t>Affiliates of certain of the sales agents are lenders under PAA's credit facilities or dealers under PAA's</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89"/>
              </w:rPr>
              <w:t>commercial paper program and may hold commercial paper notes thereunder. To the extent PAA uses proceeds</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0"/>
              </w:rPr>
              <w:t>from the sale of common units to AAP as a result of concurrent sales of Class A shares pursuant to this offering</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(as provided for in the Omnibus Agreement) to repay indebtedness under its credit facilities or commercial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4"/>
              </w:rPr>
              <w:t>paper program, such affiliates may receive proceeds from this offering. Please read "Plan of Distribution" in</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this prospectus supplement for further information.</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1"/>
              </w:rPr>
              <w:t>There are risks associated with this offering and our business. You should consider carefully the risk factors on</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7"/>
              </w:rPr>
              <w:t>page S-4 of this prospectus supplement and the other risks identified in the documents incorporated by</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reference herein before making an investment in the Class A shares offered hereby.</w:t>
            </w:r>
          </w:p>
        </w:tc>
      </w:tr>
      <w:tr>
        <w:trPr>
          <w:trHeight w:val="228"/>
        </w:trPr>
        <w:tc>
          <w:tcPr>
            <w:tcW w:w="2620" w:type="dxa"/>
            <w:vAlign w:val="bottom"/>
            <w:tcBorders>
              <w:left w:val="single" w:sz="8" w:color="auto"/>
              <w:bottom w:val="single" w:sz="8" w:color="auto"/>
            </w:tcBorders>
          </w:tcPr>
          <w:p>
            <w:pPr>
              <w:spacing w:after="0"/>
              <w:rPr>
                <w:sz w:val="19"/>
                <w:szCs w:val="19"/>
                <w:color w:val="auto"/>
              </w:rPr>
            </w:pPr>
          </w:p>
        </w:tc>
        <w:tc>
          <w:tcPr>
            <w:tcW w:w="8800" w:type="dxa"/>
            <w:vAlign w:val="bottom"/>
            <w:tcBorders>
              <w:bottom w:val="single" w:sz="8" w:color="auto"/>
              <w:right w:val="single" w:sz="8" w:color="auto"/>
            </w:tcBorders>
          </w:tcPr>
          <w:p>
            <w:pPr>
              <w:spacing w:after="0"/>
              <w:rPr>
                <w:sz w:val="19"/>
                <w:szCs w:val="19"/>
                <w:color w:val="auto"/>
              </w:rPr>
            </w:pPr>
          </w:p>
        </w:tc>
      </w:tr>
      <w:tr>
        <w:trPr>
          <w:trHeight w:val="427"/>
        </w:trPr>
        <w:tc>
          <w:tcPr>
            <w:tcW w:w="2620" w:type="dxa"/>
            <w:vAlign w:val="bottom"/>
          </w:tcPr>
          <w:p>
            <w:pPr>
              <w:spacing w:after="0"/>
              <w:rPr>
                <w:sz w:val="24"/>
                <w:szCs w:val="24"/>
                <w:color w:val="auto"/>
              </w:rPr>
            </w:pPr>
          </w:p>
        </w:tc>
        <w:tc>
          <w:tcPr>
            <w:tcW w:w="8800" w:type="dxa"/>
            <w:vAlign w:val="bottom"/>
          </w:tcPr>
          <w:p>
            <w:pPr>
              <w:ind w:left="2980"/>
              <w:spacing w:after="0"/>
              <w:rPr>
                <w:sz w:val="20"/>
                <w:szCs w:val="20"/>
                <w:color w:val="auto"/>
              </w:rPr>
            </w:pPr>
            <w:r>
              <w:rPr>
                <w:rFonts w:ascii="Arial" w:cs="Arial" w:eastAsia="Arial" w:hAnsi="Arial"/>
                <w:sz w:val="18"/>
                <w:szCs w:val="18"/>
                <w:color w:val="auto"/>
              </w:rPr>
              <w:t>S-3</w:t>
            </w:r>
          </w:p>
        </w:tc>
      </w:tr>
      <w:tr>
        <w:trPr>
          <w:trHeight w:val="228"/>
        </w:trPr>
        <w:tc>
          <w:tcPr>
            <w:tcW w:w="26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making an investment in the Class A shares offered hereby, you should carefully consider the risk factors included in Item 1A. "Risk Factors" of our Annual Report on Form 10-K for the fiscal year ended December 31, 2015 (File No. 001-36132),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Class A shares could decline, and you could lose all or part of your investment.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Pursuant to the Omnibus Agreement, we have agreed to use the net proceeds from any public or private offering and sale of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of PAA.</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PAA is expected to use the net proceeds it receives from the sale of such common units to AAP for general partnership purposes, which may include, among other things, repayment of indebtedness, acquisitions, capital expenditures and additions to working capital. Amounts repaid under PAA's credit facilities or commercial paper program may be reborrowed to fund its ongoing expansion capital program, future acquisitions and investments or for general partnership purposes.</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Affiliates of certain of the sales agents are lenders under PAA's credit facilities or dealers under PAA's commercial paper program and may hold commercial paper notes thereunder. To the extent PAA uses proceeds from the sale of common units to AAP as a result of concurrent sales of Class A shares pursuant to this offering (as provided in the Omnibus Agreement) to repay indebtedness under its credit facilities or commercial paper program, such affiliates may receive a portion of the net proceeds from this offering. Please read "Plan of Distribution" in this prospectus supplement for further information.</w:t>
      </w:r>
    </w:p>
    <w:p>
      <w:pPr>
        <w:spacing w:after="0" w:line="167"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As of December 23, 2016, there were no borrowings outstanding under PAA's senior unsecured revolving credit facility, which bears interest at a variable rate and matures in August 2021. As of December 23, 2016, PAA had approximately $850 million of borrowings outstanding under its senior secured hedged inventory facility with a weighted average interest rate of 1.82%. PAA's senior secured hedged inventory facility matures in August 2019. Borrowings from such facility are primarily used to finance purchased or stored hedged inventory, including New York Mercantile Exchange ("NYMEX") and Intercontinental Exchange ("ICE") margin deposits. As of December 23, 2016 there were no borrowings outstanding under PAA's senior unsecured 364-day revolving credit facility, which bears interest at a variable rate and matures in August 2017. As of December 23, 2016, PAA had approximately $759 million of borrowings outstanding under its commercial paper program with a weighted average interest rate of approximately 1.57%. The outstanding borrowings under PAA's commercial paper program have maturity dates of two months or less. PAA's commercial paper program is backstopped by its senior secured hedged inventory facility and its senior unsecured revolving credit facility. Borrowings from PAA's commercial paper program are primarily used to fund hedged NGL and crude oil inventory and NYMEX and ICE margin deposits, capital investments and for other general partnership purposes.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have entered into an equity distribution agreement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 Securities LLC, as sales agents, under which we are permitted to offer and sell Class A shares having an aggregate offering price of up to $500,000,000 from time to time. We have filed the equity distribution agreement as an exhibit to a Current Report on Form 8-K, which is incorporated by reference in this prospectus supplement. The sales, if any, of Class A shares made under the equity distribution agreement will be made by means of ordinary brokers' transactions on the NYSE at market prices, in block transactions, or as otherwise as agreed upon by one or more of the sales agents and us. The sales agents will not engage in any transactions that stabilize the price of our Class A shares.</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the terms of the equity distribution agreement, we also may sell Class A shares to one or more of our sales agents as principal for its own account at a price agreed upon at the time of sale. If we sell Class A shares to one or more of our sales agents as principal, we will enter into a separate agreement with the sales agent and we will describe this agreement in a separate prospectus supplement or pricing supplement.</w:t>
      </w:r>
    </w:p>
    <w:p>
      <w:pPr>
        <w:spacing w:after="0" w:line="16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will designate the maximum amount of Class A shares to be sold through the sales agents on a daily basis or otherwise as we and the sales agents agree and the minimum price per Class A share at which such Class A shares may be sold. Subject to the terms and conditions of the equity distribution agreement, the sales agents will use their reasonable efforts to sell on our behalf all of the designated Class A shares. We may instruct the sales agents not to sell any Class A shares if the sales cannot be effected at or above the price designated by us in any such instruction. We or the sales agents may suspend the offering of Class A shares at any time and from time to time by notifying the other party.</w:t>
      </w:r>
    </w:p>
    <w:p>
      <w:pPr>
        <w:spacing w:after="0" w:line="170"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sales agents will provide to us written confirmation following the close of trading on the NYSE each day in which Class A shares are sold under the equity distribution agreement. Each confirmation will include the number of Class A shares sold on that day, the gross sales proceeds and the net proceeds to us (after regulatory transaction fees, if any, but before other expenses). We will report at least quarterly the number of Class A shares sold through the sales agents under the equity distribution agreement, the net proceeds to us (before expenses) and the commissions of the sales agents in connection with the sales of the Class A shares.</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pay each sales agent a commission of up to 2.0% of the gross sales price per Class A share sold through it as our agent under the equity distribution agreement. We have agreed to reimburse the sales agents for certain of their expenses.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Settlement for sales of Class A shares will occur on the third business day following the date on which any sales were made in return for payment of the net proceeds to us. There is no arrangement for funds to be received in an escrow, trust or similar arrangement.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we or any of the sales agents have reason to believe that our Class A shares are no longer an "actively-traded security" as defined under Rule 101(c)(l) of Regulation M under the Securities Exchange Act of 1934, as amended (the "Exchange Act"), that party will promptly notify the others and sales of Class A shares pursuant to the equity distribution agreement or any terms agreement will be suspended until in our collective judgment Rule 101(c)(1) or another exemptive provision has been satisfied.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offering of Class A shares pursuant to the equity distribution agreement will terminate upon the earlier of (1) the sale of all Class A shares subject to the equity distribution agreement or (2) the termination of the equity distribution agreement by us or by the sales agents.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the sale of the Class A shares on our behalf, each of the sales agents will be deemed to be an "underwriter" within the meaning of the Securities Act of 1933, as amended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w:t>
      </w:r>
    </w:p>
    <w:p>
      <w:pPr>
        <w:spacing w:after="0" w:line="19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Affiliates of certain of the sales agents are lenders under PAA's credit facilities or dealers under PAA's commercial paper program and may hold commercial paper notes thereunder. To the extent PAA uses proceeds from the sale of common units to AAP as a result of concurrent sales of Class A shares pursuant to this offering (as provided for in the Omnibus Agreement) to repay indebtedness under its credit facilities or commercial paper program, such affiliates may receive proceeds from this offering.</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ordinary course of their business activities, the sales agents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sales agents or their affiliates have a lending relationship with us, they may hedge their credit exposure to us consistent with their customary risk management policies. The sales agents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discount or commission to be received by any FINRA member or independent broker-dealer may not exceed 8% of the aggregate offering price of the Class A shares offered pursuant to this prospectus supplement. Because FINRA views the Class A shares offered hereby as interests in a direct participation program, this offering is being made in compliance with Rule 2310 of the FINRA Rules.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validity of the Class A shares offered in this prospectus supplement will be passed upon for us by Vinson &amp; Elkins L.L.P., Houston, Texas. Certain legal matters will be passed upon for the sales agents by Baker Botts L.L.P., Houston, Texas.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2015 have been so incorporated in reliance on the report of PricewaterhouseCoopers LLP, an independent registered public accounting firm, given on the authority of said firm as experts in auditing and accounting.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Class A shares contemplated by this prospectus supplement are complete:</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2016, June 30, 2016 and September 30, 2016;</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on February 2, 2016, May 18, 2016, July 14, 2016, August 17, 2016, August 31, 2016, November 21, 2016 and November 29, 2016;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54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w:t>
      </w:r>
    </w:p>
    <w:p>
      <w:pPr>
        <w:spacing w:after="0" w:line="13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the accompanying base prospectus. We have not, and the sales agents and their affiliates and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Class A Shares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 The aggregate offering price of the Class A shares sold by us under this prospectus will not exceed $1,000,000,000.</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7" w:lineRule="exact"/>
        <w:rPr>
          <w:sz w:val="20"/>
          <w:szCs w:val="20"/>
          <w:color w:val="auto"/>
        </w:rPr>
      </w:pPr>
    </w:p>
    <w:p>
      <w:pPr>
        <w:jc w:val="both"/>
        <w:ind w:right="14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4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6"/>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6"/>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17">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5"/>
                <w:szCs w:val="15"/>
                <w:color w:val="0000EE"/>
                <w:w w:val="73"/>
              </w:rPr>
            </w:pPr>
            <w:hyperlink w:anchor="page18">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5160" w:type="dxa"/>
            <w:vAlign w:val="bottom"/>
            <w:gridSpan w:val="14"/>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Use of Proceeds</w:t>
              </w:r>
            </w:hyperlink>
          </w:p>
        </w:tc>
        <w:tc>
          <w:tcPr>
            <w:tcW w:w="4900" w:type="dxa"/>
            <w:vAlign w:val="bottom"/>
            <w:gridSpan w:val="12"/>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Our Cash Distribution Policy</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4"/>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Investment in Plains GP Holdings, L.P. by Employee Benefit Plans</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466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508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we may, over time, offer and sell up to $1,000,000,000 in total aggregate offering price of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14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including, but not limited to: PAA Management, L.P.; and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3" w:lineRule="exact"/>
        <w:rPr>
          <w:rFonts w:ascii="Arial" w:cs="Arial" w:eastAsia="Arial" w:hAnsi="Arial"/>
          <w:sz w:val="16"/>
          <w:szCs w:val="16"/>
          <w:color w:val="auto"/>
        </w:rPr>
      </w:pPr>
    </w:p>
    <w:p>
      <w:pPr>
        <w:jc w:val="both"/>
        <w:ind w:left="1080" w:right="3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207" w:lineRule="exact"/>
        <w:rPr>
          <w:rFonts w:ascii="Arial" w:cs="Arial" w:eastAsia="Arial" w:hAnsi="Arial"/>
          <w:sz w:val="18"/>
          <w:szCs w:val="18"/>
          <w:color w:val="auto"/>
        </w:rPr>
      </w:pPr>
    </w:p>
    <w:p>
      <w:pPr>
        <w:jc w:val="both"/>
        <w:ind w:left="1080" w:right="58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"Omnibus Agreement" refers to the Omnibus Agreement entered into on November 15, 2016 with our general partner, GP LLC, AAP, PAA GP and PAA in connection with the transactions contemplated by the Simplification Agreement, pursuant to which the parties agreed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including all such documents we may file with the SEC after the date of the initial registration statement and prior to the effectiveness of the registration statement, until all offerings under this registration statement are completed:</w:t>
      </w:r>
    </w:p>
    <w:p>
      <w:pPr>
        <w:spacing w:after="0" w:line="22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2016, June 30, 2016 and September 30, 2016;</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on February 2, 2016, May 18, 2016, July 14, 2016, August 17, 2016, August 31, 2016, November 21, 2016 and November 29, 2016; and</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ir.pagp.com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2015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 November 30, 2016, our only cash-generating assets consisted of our direct and indirect ownership of 100,771,924 Class A Units of AAP, which we refer to as AAP Class A units, which represent a 41.8% limited partner interest in AAP (41.0% economic interest including the dilutive effect of the Class B units of AAP (the "AAP management units")). AAP owns a non-economic general partner interest in PAA and, as of November 30, 2016, 244,707,926 common units of PAA.</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PAA is a Delaware limited partnership formed in 1998. PAA's operations are conducted directly and indirectly through its primary operating subsidiaries. PAA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PAA's business activities are conducted through three operating segments: Transportation, Facilities and Supply and Logistics.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a result of the completion of the transactions contemplated by the Simplification Agreement on November 15, 2016, our general partner, PAA GP Holdings LLC, has responsibility for managing the business and affairs of PAA, in addition to AAP and PAGP.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2015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repayment of indebtedness, acquisitions, capital expenditures and additions to working capital.</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Pursuant to the Omnibus Agreement, we have agreed to use the net proceeds from any public or private offering and sale of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of PAA.</w:t>
      </w:r>
    </w:p>
    <w:p>
      <w:pPr>
        <w:spacing w:after="0" w:line="16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November 30, 2016, our only cash-generating assets consisted of our direct and indirect ownership of 100,771,924 AAP Class A units, which represent a 41.8% limited partnership interest in AAP (41.0% economic interest including the dilutive effect of the AAP management units). AAP owns a non-economic general partner interest in PAA and, as of November 30, 2016, 244,707,926 common units of PAA. Therefore, our cash flow and resulting ability to make distributions will be completely dependent upon the ability of PAA to make distributions to AAP in respect of those common units.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Issuance of additional</w:t>
      </w:r>
      <w:r>
        <w:rPr>
          <w:sz w:val="20"/>
          <w:szCs w:val="20"/>
          <w:color w:val="auto"/>
        </w:rPr>
        <w:tab/>
      </w:r>
      <w:r>
        <w:rPr>
          <w:rFonts w:ascii="Arial" w:cs="Arial" w:eastAsia="Arial" w:hAnsi="Arial"/>
          <w:sz w:val="16"/>
          <w:szCs w:val="16"/>
          <w:color w:val="auto"/>
        </w:rPr>
        <w:t>No approval right.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(or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w:t>
      </w:r>
    </w:p>
    <w:p>
      <w:pPr>
        <w:spacing w:after="0" w:line="21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Amendment of our</w:t>
      </w:r>
      <w:r>
        <w:rPr>
          <w:sz w:val="20"/>
          <w:szCs w:val="20"/>
          <w:color w:val="auto"/>
        </w:rPr>
        <w:tab/>
      </w:r>
      <w:r>
        <w:rPr>
          <w:rFonts w:ascii="Arial" w:cs="Arial" w:eastAsia="Arial" w:hAnsi="Arial"/>
          <w:sz w:val="15"/>
          <w:szCs w:val="15"/>
          <w:color w:val="auto"/>
        </w:rPr>
        <w:t>Amendments to our partnership agreement may be proposed only by or with the consent of our general partner. Certain amendments</w:t>
      </w:r>
    </w:p>
    <w:p>
      <w:pPr>
        <w:spacing w:after="0" w:line="15"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6"/>
          <w:szCs w:val="16"/>
          <w:color w:val="auto"/>
        </w:rPr>
        <w:t>partnership</w:t>
      </w:r>
      <w:r>
        <w:rPr>
          <w:sz w:val="20"/>
          <w:szCs w:val="20"/>
          <w:color w:val="auto"/>
        </w:rPr>
        <w:tab/>
      </w:r>
      <w:r>
        <w:rPr>
          <w:rFonts w:ascii="Arial" w:cs="Arial" w:eastAsia="Arial" w:hAnsi="Arial"/>
          <w:sz w:val="16"/>
          <w:szCs w:val="16"/>
          <w:color w:val="auto"/>
        </w:rPr>
        <w:t>may be made by our general partner without the approval of our shareholders. Other amendments generally require the approval of a</w:t>
      </w:r>
    </w:p>
    <w:p>
      <w:pPr>
        <w:spacing w:after="0" w:line="32"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6"/>
          <w:szCs w:val="16"/>
          <w:color w:val="auto"/>
        </w:rPr>
        <w:t>agreement</w:t>
      </w:r>
      <w:r>
        <w:rPr>
          <w:sz w:val="20"/>
          <w:szCs w:val="20"/>
          <w:color w:val="auto"/>
        </w:rPr>
        <w:tab/>
      </w:r>
      <w:r>
        <w:rPr>
          <w:rFonts w:ascii="Arial" w:cs="Arial" w:eastAsia="Arial" w:hAnsi="Arial"/>
          <w:sz w:val="16"/>
          <w:szCs w:val="16"/>
          <w:color w:val="auto"/>
        </w:rPr>
        <w:t>majority of our outstanding shares (including under certain circumstances, our Class C shares). Please read "—Amendments to Our</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Partnership Agreement."</w:t>
      </w:r>
    </w:p>
    <w:p>
      <w:pPr>
        <w:spacing w:after="0" w:line="21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Merger of our</w:t>
      </w:r>
      <w:r>
        <w:rPr>
          <w:sz w:val="20"/>
          <w:szCs w:val="20"/>
          <w:color w:val="auto"/>
        </w:rPr>
        <w:tab/>
      </w:r>
      <w:r>
        <w:rPr>
          <w:rFonts w:ascii="Arial" w:cs="Arial" w:eastAsia="Arial" w:hAnsi="Arial"/>
          <w:sz w:val="15"/>
          <w:szCs w:val="15"/>
          <w:color w:val="auto"/>
        </w:rPr>
        <w:t>A majority of our outstanding shares in certain circumstances. Please read "—Merger, Sale or Other Disposition of Assets."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 or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 of all 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substantially all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assets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80" w:right="26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jc w:val="right"/>
        <w:ind w:right="380"/>
        <w:spacing w:after="0" w:line="332" w:lineRule="auto"/>
        <w:rPr>
          <w:sz w:val="20"/>
          <w:szCs w:val="20"/>
          <w:color w:val="auto"/>
        </w:rPr>
      </w:pPr>
      <w:r>
        <w:rPr>
          <w:rFonts w:ascii="Arial" w:cs="Arial" w:eastAsia="Arial" w:hAnsi="Arial"/>
          <w:sz w:val="16"/>
          <w:szCs w:val="16"/>
          <w:color w:val="auto"/>
        </w:rPr>
        <w:t>Withdrawal of our general partner</w:t>
      </w:r>
    </w:p>
    <w:p>
      <w:pPr>
        <w:spacing w:after="0" w:line="139" w:lineRule="exact"/>
        <w:rPr>
          <w:sz w:val="20"/>
          <w:szCs w:val="20"/>
          <w:color w:val="auto"/>
        </w:rPr>
      </w:pPr>
    </w:p>
    <w:p>
      <w:pPr>
        <w:ind w:left="180" w:hanging="179"/>
        <w:spacing w:after="0" w:line="268" w:lineRule="auto"/>
        <w:rPr>
          <w:sz w:val="20"/>
          <w:szCs w:val="20"/>
          <w:color w:val="auto"/>
        </w:rPr>
      </w:pPr>
      <w:r>
        <w:rPr>
          <w:rFonts w:ascii="Arial" w:cs="Arial" w:eastAsia="Arial" w:hAnsi="Arial"/>
          <w:sz w:val="18"/>
          <w:szCs w:val="18"/>
          <w:color w:val="auto"/>
        </w:rPr>
        <w:t>Removal of our general partner</w:t>
      </w:r>
    </w:p>
    <w:p>
      <w:pPr>
        <w:spacing w:after="0" w:line="227" w:lineRule="exact"/>
        <w:rPr>
          <w:sz w:val="20"/>
          <w:szCs w:val="20"/>
          <w:color w:val="auto"/>
        </w:rPr>
      </w:pPr>
    </w:p>
    <w:p>
      <w:pPr>
        <w:ind w:left="180" w:right="80" w:hanging="179"/>
        <w:spacing w:after="0" w:line="370" w:lineRule="auto"/>
        <w:rPr>
          <w:sz w:val="20"/>
          <w:szCs w:val="20"/>
          <w:color w:val="auto"/>
        </w:rPr>
      </w:pPr>
      <w:r>
        <w:rPr>
          <w:rFonts w:ascii="Arial" w:cs="Arial" w:eastAsia="Arial" w:hAnsi="Arial"/>
          <w:sz w:val="15"/>
          <w:szCs w:val="15"/>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00" w:lineRule="exact"/>
        <w:rPr>
          <w:sz w:val="20"/>
          <w:szCs w:val="20"/>
          <w:color w:val="auto"/>
        </w:rPr>
      </w:pPr>
    </w:p>
    <w:p>
      <w:pPr>
        <w:spacing w:after="0" w:line="242" w:lineRule="exact"/>
        <w:rPr>
          <w:sz w:val="20"/>
          <w:szCs w:val="20"/>
          <w:color w:val="auto"/>
        </w:rPr>
      </w:pPr>
    </w:p>
    <w:p>
      <w:pPr>
        <w:ind w:right="200"/>
        <w:spacing w:after="0" w:line="212" w:lineRule="auto"/>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including shares held by our general partner, the Legacy Owners and their respective affiliates. Please read "—Withdrawal or Removal of the General Partner."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434" w:lineRule="exact"/>
        <w:rPr>
          <w:sz w:val="20"/>
          <w:szCs w:val="20"/>
          <w:color w:val="auto"/>
        </w:rPr>
      </w:pPr>
    </w:p>
    <w:p>
      <w:pPr>
        <w:sectPr>
          <w:pgSz w:w="11900" w:h="16838" w:orient="portrait"/>
          <w:cols w:equalWidth="0" w:num="2">
            <w:col w:w="1680" w:space="180"/>
            <w:col w:w="954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2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 Public Election of Directors") unless any action by the shareholders requires approval by holders of a greater percentage of the shares, in which case the quorum will be the greater percentage.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CEO of our general partner is an automatic member (and Chairman) of our general partner's board of directors and therefore will not be included in a class. In addition, any director subject to appointment by the holders of PAA's Series A preferred units (as described below) will not be included in a class. Each class of directors will serve a three-year term.</w:t>
      </w:r>
    </w:p>
    <w:p>
      <w:pPr>
        <w:spacing w:after="0" w:line="16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19.9% of the outstanding Class A shares, Class B shares and Class C shares beneficially owned by a greater than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 owner will be counted for purposes of determining a quorum for the election of our general partner's board of directors.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we would have the power to indemnify the person against liabilities under our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560" w:firstLine="351"/>
        <w:spacing w:after="0" w:line="335" w:lineRule="auto"/>
        <w:rPr>
          <w:sz w:val="20"/>
          <w:szCs w:val="20"/>
          <w:color w:val="auto"/>
        </w:rPr>
      </w:pPr>
      <w:r>
        <w:rPr>
          <w:rFonts w:ascii="Arial" w:cs="Arial" w:eastAsia="Arial" w:hAnsi="Arial"/>
          <w:sz w:val="15"/>
          <w:szCs w:val="15"/>
          <w:color w:val="auto"/>
        </w:rPr>
        <w:t>Our Class A shares are listed on the NYSE under the symbol "PAGP"; we do not intend to list the Class B shares or the Class C shares on any stock exchange. All of our Class B shares are owned by the Legacy Owners, including holders of the AAP management units who have exchanged such AAP management units for AAP Class A units and a like number of Class B shares, or their permitted transferees. All of the Class C shares are owned by PAA.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and 2018,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5620" w:right="300" w:hanging="5072"/>
        <w:spacing w:after="0" w:line="519" w:lineRule="auto"/>
        <w:tabs>
          <w:tab w:leader="none" w:pos="10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Class A shares constitute a United States real property interest by reason of our status as a USRPHC for U.S. federal income tax purposes.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 exemption, information reporting will apply to a payment of the proceeds of the disposition of our Class A shares effected outside the United States by such a broker if it has certain relationships within the United States.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In addition, the fiduciaries of any ERISA Plan with investment discretion with respect to the assets of an employee benefit plan should determine whether an investment in our Class A shares is authorized by the appropriate governing instrument and is a proper investment for the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any other applicable Similar Law.</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under some circumstances. Under these rules, an entity's assets would not be considered to be "plan assets" if, among other things:</w:t>
      </w:r>
    </w:p>
    <w:p>
      <w:pPr>
        <w:spacing w:after="0" w:line="239" w:lineRule="exact"/>
        <w:rPr>
          <w:sz w:val="20"/>
          <w:szCs w:val="20"/>
          <w:color w:val="auto"/>
        </w:rPr>
      </w:pPr>
    </w:p>
    <w:p>
      <w:pPr>
        <w:ind w:left="1080" w:right="300" w:hanging="532"/>
        <w:spacing w:after="0" w:line="370"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offer and sell the Class A shares offered by this prospectus by one or more of, or a combination of, the following methods:</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will determine the offering price per Class A share from time to time in connection with, and at the time of, sale. We will price the Class A shares at:</w:t>
      </w:r>
    </w:p>
    <w:p>
      <w:pPr>
        <w:spacing w:after="0" w:line="275"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Class A shares for whom they may act as agents. If any broker-dealer purchases Class A shares as principal, it may effect resales of such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To the extent required, the names of the specific managing underwriter or underwriters, brokers, dealers and agents,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or may be calculated from,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 specific liabilities, including liabilities under the Securities Act of 1933, as amended (the "Securities Act").</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may offer our Class A shares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Class A shares under this prospectus and the registration statement of which it forms a part will not exceed 8% of the gross proceeds from the sale.</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624840</wp:posOffset>
            </wp:positionV>
            <wp:extent cx="2830195"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0195" cy="62611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20"/>
        <w:spacing w:after="0"/>
        <w:rPr>
          <w:sz w:val="20"/>
          <w:szCs w:val="20"/>
          <w:color w:val="auto"/>
        </w:rPr>
      </w:pPr>
      <w:r>
        <w:rPr>
          <w:rFonts w:ascii="Arial" w:cs="Arial" w:eastAsia="Arial" w:hAnsi="Arial"/>
          <w:sz w:val="23"/>
          <w:szCs w:val="23"/>
          <w:b w:val="1"/>
          <w:bCs w:val="1"/>
          <w:color w:val="auto"/>
        </w:rPr>
        <w:t>Class A shares Representing Limited Partner Interests</w:t>
      </w:r>
    </w:p>
    <w:p>
      <w:pPr>
        <w:spacing w:after="0" w:line="4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Having an Aggregate Offering Price of Up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156845</wp:posOffset>
            </wp:positionV>
            <wp:extent cx="1895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December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w:t>
      </w:r>
    </w:p>
    <w:p>
      <w:pPr>
        <w:jc w:val="center"/>
        <w:ind w:right="-1220"/>
        <w:spacing w:after="0" w:line="237" w:lineRule="auto"/>
        <w:rPr>
          <w:sz w:val="20"/>
          <w:szCs w:val="20"/>
          <w:color w:val="auto"/>
        </w:rPr>
      </w:pPr>
      <w:r>
        <w:rPr>
          <w:rFonts w:ascii="Arial" w:cs="Arial" w:eastAsia="Arial" w:hAnsi="Arial"/>
          <w:sz w:val="32"/>
          <w:szCs w:val="32"/>
          <w:b w:val="1"/>
          <w:bCs w:val="1"/>
          <w:color w:val="auto"/>
        </w:rPr>
        <w:t>BB&amp;T Capital Markets</w:t>
      </w:r>
    </w:p>
    <w:p>
      <w:pPr>
        <w:jc w:val="center"/>
        <w:ind w:right="-1220"/>
        <w:spacing w:after="0" w:line="238" w:lineRule="auto"/>
        <w:rPr>
          <w:sz w:val="20"/>
          <w:szCs w:val="20"/>
          <w:color w:val="auto"/>
        </w:rPr>
      </w:pPr>
      <w:r>
        <w:rPr>
          <w:rFonts w:ascii="Arial" w:cs="Arial" w:eastAsia="Arial" w:hAnsi="Arial"/>
          <w:sz w:val="32"/>
          <w:szCs w:val="32"/>
          <w:b w:val="1"/>
          <w:bCs w:val="1"/>
          <w:color w:val="auto"/>
        </w:rPr>
        <w:t>BMO Capital Markets</w:t>
      </w:r>
    </w:p>
    <w:p>
      <w:pPr>
        <w:jc w:val="center"/>
        <w:ind w:right="-1220"/>
        <w:spacing w:after="0" w:line="238" w:lineRule="auto"/>
        <w:rPr>
          <w:sz w:val="20"/>
          <w:szCs w:val="20"/>
          <w:color w:val="auto"/>
        </w:rPr>
      </w:pPr>
      <w:r>
        <w:rPr>
          <w:rFonts w:ascii="Arial" w:cs="Arial" w:eastAsia="Arial" w:hAnsi="Arial"/>
          <w:sz w:val="32"/>
          <w:szCs w:val="32"/>
          <w:b w:val="1"/>
          <w:bCs w:val="1"/>
          <w:color w:val="auto"/>
        </w:rPr>
        <w:t>BNP PARIBAS</w:t>
      </w:r>
    </w:p>
    <w:p>
      <w:pPr>
        <w:jc w:val="center"/>
        <w:ind w:right="-1220"/>
        <w:spacing w:after="0" w:line="238" w:lineRule="auto"/>
        <w:rPr>
          <w:sz w:val="20"/>
          <w:szCs w:val="20"/>
          <w:color w:val="auto"/>
        </w:rPr>
      </w:pPr>
      <w:r>
        <w:rPr>
          <w:rFonts w:ascii="Arial" w:cs="Arial" w:eastAsia="Arial" w:hAnsi="Arial"/>
          <w:sz w:val="32"/>
          <w:szCs w:val="32"/>
          <w:b w:val="1"/>
          <w:bCs w:val="1"/>
          <w:color w:val="auto"/>
        </w:rPr>
        <w:t>Citigroup</w:t>
      </w:r>
    </w:p>
    <w:p>
      <w:pPr>
        <w:jc w:val="center"/>
        <w:ind w:right="-1220"/>
        <w:spacing w:after="0" w:line="238" w:lineRule="auto"/>
        <w:rPr>
          <w:sz w:val="20"/>
          <w:szCs w:val="20"/>
          <w:color w:val="auto"/>
        </w:rPr>
      </w:pPr>
      <w:r>
        <w:rPr>
          <w:rFonts w:ascii="Arial" w:cs="Arial" w:eastAsia="Arial" w:hAnsi="Arial"/>
          <w:sz w:val="32"/>
          <w:szCs w:val="32"/>
          <w:b w:val="1"/>
          <w:bCs w:val="1"/>
          <w:color w:val="auto"/>
        </w:rPr>
        <w:t>Deutsche Bank Securities</w:t>
      </w:r>
    </w:p>
    <w:p>
      <w:pPr>
        <w:jc w:val="center"/>
        <w:ind w:right="-1220"/>
        <w:spacing w:after="0" w:line="237" w:lineRule="auto"/>
        <w:rPr>
          <w:sz w:val="20"/>
          <w:szCs w:val="20"/>
          <w:color w:val="auto"/>
        </w:rPr>
      </w:pPr>
      <w:r>
        <w:rPr>
          <w:rFonts w:ascii="Arial" w:cs="Arial" w:eastAsia="Arial" w:hAnsi="Arial"/>
          <w:sz w:val="32"/>
          <w:szCs w:val="32"/>
          <w:b w:val="1"/>
          <w:bCs w:val="1"/>
          <w:color w:val="auto"/>
        </w:rPr>
        <w:t>DNB Markets</w:t>
      </w:r>
    </w:p>
    <w:p>
      <w:pPr>
        <w:jc w:val="center"/>
        <w:ind w:right="-1220"/>
        <w:spacing w:after="0" w:line="238" w:lineRule="auto"/>
        <w:rPr>
          <w:sz w:val="20"/>
          <w:szCs w:val="20"/>
          <w:color w:val="auto"/>
        </w:rPr>
      </w:pPr>
      <w:r>
        <w:rPr>
          <w:rFonts w:ascii="Arial" w:cs="Arial" w:eastAsia="Arial" w:hAnsi="Arial"/>
          <w:sz w:val="32"/>
          <w:szCs w:val="32"/>
          <w:b w:val="1"/>
          <w:bCs w:val="1"/>
          <w:color w:val="auto"/>
        </w:rPr>
        <w:t>Fifth Third Securities</w:t>
      </w:r>
    </w:p>
    <w:p>
      <w:pPr>
        <w:jc w:val="center"/>
        <w:ind w:right="-1220"/>
        <w:spacing w:after="0" w:line="238" w:lineRule="auto"/>
        <w:rPr>
          <w:sz w:val="20"/>
          <w:szCs w:val="20"/>
          <w:color w:val="auto"/>
        </w:rPr>
      </w:pPr>
      <w:r>
        <w:rPr>
          <w:rFonts w:ascii="Arial" w:cs="Arial" w:eastAsia="Arial" w:hAnsi="Arial"/>
          <w:sz w:val="32"/>
          <w:szCs w:val="32"/>
          <w:b w:val="1"/>
          <w:bCs w:val="1"/>
          <w:color w:val="auto"/>
        </w:rPr>
        <w:t>J.P. Morgan</w:t>
      </w:r>
    </w:p>
    <w:p>
      <w:pPr>
        <w:jc w:val="center"/>
        <w:ind w:right="-1220"/>
        <w:spacing w:after="0" w:line="238" w:lineRule="auto"/>
        <w:rPr>
          <w:sz w:val="20"/>
          <w:szCs w:val="20"/>
          <w:color w:val="auto"/>
        </w:rPr>
      </w:pPr>
      <w:r>
        <w:rPr>
          <w:rFonts w:ascii="Arial" w:cs="Arial" w:eastAsia="Arial" w:hAnsi="Arial"/>
          <w:sz w:val="32"/>
          <w:szCs w:val="32"/>
          <w:b w:val="1"/>
          <w:bCs w:val="1"/>
          <w:color w:val="auto"/>
        </w:rPr>
        <w:t>Jefferies</w:t>
      </w:r>
    </w:p>
    <w:p>
      <w:pPr>
        <w:jc w:val="center"/>
        <w:ind w:right="-1220"/>
        <w:spacing w:after="0" w:line="238" w:lineRule="auto"/>
        <w:rPr>
          <w:sz w:val="20"/>
          <w:szCs w:val="20"/>
          <w:color w:val="auto"/>
        </w:rPr>
      </w:pPr>
      <w:r>
        <w:rPr>
          <w:rFonts w:ascii="Arial" w:cs="Arial" w:eastAsia="Arial" w:hAnsi="Arial"/>
          <w:sz w:val="32"/>
          <w:szCs w:val="32"/>
          <w:b w:val="1"/>
          <w:bCs w:val="1"/>
          <w:color w:val="auto"/>
        </w:rPr>
        <w:t>BofA Merrill Lynch</w:t>
      </w:r>
    </w:p>
    <w:p>
      <w:pPr>
        <w:jc w:val="center"/>
        <w:ind w:right="-1220"/>
        <w:spacing w:after="0" w:line="238" w:lineRule="auto"/>
        <w:rPr>
          <w:sz w:val="20"/>
          <w:szCs w:val="20"/>
          <w:color w:val="auto"/>
        </w:rPr>
      </w:pPr>
      <w:r>
        <w:rPr>
          <w:rFonts w:ascii="Arial" w:cs="Arial" w:eastAsia="Arial" w:hAnsi="Arial"/>
          <w:sz w:val="32"/>
          <w:szCs w:val="32"/>
          <w:b w:val="1"/>
          <w:bCs w:val="1"/>
          <w:color w:val="auto"/>
        </w:rPr>
        <w:t>MUFG</w:t>
      </w:r>
    </w:p>
    <w:p>
      <w:pPr>
        <w:jc w:val="center"/>
        <w:ind w:right="-1220"/>
        <w:spacing w:after="0" w:line="237" w:lineRule="auto"/>
        <w:rPr>
          <w:sz w:val="20"/>
          <w:szCs w:val="20"/>
          <w:color w:val="auto"/>
        </w:rPr>
      </w:pPr>
      <w:r>
        <w:rPr>
          <w:rFonts w:ascii="Arial" w:cs="Arial" w:eastAsia="Arial" w:hAnsi="Arial"/>
          <w:sz w:val="32"/>
          <w:szCs w:val="32"/>
          <w:b w:val="1"/>
          <w:bCs w:val="1"/>
          <w:color w:val="auto"/>
        </w:rPr>
        <w:t>Mizuho Securities</w:t>
      </w:r>
    </w:p>
    <w:p>
      <w:pPr>
        <w:jc w:val="center"/>
        <w:ind w:right="-1220"/>
        <w:spacing w:after="0" w:line="238" w:lineRule="auto"/>
        <w:rPr>
          <w:sz w:val="20"/>
          <w:szCs w:val="20"/>
          <w:color w:val="auto"/>
        </w:rPr>
      </w:pPr>
      <w:r>
        <w:rPr>
          <w:rFonts w:ascii="Arial" w:cs="Arial" w:eastAsia="Arial" w:hAnsi="Arial"/>
          <w:sz w:val="32"/>
          <w:szCs w:val="32"/>
          <w:b w:val="1"/>
          <w:bCs w:val="1"/>
          <w:color w:val="auto"/>
        </w:rPr>
        <w:t>Morgan Stanley</w:t>
      </w:r>
    </w:p>
    <w:p>
      <w:pPr>
        <w:jc w:val="center"/>
        <w:ind w:right="-1220"/>
        <w:spacing w:after="0" w:line="238" w:lineRule="auto"/>
        <w:rPr>
          <w:sz w:val="20"/>
          <w:szCs w:val="20"/>
          <w:color w:val="auto"/>
        </w:rPr>
      </w:pPr>
      <w:r>
        <w:rPr>
          <w:rFonts w:ascii="Arial" w:cs="Arial" w:eastAsia="Arial" w:hAnsi="Arial"/>
          <w:sz w:val="32"/>
          <w:szCs w:val="32"/>
          <w:b w:val="1"/>
          <w:bCs w:val="1"/>
          <w:color w:val="auto"/>
        </w:rPr>
        <w:t>Raymond James</w:t>
      </w:r>
    </w:p>
    <w:p>
      <w:pPr>
        <w:jc w:val="center"/>
        <w:ind w:right="-1220"/>
        <w:spacing w:after="0" w:line="238" w:lineRule="auto"/>
        <w:rPr>
          <w:sz w:val="20"/>
          <w:szCs w:val="20"/>
          <w:color w:val="auto"/>
        </w:rPr>
      </w:pPr>
      <w:r>
        <w:rPr>
          <w:rFonts w:ascii="Arial" w:cs="Arial" w:eastAsia="Arial" w:hAnsi="Arial"/>
          <w:sz w:val="32"/>
          <w:szCs w:val="32"/>
          <w:b w:val="1"/>
          <w:bCs w:val="1"/>
          <w:color w:val="auto"/>
        </w:rPr>
        <w:t>Scotia Howard Weil</w:t>
      </w:r>
    </w:p>
    <w:p>
      <w:pPr>
        <w:jc w:val="center"/>
        <w:ind w:right="-1220"/>
        <w:spacing w:after="0" w:line="238" w:lineRule="auto"/>
        <w:rPr>
          <w:sz w:val="20"/>
          <w:szCs w:val="20"/>
          <w:color w:val="auto"/>
        </w:rPr>
      </w:pPr>
      <w:r>
        <w:rPr>
          <w:rFonts w:ascii="Arial" w:cs="Arial" w:eastAsia="Arial" w:hAnsi="Arial"/>
          <w:sz w:val="32"/>
          <w:szCs w:val="32"/>
          <w:b w:val="1"/>
          <w:bCs w:val="1"/>
          <w:color w:val="auto"/>
        </w:rPr>
        <w:t>SMBC Nikko</w:t>
      </w:r>
    </w:p>
    <w:p>
      <w:pPr>
        <w:jc w:val="center"/>
        <w:ind w:right="-1220"/>
        <w:spacing w:after="0" w:line="238" w:lineRule="auto"/>
        <w:rPr>
          <w:sz w:val="20"/>
          <w:szCs w:val="20"/>
          <w:color w:val="auto"/>
        </w:rPr>
      </w:pPr>
      <w:r>
        <w:rPr>
          <w:rFonts w:ascii="Arial" w:cs="Arial" w:eastAsia="Arial" w:hAnsi="Arial"/>
          <w:sz w:val="32"/>
          <w:szCs w:val="32"/>
          <w:b w:val="1"/>
          <w:bCs w:val="1"/>
          <w:color w:val="auto"/>
        </w:rPr>
        <w:t>SunTrust Robinson Humphrey</w:t>
      </w:r>
    </w:p>
    <w:p>
      <w:pPr>
        <w:jc w:val="center"/>
        <w:ind w:right="-1220"/>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5"/>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4"/>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Roman"/>
      <w:start w:val="3"/>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lvl w:ilvl="1">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2020-01-22T03:15:03Z</dcterms:created>
  <dcterms:modified xsi:type="dcterms:W3CDTF">2020-01-22T03:15:03Z</dcterms:modified>
</cp:coreProperties>
</file>