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6, 2018</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538" w:right="29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38" w:right="2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360"/>
          </w:cols>
          <w:pgMar w:left="240" w:top="538" w:right="29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6, 2018, the Registrant issued a press release reporting its third-quarter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Exhibit 99.1 — Press Release dated November 6, 2018</w:t>
        </w:r>
      </w:hyperlink>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6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2018</w:t>
            </w:r>
          </w:p>
        </w:tc>
        <w:tc>
          <w:tcPr>
            <w:tcW w:w="26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 Swanson</w:t>
            </w:r>
          </w:p>
        </w:tc>
        <w:tc>
          <w:tcPr>
            <w:tcW w:w="40" w:type="dxa"/>
            <w:vAlign w:val="bottom"/>
          </w:tcPr>
          <w:p>
            <w:pPr>
              <w:spacing w:after="0"/>
              <w:rPr>
                <w:sz w:val="24"/>
                <w:szCs w:val="24"/>
                <w:color w:val="auto"/>
              </w:rPr>
            </w:pPr>
          </w:p>
        </w:tc>
      </w:tr>
      <w:tr>
        <w:trPr>
          <w:trHeight w:val="189"/>
        </w:trPr>
        <w:tc>
          <w:tcPr>
            <w:tcW w:w="37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Al Swanson</w:t>
            </w:r>
          </w:p>
        </w:tc>
        <w:tc>
          <w:tcPr>
            <w:tcW w:w="40" w:type="dxa"/>
            <w:vAlign w:val="bottom"/>
          </w:tcPr>
          <w:p>
            <w:pPr>
              <w:spacing w:after="0"/>
              <w:rPr>
                <w:sz w:val="16"/>
                <w:szCs w:val="16"/>
                <w:color w:val="auto"/>
              </w:rPr>
            </w:pPr>
          </w:p>
        </w:tc>
      </w:tr>
      <w:tr>
        <w:trPr>
          <w:trHeight w:val="236"/>
        </w:trPr>
        <w:tc>
          <w:tcPr>
            <w:tcW w:w="3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157480</wp:posOffset>
            </wp:positionV>
            <wp:extent cx="6174740"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Third-Quarter 2018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(Houston — November 6, 2018) Plains All American Pipeline, L.P. (NYSE: PAA) and Plains GP Holdings (NYSE: PAGP) today reported third-quarter 2018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Third-Quarter Highlights</w:t>
      </w:r>
    </w:p>
    <w:p>
      <w:pPr>
        <w:spacing w:after="0" w:line="229" w:lineRule="exact"/>
        <w:rPr>
          <w:sz w:val="20"/>
          <w:szCs w:val="20"/>
          <w:color w:val="auto"/>
        </w:rPr>
      </w:pPr>
    </w:p>
    <w:p>
      <w:pPr>
        <w:ind w:left="1280" w:hanging="300"/>
        <w:spacing w:after="0"/>
        <w:tabs>
          <w:tab w:leader="none" w:pos="1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Delivered 3Q18 financial and operating results ahead of expectations</w:t>
      </w:r>
    </w:p>
    <w:p>
      <w:pPr>
        <w:spacing w:after="0" w:line="225"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Increased 2018 Adjusted EBITDA guidance</w:t>
      </w:r>
    </w:p>
    <w:p>
      <w:pPr>
        <w:spacing w:after="0" w:line="225"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Announced and closed sale of 30% interest in BridgeTex for net proceeds of $862 million, resulting in a gain of $210 million</w:t>
      </w:r>
    </w:p>
    <w:p>
      <w:pPr>
        <w:spacing w:after="0" w:line="225"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Continued progress on leverage reduction plan with visibility to complete during 1H19</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are pleased to report solid third-quarter results and increased guidance for the full year that reflects continued execution of our business plan and constructive industry fundamentals,” stated Willie Chiang, Chief Executive Officer of Plains All American Pipeline. “We are on track with our deleveraging objectives, our capital program and other commercial and operating initiatives and believe that we are well positioned for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GAAP Results</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tcBorders>
              <w:right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w:t>
            </w:r>
          </w:p>
        </w:tc>
        <w:tc>
          <w:tcPr>
            <w:tcW w:w="1280" w:type="dxa"/>
            <w:vAlign w:val="bottom"/>
            <w:tcBorders>
              <w:right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Non-GAAP Results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0.21</w:t>
            </w:r>
          </w:p>
        </w:tc>
        <w:tc>
          <w:tcPr>
            <w:tcW w:w="1280" w:type="dxa"/>
            <w:vAlign w:val="bottom"/>
            <w:tcBorders>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w:t>
            </w:r>
          </w:p>
        </w:tc>
        <w:tc>
          <w:tcPr>
            <w:tcW w:w="1280" w:type="dxa"/>
            <w:vAlign w:val="bottom"/>
            <w:tcBorders>
              <w:right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1,452</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0.41</w:t>
            </w:r>
          </w:p>
        </w:tc>
        <w:tc>
          <w:tcPr>
            <w:tcW w:w="1280" w:type="dxa"/>
            <w:vAlign w:val="bottom"/>
            <w:tcBorders>
              <w:right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27" w:lineRule="exact"/>
        <w:rPr>
          <w:sz w:val="20"/>
          <w:szCs w:val="20"/>
          <w:color w:val="auto"/>
        </w:rPr>
      </w:pPr>
    </w:p>
    <w:p>
      <w:pPr>
        <w:ind w:left="340" w:right="180" w:hanging="332"/>
        <w:spacing w:after="0" w:line="234" w:lineRule="auto"/>
        <w:tabs>
          <w:tab w:leader="none" w:pos="32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Adjusted EBITDA for the third quarter and first nine months of 2018 and 2017 is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Adjusted EBITDA</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Three Months Ended September 30,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(5)%</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234%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(1)%</w:t>
            </w:r>
          </w:p>
        </w:tc>
        <w:tc>
          <w:tcPr>
            <w:tcW w:w="220" w:type="dxa"/>
            <w:vAlign w:val="bottom"/>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N/A</w:t>
            </w:r>
          </w:p>
        </w:tc>
        <w:tc>
          <w:tcPr>
            <w:tcW w:w="0" w:type="dxa"/>
            <w:vAlign w:val="bottom"/>
          </w:tcPr>
          <w:p>
            <w:pPr>
              <w:spacing w:after="0"/>
              <w:rPr>
                <w:sz w:val="1"/>
                <w:szCs w:val="1"/>
                <w:color w:val="auto"/>
              </w:rPr>
            </w:pPr>
          </w:p>
        </w:tc>
      </w:tr>
      <w:tr>
        <w:trPr>
          <w:trHeight w:val="225"/>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for impact of divested assets</w:t>
            </w: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Adjusted EBITDA</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933</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550</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(4)%</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475%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220" w:type="dxa"/>
            <w:vAlign w:val="bottom"/>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N/A</w:t>
            </w:r>
          </w:p>
        </w:tc>
        <w:tc>
          <w:tcPr>
            <w:tcW w:w="0" w:type="dxa"/>
            <w:vAlign w:val="bottom"/>
          </w:tcPr>
          <w:p>
            <w:pPr>
              <w:spacing w:after="0"/>
              <w:rPr>
                <w:sz w:val="1"/>
                <w:szCs w:val="1"/>
                <w:color w:val="auto"/>
              </w:rPr>
            </w:pPr>
          </w:p>
        </w:tc>
      </w:tr>
      <w:tr>
        <w:trPr>
          <w:trHeight w:val="225"/>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for impact of divested assets</w:t>
            </w: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Third-quarter 2018 Transportation Segment Adjusted EBITDA increased by 7% over comparable 2017 results. This increase was primarily driven by increased volume on our Permian Basin systems. Third-quarter 2018 results also benefited from the Diamond pipeline being placed into service in late 2017. These favorable results were partially offset by the impact of asset sales in the Rocky Mountain and Central regions.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Third-quarter 2018 Facilities Segment Adjusted EBITDA decreased by 5% versus comparable 2017 results, primarily due to the impact of asset sales. This was partially offset by increased revenue from capacity expansions and increased throughput at our Cushing terminal, as well as increased activity at our St. James terminal and certain crude oil rail terminals.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Third-quarter 2018 Supply and Logistics Segment Adjusted EBITDA increased versus comparable 2017 results due to favorable regional crude oil differentials, higher lease gathering margins and volumes, and a benefit from an audit recovery in our NGL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Operating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volumes, per unit and per barrel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2018 (G)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 / -</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Transportation</w:t>
            </w:r>
          </w:p>
        </w:tc>
        <w:tc>
          <w:tcPr>
            <w:tcW w:w="176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Fee-Based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Supply and Logistics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other income/(expense), net</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160"/>
              <w:spacing w:after="0" w:line="23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(2)</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(483)</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capital</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Implied DCF </w:t>
            </w:r>
            <w:r>
              <w:rPr>
                <w:rFonts w:ascii="Times New Roman" w:cs="Times New Roman" w:eastAsia="Times New Roman" w:hAnsi="Times New Roman"/>
                <w:sz w:val="23"/>
                <w:szCs w:val="23"/>
                <w:b w:val="1"/>
                <w:bCs w:val="1"/>
                <w:color w:val="auto"/>
                <w:vertAlign w:val="superscript"/>
              </w:rPr>
              <w:t>(1)</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Preferred unit distributions paid </w:t>
            </w:r>
            <w:r>
              <w:rPr>
                <w:rFonts w:ascii="Times New Roman" w:cs="Times New Roman" w:eastAsia="Times New Roman" w:hAnsi="Times New Roman"/>
                <w:sz w:val="23"/>
                <w:szCs w:val="23"/>
                <w:color w:val="auto"/>
                <w:vertAlign w:val="superscript"/>
              </w:rPr>
              <w:t>(3)</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partner cash distributions</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Implied DCF Available to Common Unitholders</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Implied DCF per Common Unit </w:t>
            </w:r>
            <w:r>
              <w:rPr>
                <w:rFonts w:ascii="Times New Roman" w:cs="Times New Roman" w:eastAsia="Times New Roman" w:hAnsi="Times New Roman"/>
                <w:sz w:val="23"/>
                <w:szCs w:val="23"/>
                <w:b w:val="1"/>
                <w:bCs w:val="1"/>
                <w:color w:val="auto"/>
                <w:vertAlign w:val="superscript"/>
              </w:rPr>
              <w:t>(1)</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Implied DCF per Common Unit and Common Equivalent Unit </w:t>
            </w:r>
            <w:r>
              <w:rPr>
                <w:rFonts w:ascii="Times New Roman" w:cs="Times New Roman" w:eastAsia="Times New Roman" w:hAnsi="Times New Roman"/>
                <w:sz w:val="23"/>
                <w:szCs w:val="23"/>
                <w:b w:val="1"/>
                <w:bCs w:val="1"/>
                <w:color w:val="auto"/>
                <w:vertAlign w:val="superscript"/>
              </w:rPr>
              <w:t>(1)</w:t>
            </w: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Distributions per Common Unit </w:t>
            </w:r>
            <w:r>
              <w:rPr>
                <w:rFonts w:ascii="Times New Roman" w:cs="Times New Roman" w:eastAsia="Times New Roman" w:hAnsi="Times New Roman"/>
                <w:sz w:val="23"/>
                <w:szCs w:val="23"/>
                <w:b w:val="1"/>
                <w:bCs w:val="1"/>
                <w:color w:val="auto"/>
                <w:vertAlign w:val="superscript"/>
              </w:rPr>
              <w:t>(4)</w:t>
            </w:r>
          </w:p>
        </w:tc>
        <w:tc>
          <w:tcPr>
            <w:tcW w:w="176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Unit Distribution Coverage Ratio</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0.87x</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0.94x</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daily volumes (MBbls/d)</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5,186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176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0.67</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capacity (MMBbls/Mo)</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176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Supply and Logistics</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daily volumes (MBbls/d)</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176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0.85</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Expansion Capital</w:t>
            </w:r>
          </w:p>
        </w:tc>
        <w:tc>
          <w:tcPr>
            <w:tcW w:w="176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1,135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Fourth-Quarter Adjusted EBITDA as Percentage of Full Year</w:t>
            </w: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more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2018 Guidance forecasts are intended to be + / - amounts.</w:t>
      </w:r>
    </w:p>
    <w:p>
      <w:pPr>
        <w:spacing w:after="0" w:line="27" w:lineRule="exact"/>
        <w:rPr>
          <w:sz w:val="20"/>
          <w:szCs w:val="20"/>
          <w:color w:val="auto"/>
        </w:rPr>
      </w:pPr>
    </w:p>
    <w:p>
      <w:pPr>
        <w:ind w:left="340" w:right="40" w:hanging="332"/>
        <w:spacing w:after="0"/>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1" w:lineRule="exact"/>
        <w:rPr>
          <w:rFonts w:ascii="Times New Roman" w:cs="Times New Roman" w:eastAsia="Times New Roman" w:hAnsi="Times New Roman"/>
          <w:sz w:val="23"/>
          <w:szCs w:val="23"/>
          <w:color w:val="auto"/>
          <w:vertAlign w:val="superscript"/>
        </w:rPr>
      </w:pPr>
    </w:p>
    <w:p>
      <w:pPr>
        <w:ind w:left="340" w:right="140" w:hanging="332"/>
        <w:spacing w:after="0" w:line="236"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to our preferred unitholders during the year presented. The distribution requirement of our Series A preferred units was paid-in-kind for all 2016 and 2017 quarterly distributions and for the February 2018 quarterly distribution.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4"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per common unit paid or to be paid during the periods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24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Q2 2018</w:t>
            </w: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2017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 2018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4:00 p.m. CT on Tuesday, November 6,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third-quarter 2018 performance;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the full year of 2018 and preliminary 2019;</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and PAGP’s outlook for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Webcast Instructions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To access the internet webcast please go to </w:t>
      </w:r>
      <w:r>
        <w:rPr>
          <w:rFonts w:ascii="Times New Roman" w:cs="Times New Roman" w:eastAsia="Times New Roman" w:hAnsi="Times New Roman"/>
          <w:sz w:val="18"/>
          <w:szCs w:val="18"/>
          <w:u w:val="single" w:color="auto"/>
          <w:color w:val="auto"/>
        </w:rPr>
        <w:t>https://event.webcasts.com/starthere.jsp?ei=1213672&amp;tp_key=802fe3c91a</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gains on sales of investments in unconsolidated entities, adjusted for certain selected items impacting comparability (“Adjusted EBITDA”) and implied distributable cash flow (“DCF”).</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the failure to consummate, or significant delay in consummating, sales of assets or interests as a part of our strategic divestiture program;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20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investment in unconsolidated entities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(expense)/benefit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7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INCOME/(LOSS) PER COMMON UNIT: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income/(loss) allocated to common unitholders — Basic</w:t>
            </w:r>
          </w:p>
        </w:tc>
        <w:tc>
          <w:tcPr>
            <w:tcW w:w="9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w:t>
            </w:r>
          </w:p>
        </w:tc>
        <w:tc>
          <w:tcPr>
            <w:tcW w:w="9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946</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9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0.91</w:t>
            </w:r>
          </w:p>
        </w:tc>
        <w:tc>
          <w:tcPr>
            <w:tcW w:w="9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income/(loss) allocated to common unitholders — Diluted</w:t>
            </w:r>
          </w:p>
        </w:tc>
        <w:tc>
          <w:tcPr>
            <w:tcW w:w="9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697</w:t>
            </w:r>
          </w:p>
        </w:tc>
        <w:tc>
          <w:tcPr>
            <w:tcW w:w="9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947</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9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0.87</w:t>
            </w:r>
          </w:p>
        </w:tc>
        <w:tc>
          <w:tcPr>
            <w:tcW w:w="9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ADJUSTED RESULTS</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4"/>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9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9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636</w:t>
            </w:r>
          </w:p>
        </w:tc>
        <w:tc>
          <w:tcPr>
            <w:tcW w:w="9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8"/>
                <w:szCs w:val="18"/>
                <w:color w:val="auto"/>
              </w:rPr>
              <w:t>- more -</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1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920" w:type="dxa"/>
            <w:vAlign w:val="bottom"/>
            <w:gridSpan w:val="6"/>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6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Short-term debt </w:t>
            </w:r>
            <w:r>
              <w:rPr>
                <w:rFonts w:ascii="Times New Roman" w:cs="Times New Roman" w:eastAsia="Times New Roman" w:hAnsi="Times New Roman"/>
                <w:sz w:val="23"/>
                <w:szCs w:val="23"/>
                <w:color w:val="auto"/>
                <w:vertAlign w:val="superscript"/>
              </w:rPr>
              <w:t>(1)</w:t>
            </w:r>
          </w:p>
        </w:tc>
        <w:tc>
          <w:tcPr>
            <w:tcW w:w="1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82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tcBorders>
            <w:gridSpan w:val="2"/>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20,919</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20" w:hanging="332"/>
        <w:spacing w:after="0" w:line="22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borrowings for cash margin deposits with our clearing brokers, which are associated with financial derivatives used for hedging purposes, and for short-term hedged inventory purchases.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INCOME/(LOSS)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Income/(Loss) per Common Unit</w:t>
            </w:r>
          </w:p>
        </w:tc>
        <w:tc>
          <w:tcPr>
            <w:tcW w:w="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68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income/(loss) allocated to common unitholders</w:t>
            </w:r>
          </w:p>
        </w:tc>
        <w:tc>
          <w:tcPr>
            <w:tcW w:w="8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168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0.91</w:t>
            </w:r>
          </w:p>
        </w:tc>
        <w:tc>
          <w:tcPr>
            <w:tcW w:w="94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Common Unit</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6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allocated to common unitholders</w:t>
            </w:r>
          </w:p>
        </w:tc>
        <w:tc>
          <w:tcPr>
            <w:tcW w:w="8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units </w:t>
            </w:r>
            <w:r>
              <w:rPr>
                <w:rFonts w:ascii="Times New Roman" w:cs="Times New Roman" w:eastAsia="Times New Roman" w:hAnsi="Times New Roman"/>
                <w:sz w:val="23"/>
                <w:szCs w:val="23"/>
                <w:color w:val="auto"/>
                <w:vertAlign w:val="superscript"/>
              </w:rPr>
              <w:t>(2)</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plan awards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16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0.87</w:t>
            </w:r>
          </w:p>
        </w:tc>
        <w:tc>
          <w:tcPr>
            <w:tcW w:w="940" w:type="dxa"/>
            <w:vAlign w:val="bottom"/>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2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420" w:hanging="332"/>
        <w:spacing w:after="0" w:line="21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income/(loss) per common unit for the nine months ended September 30, 2018 and the three and nine months ended September 30, 2017 as the effect was antidilutive.</w:t>
      </w:r>
    </w:p>
    <w:p>
      <w:pPr>
        <w:spacing w:after="0" w:line="1" w:lineRule="exact"/>
        <w:rPr>
          <w:rFonts w:ascii="Times New Roman" w:cs="Times New Roman" w:eastAsia="Times New Roman" w:hAnsi="Times New Roman"/>
          <w:sz w:val="23"/>
          <w:szCs w:val="23"/>
          <w:color w:val="auto"/>
          <w:vertAlign w:val="superscript"/>
        </w:rPr>
      </w:pPr>
    </w:p>
    <w:p>
      <w:pPr>
        <w:ind w:left="340" w:right="6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Long-term Incentive Plan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 Such LTIP awards were excluded from the calculation of diluted net loss per common unit for the three months ended September 30, 2017 as the effect was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9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Significant acquisition-related expenses </w:t>
            </w:r>
            <w:r>
              <w:rPr>
                <w:rFonts w:ascii="Times New Roman" w:cs="Times New Roman" w:eastAsia="Times New Roman" w:hAnsi="Times New Roman"/>
                <w:sz w:val="23"/>
                <w:szCs w:val="23"/>
                <w:color w:val="auto"/>
                <w:vertAlign w:val="superscript"/>
              </w:rPr>
              <w:t>(8)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Selected items impacting comparability -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Gains/(losses) from derivative activities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investment in unconsolidated entities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w:t>
            </w: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2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gridSpan w:val="2"/>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2"/>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 PAA</w:t>
            </w: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 w:lineRule="exact"/>
        <w:rPr>
          <w:rFonts w:ascii="Times New Roman" w:cs="Times New Roman" w:eastAsia="Times New Roman" w:hAnsi="Times New Roman"/>
          <w:sz w:val="23"/>
          <w:szCs w:val="23"/>
          <w:color w:val="auto"/>
          <w:vertAlign w:val="superscript"/>
        </w:rPr>
      </w:pPr>
    </w:p>
    <w:p>
      <w:pPr>
        <w:ind w:left="340" w:right="180" w:hanging="332"/>
        <w:spacing w:after="0" w:line="237"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43"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Times New Roman" w:cs="Times New Roman" w:eastAsia="Times New Roman" w:hAnsi="Times New Roman"/>
          <w:sz w:val="23"/>
          <w:szCs w:val="23"/>
          <w:color w:val="auto"/>
          <w:vertAlign w:val="superscript"/>
        </w:rPr>
      </w:pPr>
    </w:p>
    <w:p>
      <w:pPr>
        <w:ind w:left="340" w:right="140" w:hanging="332"/>
        <w:spacing w:after="0" w:line="23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Times New Roman" w:cs="Times New Roman" w:eastAsia="Times New Roman" w:hAnsi="Times New Roman"/>
          <w:sz w:val="23"/>
          <w:szCs w:val="23"/>
          <w:color w:val="auto"/>
          <w:vertAlign w:val="superscript"/>
        </w:rPr>
      </w:pPr>
    </w:p>
    <w:p>
      <w:pPr>
        <w:ind w:left="340" w:right="380" w:hanging="332"/>
        <w:spacing w:after="0" w:line="21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right="600" w:hanging="332"/>
        <w:spacing w:after="0" w:line="21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acquisition-related expenses associated with the Alpha Crude Connector acquisition.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Common Unit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6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710</w:t>
            </w: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1,099</w:t>
            </w: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to PAA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Basic adjusted net income per common unit</w:t>
            </w:r>
          </w:p>
        </w:tc>
        <w:tc>
          <w:tcPr>
            <w:tcW w:w="96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Common Unit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6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w:t>
            </w: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1,099</w:t>
            </w:r>
          </w:p>
        </w:tc>
        <w:tc>
          <w:tcPr>
            <w:tcW w:w="36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to PAA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76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plan awards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Diluted adjusted net income per common unit </w:t>
            </w:r>
            <w:r>
              <w:rPr>
                <w:rFonts w:ascii="Times New Roman" w:cs="Times New Roman" w:eastAsia="Times New Roman" w:hAnsi="Times New Roman"/>
                <w:sz w:val="23"/>
                <w:szCs w:val="23"/>
                <w:color w:val="auto"/>
                <w:vertAlign w:val="superscript"/>
              </w:rPr>
              <w:t>(4)</w:t>
            </w:r>
          </w:p>
        </w:tc>
        <w:tc>
          <w:tcPr>
            <w:tcW w:w="96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0" w:hanging="332"/>
        <w:spacing w:after="0" w:line="23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right="160" w:hanging="332"/>
        <w:spacing w:after="0" w:line="236"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w:t>
      </w:r>
    </w:p>
    <w:p>
      <w:pPr>
        <w:spacing w:after="0" w:line="4" w:lineRule="exact"/>
        <w:rPr>
          <w:rFonts w:ascii="Times New Roman" w:cs="Times New Roman" w:eastAsia="Times New Roman" w:hAnsi="Times New Roman"/>
          <w:sz w:val="23"/>
          <w:szCs w:val="23"/>
          <w:color w:val="auto"/>
          <w:vertAlign w:val="superscript"/>
        </w:rPr>
      </w:pPr>
    </w:p>
    <w:p>
      <w:pPr>
        <w:ind w:left="340" w:right="180" w:hanging="332"/>
        <w:spacing w:after="0" w:line="21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adjusted net income per common unit for the three and nine months ended September 30, 2018 and 2017 as the effect was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to Adjusted EBITDA and Implied DCF Reconciliation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710</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investment in unconsolidated entities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capital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income tax benefit/(expense)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Adjusted equity earnings in unconsolidated entities, net of distributions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Available to Common Unitholders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units and common equivalent units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Implied DCF per Common Unit </w:t>
            </w:r>
            <w:r>
              <w:rPr>
                <w:rFonts w:ascii="Times New Roman" w:cs="Times New Roman" w:eastAsia="Times New Roman" w:hAnsi="Times New Roman"/>
                <w:sz w:val="23"/>
                <w:szCs w:val="23"/>
                <w:color w:val="auto"/>
                <w:vertAlign w:val="superscript"/>
              </w:rPr>
              <w:t>(7)</w:t>
            </w:r>
          </w:p>
        </w:tc>
        <w:tc>
          <w:tcPr>
            <w:tcW w:w="940" w:type="dxa"/>
            <w:vAlign w:val="bottom"/>
            <w:gridSpan w:val="2"/>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0.55</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Implied DCF per Common Unit and Common Equivalent Unit </w:t>
            </w:r>
            <w:r>
              <w:rPr>
                <w:rFonts w:ascii="Times New Roman" w:cs="Times New Roman" w:eastAsia="Times New Roman" w:hAnsi="Times New Roman"/>
                <w:sz w:val="23"/>
                <w:szCs w:val="23"/>
                <w:color w:val="auto"/>
                <w:vertAlign w:val="superscript"/>
              </w:rPr>
              <w:t>(8)</w:t>
            </w:r>
          </w:p>
        </w:tc>
        <w:tc>
          <w:tcPr>
            <w:tcW w:w="94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0.54</w:t>
            </w: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Distribution Paid per Common Unit</w:t>
            </w:r>
          </w:p>
        </w:tc>
        <w:tc>
          <w:tcPr>
            <w:tcW w:w="94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0.30</w:t>
            </w: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0.90</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(5)</w:t>
            </w:r>
          </w:p>
        </w:tc>
        <w:tc>
          <w:tcPr>
            <w:tcW w:w="940" w:type="dxa"/>
            <w:vAlign w:val="bottom"/>
            <w:gridSpan w:val="2"/>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 Distribution Coverage Ratio</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1.82x</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0.75x</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1.70x</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Excess / (Shortage)</w:t>
            </w:r>
          </w:p>
        </w:tc>
        <w:tc>
          <w:tcPr>
            <w:tcW w:w="94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w:t>
            </w: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120" w:hanging="332"/>
        <w:spacing w:after="0" w:line="22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 to add back our proportionate share of depreciation and amortization expense and gains and losses on significant asset sales of unconsolidated entities.</w:t>
      </w: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2" w:lineRule="exact"/>
        <w:rPr>
          <w:rFonts w:ascii="Times New Roman" w:cs="Times New Roman" w:eastAsia="Times New Roman" w:hAnsi="Times New Roman"/>
          <w:sz w:val="23"/>
          <w:szCs w:val="23"/>
          <w:color w:val="auto"/>
          <w:vertAlign w:val="superscript"/>
        </w:rPr>
      </w:pPr>
    </w:p>
    <w:p>
      <w:pPr>
        <w:ind w:left="340" w:right="780" w:hanging="332"/>
        <w:spacing w:after="0" w:line="21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1" w:lineRule="exact"/>
        <w:rPr>
          <w:rFonts w:ascii="Times New Roman" w:cs="Times New Roman" w:eastAsia="Times New Roman" w:hAnsi="Times New Roman"/>
          <w:sz w:val="23"/>
          <w:szCs w:val="23"/>
          <w:color w:val="auto"/>
          <w:vertAlign w:val="superscript"/>
        </w:rPr>
      </w:pPr>
    </w:p>
    <w:p>
      <w:pPr>
        <w:ind w:left="340" w:right="140" w:hanging="332"/>
        <w:spacing w:after="0" w:line="233"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3"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Implied DCF Available to Common Unitholders for the period divided by the weighted average common units outstanding for the period.</w:t>
      </w:r>
    </w:p>
    <w:p>
      <w:pPr>
        <w:spacing w:after="0" w:line="1" w:lineRule="exact"/>
        <w:rPr>
          <w:rFonts w:ascii="Times New Roman" w:cs="Times New Roman" w:eastAsia="Times New Roman" w:hAnsi="Times New Roman"/>
          <w:sz w:val="23"/>
          <w:szCs w:val="23"/>
          <w:color w:val="auto"/>
          <w:vertAlign w:val="superscript"/>
        </w:rPr>
      </w:pPr>
    </w:p>
    <w:p>
      <w:pPr>
        <w:ind w:left="340" w:right="80" w:hanging="332"/>
        <w:spacing w:after="0" w:line="233"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00"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to Adjusted EBITDA and Implied DCF Reconciliation</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Selected items impacting comparability - Adjusted EBITDA</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22"/>
                <w:szCs w:val="22"/>
                <w:color w:val="auto"/>
                <w:vertAlign w:val="superscript"/>
              </w:rPr>
              <w:t>(2)</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capital</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Adjusted equity earnings in unconsolidated entities, net of distributions </w:t>
            </w:r>
            <w:r>
              <w:rPr>
                <w:rFonts w:ascii="Times New Roman" w:cs="Times New Roman" w:eastAsia="Times New Roman" w:hAnsi="Times New Roman"/>
                <w:sz w:val="23"/>
                <w:szCs w:val="23"/>
                <w:color w:val="auto"/>
                <w:vertAlign w:val="superscript"/>
              </w:rPr>
              <w:t>(3)</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1620" w:type="dxa"/>
            <w:vAlign w:val="bottom"/>
          </w:tcPr>
          <w:p>
            <w:pPr>
              <w:spacing w:after="0"/>
              <w:rPr>
                <w:sz w:val="18"/>
                <w:szCs w:val="18"/>
                <w:color w:val="auto"/>
              </w:rPr>
            </w:pPr>
          </w:p>
        </w:tc>
        <w:tc>
          <w:tcPr>
            <w:tcW w:w="720" w:type="dxa"/>
            <w:vAlign w:val="bottom"/>
            <w:tcBorders>
              <w:top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(4)</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General partner cash distributions </w:t>
            </w:r>
            <w:r>
              <w:rPr>
                <w:rFonts w:ascii="Times New Roman" w:cs="Times New Roman" w:eastAsia="Times New Roman" w:hAnsi="Times New Roman"/>
                <w:sz w:val="23"/>
                <w:szCs w:val="23"/>
                <w:color w:val="auto"/>
                <w:vertAlign w:val="superscript"/>
              </w:rPr>
              <w:t>(5)</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Available to Common Unitholders</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Implied DCF per Common Unit </w:t>
            </w:r>
            <w:r>
              <w:rPr>
                <w:rFonts w:ascii="Times New Roman" w:cs="Times New Roman" w:eastAsia="Times New Roman" w:hAnsi="Times New Roman"/>
                <w:sz w:val="23"/>
                <w:szCs w:val="23"/>
                <w:color w:val="auto"/>
                <w:vertAlign w:val="superscript"/>
              </w:rPr>
              <w:t>(6)</w:t>
            </w:r>
          </w:p>
        </w:tc>
        <w:tc>
          <w:tcPr>
            <w:tcW w:w="2340" w:type="dxa"/>
            <w:vAlign w:val="bottom"/>
            <w:gridSpan w:val="2"/>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Implied DCF per Common Unit and Common Equivalent Unit </w:t>
            </w:r>
            <w:r>
              <w:rPr>
                <w:rFonts w:ascii="Times New Roman" w:cs="Times New Roman" w:eastAsia="Times New Roman" w:hAnsi="Times New Roman"/>
                <w:sz w:val="23"/>
                <w:szCs w:val="23"/>
                <w:color w:val="auto"/>
                <w:vertAlign w:val="superscript"/>
              </w:rPr>
              <w:t>(7)</w:t>
            </w:r>
          </w:p>
        </w:tc>
        <w:tc>
          <w:tcPr>
            <w:tcW w:w="2340" w:type="dxa"/>
            <w:vAlign w:val="bottom"/>
            <w:gridSpan w:val="2"/>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 Paid per Common Unit</w:t>
            </w:r>
          </w:p>
        </w:tc>
        <w:tc>
          <w:tcPr>
            <w:tcW w:w="2340" w:type="dxa"/>
            <w:vAlign w:val="bottom"/>
            <w:gridSpan w:val="2"/>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(8)</w:t>
            </w:r>
          </w:p>
        </w:tc>
        <w:tc>
          <w:tcPr>
            <w:tcW w:w="2340" w:type="dxa"/>
            <w:vAlign w:val="bottom"/>
            <w:gridSpan w:val="2"/>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1,386</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Common Unit Distribution Coverage Ratio</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0.94x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Implied DCF Excess / (Shortage)</w:t>
            </w:r>
          </w:p>
        </w:tc>
        <w:tc>
          <w:tcPr>
            <w:tcW w:w="2340" w:type="dxa"/>
            <w:vAlign w:val="bottom"/>
            <w:gridSpan w:val="2"/>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40" w:right="112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 to add back our proportionate share of depreciation and amortization expense and gains and losses on significant asset sales of unconsolidated entities.</w:t>
      </w:r>
    </w:p>
    <w:p>
      <w:pPr>
        <w:ind w:left="320" w:hanging="312"/>
        <w:spacing w:after="0" w:line="196"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1" w:lineRule="exact"/>
        <w:rPr>
          <w:rFonts w:ascii="Times New Roman" w:cs="Times New Roman" w:eastAsia="Times New Roman" w:hAnsi="Times New Roman"/>
          <w:sz w:val="23"/>
          <w:szCs w:val="23"/>
          <w:color w:val="auto"/>
          <w:vertAlign w:val="superscript"/>
        </w:rPr>
      </w:pPr>
    </w:p>
    <w:p>
      <w:pPr>
        <w:ind w:left="340" w:right="78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ind w:left="340" w:right="40" w:hanging="332"/>
        <w:spacing w:after="0" w:line="237"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to our preferred unitholders during the period presented. The $0.5250 quarterly ($2.10 annualized) per unit distribution requirement of our Series A preferred units was paid-in-kind for all 2016 and 2017 quarterly distributions as such, no Series A preferred unit distributions were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 w:lineRule="exact"/>
        <w:rPr>
          <w:rFonts w:ascii="Times New Roman" w:cs="Times New Roman" w:eastAsia="Times New Roman" w:hAnsi="Times New Roman"/>
          <w:sz w:val="23"/>
          <w:szCs w:val="23"/>
          <w:color w:val="auto"/>
          <w:vertAlign w:val="superscript"/>
        </w:rPr>
      </w:pPr>
    </w:p>
    <w:p>
      <w:pPr>
        <w:ind w:left="340" w:right="34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Simplification Transactions, which closed on November 15, 2016, simplified our governance structure and permanently eliminated our incentive distribution rights (IDRs) and the economic rights associated with our 2% general partner interest.</w:t>
      </w:r>
    </w:p>
    <w:p>
      <w:pPr>
        <w:spacing w:after="0" w:line="1" w:lineRule="exact"/>
        <w:rPr>
          <w:rFonts w:ascii="Times New Roman" w:cs="Times New Roman" w:eastAsia="Times New Roman" w:hAnsi="Times New Roman"/>
          <w:sz w:val="23"/>
          <w:szCs w:val="23"/>
          <w:color w:val="auto"/>
          <w:vertAlign w:val="superscript"/>
        </w:rPr>
      </w:pPr>
    </w:p>
    <w:p>
      <w:pPr>
        <w:ind w:left="340" w:right="8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Implied DCF Available to Common Unitholders for the period divided by the weighted average common units outstanding for the periods of 717 million and 464 million, respectively.</w:t>
      </w:r>
    </w:p>
    <w:p>
      <w:pPr>
        <w:spacing w:after="0" w:line="1" w:lineRule="exact"/>
        <w:rPr>
          <w:rFonts w:ascii="Times New Roman" w:cs="Times New Roman" w:eastAsia="Times New Roman" w:hAnsi="Times New Roman"/>
          <w:sz w:val="23"/>
          <w:szCs w:val="23"/>
          <w:color w:val="auto"/>
          <w:vertAlign w:val="superscript"/>
        </w:rPr>
      </w:pPr>
    </w:p>
    <w:p>
      <w:pPr>
        <w:ind w:left="340" w:right="160" w:hanging="332"/>
        <w:spacing w:after="0" w:line="234"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 w:lineRule="exact"/>
        <w:rPr>
          <w:rFonts w:ascii="Times New Roman" w:cs="Times New Roman" w:eastAsia="Times New Roman" w:hAnsi="Times New Roman"/>
          <w:sz w:val="23"/>
          <w:szCs w:val="23"/>
          <w:color w:val="auto"/>
          <w:vertAlign w:val="superscript"/>
        </w:rPr>
      </w:pPr>
    </w:p>
    <w:p>
      <w:pPr>
        <w:ind w:left="340" w:right="8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 For the twelve months ended December 31, 2016, includes $565 million of cash distributions paid to the general partner during the period.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Income/(Loss) Per Common Unit to Adjusted Net Income Per Common Unit Reconciliation: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8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154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0.87</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54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and the “Computation of Basic and Diluted Adjusted Net Income Per Common Unit” tables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Income/(Loss) Per Common Unit to Implied DCF Per Common Unit and Common Equivalent Unit Reconciliations: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118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0.91</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equivalent unit </w:t>
            </w:r>
            <w:r>
              <w:rPr>
                <w:rFonts w:ascii="Times New Roman" w:cs="Times New Roman" w:eastAsia="Times New Roman" w:hAnsi="Times New Roman"/>
                <w:sz w:val="23"/>
                <w:szCs w:val="23"/>
                <w:color w:val="auto"/>
                <w:vertAlign w:val="superscript"/>
              </w:rPr>
              <w:t>(1) (3)</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 and common equivalent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(4)</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0.96</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equivalent unit </w:t>
            </w:r>
            <w:r>
              <w:rPr>
                <w:rFonts w:ascii="Times New Roman" w:cs="Times New Roman" w:eastAsia="Times New Roman" w:hAnsi="Times New Roman"/>
                <w:sz w:val="23"/>
                <w:szCs w:val="23"/>
                <w:color w:val="auto"/>
                <w:vertAlign w:val="superscript"/>
              </w:rPr>
              <w:t>(1) (5)</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 and common equivalent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46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726 million, 725 million, 726 million and 714 million, respectively.</w:t>
      </w:r>
    </w:p>
    <w:p>
      <w:pPr>
        <w:spacing w:after="0" w:line="1" w:lineRule="exact"/>
        <w:rPr>
          <w:rFonts w:ascii="Times New Roman" w:cs="Times New Roman" w:eastAsia="Times New Roman" w:hAnsi="Times New Roman"/>
          <w:sz w:val="23"/>
          <w:szCs w:val="23"/>
          <w:color w:val="auto"/>
          <w:vertAlign w:val="superscript"/>
        </w:rPr>
      </w:pPr>
    </w:p>
    <w:p>
      <w:pPr>
        <w:ind w:left="340" w:right="200" w:hanging="332"/>
        <w:spacing w:after="0" w:line="21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for the period of approximately 71 million, 68 million, 71 million and 66 million, respectively.</w:t>
      </w:r>
    </w:p>
    <w:p>
      <w:pPr>
        <w:ind w:left="320" w:hanging="312"/>
        <w:spacing w:after="0" w:line="196"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717 million and 464 million, respectively.</w:t>
      </w:r>
    </w:p>
    <w:p>
      <w:pPr>
        <w:spacing w:after="0" w:line="1" w:lineRule="exact"/>
        <w:rPr>
          <w:rFonts w:ascii="Times New Roman" w:cs="Times New Roman" w:eastAsia="Times New Roman" w:hAnsi="Times New Roman"/>
          <w:sz w:val="23"/>
          <w:szCs w:val="23"/>
          <w:color w:val="auto"/>
          <w:vertAlign w:val="superscript"/>
        </w:rPr>
      </w:pPr>
    </w:p>
    <w:p>
      <w:pPr>
        <w:ind w:left="340" w:right="200" w:hanging="332"/>
        <w:spacing w:after="0" w:line="21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for the period of 67 million and 58 million,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earnings in unconsolidated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entities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(Gains)/losses from derivative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 net of inventory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adjustments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Long-term inventory costing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Deficiencies under minimum</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 commitments, net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Equity-indexed compensation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gain on foreign currency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revaluation</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include equity-indexed compensation expense.</w:t>
      </w:r>
    </w:p>
    <w:p>
      <w:pPr>
        <w:spacing w:after="0" w:line="2" w:lineRule="exact"/>
        <w:rPr>
          <w:rFonts w:ascii="Times New Roman" w:cs="Times New Roman" w:eastAsia="Times New Roman" w:hAnsi="Times New Roman"/>
          <w:sz w:val="23"/>
          <w:szCs w:val="23"/>
          <w:color w:val="auto"/>
          <w:vertAlign w:val="superscript"/>
        </w:rPr>
      </w:pPr>
    </w:p>
    <w:p>
      <w:pPr>
        <w:ind w:left="340" w:right="280" w:hanging="332"/>
        <w:spacing w:after="0" w:line="21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ind w:left="340" w:right="4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earnings in unconsolidated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(Gains)/losses from derivative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 net of inventory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adjustments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Long-term inventory costing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Deficiencies under minimum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 commitments,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Equity-indexed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revaluation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Line 901 incident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Significant acquisition-related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include equity-indexed compensation expense.</w:t>
      </w:r>
    </w:p>
    <w:p>
      <w:pPr>
        <w:spacing w:after="0" w:line="2" w:lineRule="exact"/>
        <w:rPr>
          <w:rFonts w:ascii="Times New Roman" w:cs="Times New Roman" w:eastAsia="Times New Roman" w:hAnsi="Times New Roman"/>
          <w:sz w:val="23"/>
          <w:szCs w:val="23"/>
          <w:color w:val="auto"/>
          <w:vertAlign w:val="superscript"/>
        </w:rPr>
      </w:pPr>
    </w:p>
    <w:p>
      <w:pPr>
        <w:ind w:left="340" w:right="280" w:hanging="332"/>
        <w:spacing w:after="0" w:line="21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ind w:left="340" w:right="30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16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Transportation segment (average daily volumes in thousands of barrels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 activities volumes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3,880</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2,963</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3,621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Gulf Coast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Western</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5,746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5,075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 total volumes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5,920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5,247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Trucking volumes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Liquids storage (average monthly capacity in 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Natural gas storage (average monthly working capacity in billions of cubic</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feet)</w:t>
            </w:r>
          </w:p>
        </w:tc>
        <w:tc>
          <w:tcPr>
            <w:tcW w:w="70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NGL fractionation (average volumes in thousands of barrels per day)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Facilities segment total volumes (average monthly volumes in millions of</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14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gridSpan w:val="2"/>
            <w:shd w:val="clear" w:color="auto" w:fill="CCEEFF"/>
          </w:tcPr>
          <w:p>
            <w:pPr>
              <w:ind w:left="160"/>
              <w:spacing w:after="0" w:line="221" w:lineRule="exact"/>
              <w:rPr>
                <w:sz w:val="20"/>
                <w:szCs w:val="20"/>
                <w:color w:val="auto"/>
              </w:rPr>
            </w:pPr>
            <w:r>
              <w:rPr>
                <w:rFonts w:ascii="Times New Roman" w:cs="Times New Roman" w:eastAsia="Times New Roman" w:hAnsi="Times New Roman"/>
                <w:sz w:val="18"/>
                <w:szCs w:val="18"/>
                <w:color w:val="auto"/>
              </w:rPr>
              <w:t xml:space="preserve">barrels) </w:t>
            </w:r>
            <w:r>
              <w:rPr>
                <w:rFonts w:ascii="Times New Roman" w:cs="Times New Roman" w:eastAsia="Times New Roman" w:hAnsi="Times New Roman"/>
                <w:sz w:val="23"/>
                <w:szCs w:val="23"/>
                <w:color w:val="auto"/>
                <w:vertAlign w:val="superscript"/>
              </w:rPr>
              <w:t>(3)</w:t>
            </w:r>
          </w:p>
        </w:tc>
        <w:tc>
          <w:tcPr>
            <w:tcW w:w="70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Supply and Logistics segment (average daily volumes in thousands of</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1,042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929</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Supply and Logistics segment total volumes</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1,237</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1,131</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are calculated as the total volumes (attributable to our interest) for the period divided by the number of days or months in the period.</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2" w:lineRule="exact"/>
        <w:rPr>
          <w:rFonts w:ascii="Times New Roman" w:cs="Times New Roman" w:eastAsia="Times New Roman" w:hAnsi="Times New Roman"/>
          <w:sz w:val="23"/>
          <w:szCs w:val="23"/>
          <w:color w:val="auto"/>
          <w:vertAlign w:val="superscript"/>
        </w:rPr>
      </w:pPr>
    </w:p>
    <w:p>
      <w:pPr>
        <w:ind w:left="340" w:right="100" w:hanging="332"/>
        <w:spacing w:after="0" w:line="228"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Fee-based Segment Adjusted EBITDA to Adjusted EBITDA Reconciliation: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2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Adjusted EBITDA</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Facilities Segment Adjusted EBITDA</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7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8"/>
                <w:szCs w:val="18"/>
                <w:color w:val="auto"/>
              </w:rPr>
            </w:pPr>
          </w:p>
        </w:tc>
      </w:tr>
      <w:tr>
        <w:trPr>
          <w:trHeight w:val="210"/>
        </w:trPr>
        <w:tc>
          <w:tcPr>
            <w:tcW w:w="4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Fee-based Segment Adjusted EBITDA</w:t>
            </w:r>
          </w:p>
        </w:tc>
        <w:tc>
          <w:tcPr>
            <w:tcW w:w="1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Supply and Logistics Segment Adjusted EBITDA</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w:t>
            </w:r>
          </w:p>
        </w:tc>
        <w:tc>
          <w:tcPr>
            <w:tcW w:w="7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other income/(expense), net </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476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1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80" w:hanging="332"/>
        <w:spacing w:after="0" w:line="235"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adjusted for selected items impacting comparability of $3 million, $1 million, $(6) million and $7 million for the three and nine months ended September 30, 2018 and 2017, respectively. See the “Selected Items Impacting Comparability” table for additional information.</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and Implied DCF Reconciliation” table for reconciliation to Net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 to Segment Adjusted EBITDA further adjusted for impact of divested 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Impact of divested assets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8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388</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Impact of divested assets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8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1,077</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1"/>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40" w:type="dxa"/>
            <w:vAlign w:val="bottom"/>
            <w:tcBorders>
              <w:right w:val="single" w:sz="8" w:color="auto"/>
            </w:tcBorders>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60" w:hanging="332"/>
        <w:spacing w:after="0" w:line="252" w:lineRule="auto"/>
        <w:tabs>
          <w:tab w:leader="none" w:pos="32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Estimated impact of divestitures completed during 2017 and the first nine months of 2018, assuming an effective date of 1/1/17. Divested assets include certain pipelines in the Rocky Mountain and Central regions that were previously reported in our Transportation segment, and certain Bay Area, California terminal assets, a natural gas storage facility and a natural gas processing facility that were previously reported in our Facilities segment.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sale of investment in unconsolidated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entities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(expense)/benefit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5"/>
                <w:szCs w:val="15"/>
                <w:color w:val="auto"/>
              </w:rPr>
            </w:pP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4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280" w:type="dxa"/>
            <w:vAlign w:val="bottom"/>
            <w:gridSpan w:val="2"/>
            <w:vMerge w:val="continue"/>
          </w:tcPr>
          <w:p>
            <w:pPr>
              <w:spacing w:after="0"/>
              <w:rPr>
                <w:sz w:val="23"/>
                <w:szCs w:val="23"/>
                <w:color w:val="auto"/>
              </w:rPr>
            </w:pPr>
          </w:p>
        </w:tc>
        <w:tc>
          <w:tcPr>
            <w:tcW w:w="1020" w:type="dxa"/>
            <w:vAlign w:val="bottom"/>
            <w:tcBorders>
              <w:right w:val="single" w:sz="8" w:color="auto"/>
            </w:tcBorders>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200" w:type="dxa"/>
            <w:vAlign w:val="bottom"/>
            <w:gridSpan w:val="2"/>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PER CLASS A SHARE</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gridSpan w:val="2"/>
            <w:vMerge w:val="continue"/>
          </w:tcPr>
          <w:p>
            <w:pPr>
              <w:spacing w:after="0"/>
              <w:rPr>
                <w:sz w:val="23"/>
                <w:szCs w:val="23"/>
                <w:color w:val="auto"/>
              </w:rPr>
            </w:pPr>
          </w:p>
        </w:tc>
        <w:tc>
          <w:tcPr>
            <w:tcW w:w="1020" w:type="dxa"/>
            <w:vAlign w:val="bottom"/>
            <w:tcBorders>
              <w:right w:val="single" w:sz="8" w:color="auto"/>
            </w:tcBorders>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CLASS A SHARES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24,311</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sale of investment in unconsolidated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entities</w:t>
            </w: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5"/>
                <w:szCs w:val="15"/>
                <w:color w:val="auto"/>
              </w:rPr>
            </w:pP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4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200" w:type="dxa"/>
            <w:vAlign w:val="bottom"/>
            <w:gridSpan w:val="2"/>
            <w:vMerge w:val="continue"/>
          </w:tcPr>
          <w:p>
            <w:pPr>
              <w:spacing w:after="0"/>
              <w:rPr>
                <w:sz w:val="23"/>
                <w:szCs w:val="23"/>
                <w:color w:val="auto"/>
              </w:rPr>
            </w:pPr>
          </w:p>
        </w:tc>
        <w:tc>
          <w:tcPr>
            <w:tcW w:w="1200" w:type="dxa"/>
            <w:vAlign w:val="bottom"/>
            <w:gridSpan w:val="2"/>
            <w:vMerge w:val="continue"/>
          </w:tcPr>
          <w:p>
            <w:pPr>
              <w:spacing w:after="0"/>
              <w:rPr>
                <w:sz w:val="23"/>
                <w:szCs w:val="23"/>
                <w:color w:val="auto"/>
              </w:rPr>
            </w:pPr>
          </w:p>
        </w:tc>
        <w:tc>
          <w:tcPr>
            <w:tcW w:w="300" w:type="dxa"/>
            <w:vAlign w:val="bottom"/>
            <w:gridSpan w:val="2"/>
            <w:vMerge w:val="continue"/>
          </w:tcPr>
          <w:p>
            <w:pPr>
              <w:spacing w:after="0"/>
              <w:rPr>
                <w:sz w:val="23"/>
                <w:szCs w:val="23"/>
                <w:color w:val="auto"/>
              </w:rPr>
            </w:pPr>
          </w:p>
        </w:tc>
        <w:tc>
          <w:tcPr>
            <w:tcW w:w="1020" w:type="dxa"/>
            <w:vAlign w:val="bottom"/>
            <w:tcBorders>
              <w:right w:val="single" w:sz="8" w:color="auto"/>
            </w:tcBorders>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00" w:type="dxa"/>
            <w:vAlign w:val="bottom"/>
            <w:gridSpan w:val="2"/>
            <w:vMerge w:val="continue"/>
          </w:tcPr>
          <w:p>
            <w:pPr>
              <w:spacing w:after="0"/>
              <w:rPr>
                <w:sz w:val="23"/>
                <w:szCs w:val="23"/>
                <w:color w:val="auto"/>
              </w:rPr>
            </w:pPr>
          </w:p>
        </w:tc>
        <w:tc>
          <w:tcPr>
            <w:tcW w:w="200" w:type="dxa"/>
            <w:vAlign w:val="bottom"/>
            <w:gridSpan w:val="2"/>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280" w:type="dxa"/>
            <w:vAlign w:val="bottom"/>
            <w:gridSpan w:val="2"/>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0.98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PER CLASS A SHARE</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gridSpan w:val="2"/>
            <w:vMerge w:val="continue"/>
          </w:tcPr>
          <w:p>
            <w:pPr>
              <w:spacing w:after="0"/>
              <w:rPr>
                <w:sz w:val="23"/>
                <w:szCs w:val="23"/>
                <w:color w:val="auto"/>
              </w:rPr>
            </w:pPr>
          </w:p>
        </w:tc>
        <w:tc>
          <w:tcPr>
            <w:tcW w:w="1020" w:type="dxa"/>
            <w:vAlign w:val="bottom"/>
            <w:tcBorders>
              <w:right w:val="single" w:sz="8" w:color="auto"/>
            </w:tcBorders>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CLASS A SHARES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6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2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4,131</w:t>
            </w:r>
          </w:p>
        </w:tc>
        <w:tc>
          <w:tcPr>
            <w:tcW w:w="1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8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3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Basic and Diluted Net Income per Class A Share </w:t>
            </w:r>
            <w:r>
              <w:rPr>
                <w:rFonts w:ascii="Times New Roman" w:cs="Times New Roman" w:eastAsia="Times New Roman" w:hAnsi="Times New Roman"/>
                <w:sz w:val="22"/>
                <w:szCs w:val="22"/>
                <w:b w:val="1"/>
                <w:bCs w:val="1"/>
                <w:color w:val="auto"/>
                <w:vertAlign w:val="superscript"/>
              </w:rPr>
              <w:t>(1)</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3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13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0.70</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0.98</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80" w:hanging="332"/>
        <w:spacing w:after="0" w:line="22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2018 and 2017,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Contacts:</w:t>
            </w:r>
          </w:p>
        </w:tc>
        <w:tc>
          <w:tcPr>
            <w:tcW w:w="2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Lamoreaux</w:t>
            </w:r>
          </w:p>
        </w:tc>
        <w:tc>
          <w:tcPr>
            <w:tcW w:w="2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Brett Magill</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Investor Relations &amp; Communications</w:t>
            </w:r>
          </w:p>
        </w:tc>
        <w:tc>
          <w:tcPr>
            <w:tcW w:w="68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40" w:type="dxa"/>
            <w:vAlign w:val="bottom"/>
          </w:tcPr>
          <w:p>
            <w:pPr>
              <w:spacing w:after="0"/>
              <w:rPr>
                <w:sz w:val="18"/>
                <w:szCs w:val="18"/>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(866) 809-1291</w:t>
            </w:r>
          </w:p>
        </w:tc>
        <w:tc>
          <w:tcPr>
            <w:tcW w:w="2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(866) 809-1291</w:t>
            </w: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56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40" w:type="dxa"/>
            <w:vAlign w:val="bottom"/>
          </w:tcPr>
          <w:p>
            <w:pPr>
              <w:spacing w:after="0"/>
              <w:rPr>
                <w:sz w:val="20"/>
                <w:szCs w:val="20"/>
                <w:color w:val="auto"/>
              </w:rPr>
            </w:pPr>
          </w:p>
        </w:tc>
      </w:tr>
      <w:tr>
        <w:trPr>
          <w:trHeight w:val="326"/>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2020-01-10T21:05:02Z</dcterms:created>
  <dcterms:modified xsi:type="dcterms:W3CDTF">2020-01-10T21:05:02Z</dcterms:modified>
</cp:coreProperties>
</file>