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tm227689d1_8k.htm"/>
      <w:bookmarkStart w:id="1" w:name="kstm227689d1_8k"/>
      <w:bookmarkEnd w:id="0"/>
      <w:bookmarkEnd w:id="1"/>
      <w:r>
        <w:rPr/>
        <w:t> </w:t>
      </w:r>
    </w:p>
    <w:p>
      <w:pPr>
        <w:pStyle w:val="TextBody"/>
        <w:rPr/>
      </w:pPr>
      <w:bookmarkStart w:id="2" w:name="xdx_906_edei--EntityRegistrantName_dxL_c"/>
      <w:bookmarkEnd w:id="2"/>
      <w:r>
        <w:rPr/>
        <w:t>PLAINS GP HOLDINGS LP</w:t>
      </w:r>
    </w:p>
    <w:p>
      <w:pPr>
        <w:pStyle w:val="TextBody"/>
        <w:rPr/>
      </w:pPr>
      <w:r>
        <w:rPr/>
        <w:t> </w:t>
      </w:r>
    </w:p>
    <w:p>
      <w:pPr>
        <w:pStyle w:val="TextBody"/>
        <w:rPr>
          <w:bdr w:val="single" w:sz="16" w:space="1" w:color="000000"/>
        </w:rPr>
      </w:pPr>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3" w:name="xdx_90E_edei--DocumentType_c20220224__20"/>
      <w:bookmarkEnd w:id="3"/>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 </w:t>
      </w:r>
      <w:bookmarkStart w:id="4" w:name="xdx_90A_edei--DocumentPeriodEndDate_c202"/>
      <w:bookmarkEnd w:id="4"/>
      <w:r>
        <w:rPr>
          <w:rFonts w:ascii="Times New Roman;Times;Serif" w:hAnsi="Times New Roman;Times;Serif"/>
          <w:b/>
          <w:i w:val="false"/>
          <w:caps w:val="false"/>
          <w:smallCaps w:val="false"/>
          <w:sz w:val="20"/>
        </w:rPr>
        <w:t>February 24, 2022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GP Holdings,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tbl>
      <w:tblPr>
        <w:tblW w:w="7410" w:type="dxa"/>
        <w:jc w:val="left"/>
        <w:tblInd w:w="0" w:type="dxa"/>
        <w:tblCellMar>
          <w:top w:w="0" w:type="dxa"/>
          <w:left w:w="0" w:type="dxa"/>
          <w:bottom w:w="0" w:type="dxa"/>
          <w:right w:w="0" w:type="dxa"/>
        </w:tblCellMar>
      </w:tblPr>
      <w:tblGrid>
        <w:gridCol w:w="2420"/>
        <w:gridCol w:w="2210"/>
        <w:gridCol w:w="2780"/>
      </w:tblGrid>
      <w:tr>
        <w:trPr/>
        <w:tc>
          <w:tcPr>
            <w:tcW w:w="2420" w:type="dxa"/>
            <w:tcBorders/>
            <w:shd w:fill="auto" w:val="clear"/>
            <w:vAlign w:val="center"/>
          </w:tcPr>
          <w:p>
            <w:pPr>
              <w:pStyle w:val="TableContents"/>
              <w:spacing w:before="0" w:after="0"/>
              <w:ind w:left="0" w:right="0" w:hanging="0"/>
              <w:jc w:val="center"/>
              <w:rPr>
                <w:rFonts w:ascii="Times New Roman;Times;Serif" w:hAnsi="Times New Roman;Times;Serif"/>
                <w:b/>
                <w:i w:val="false"/>
                <w:caps/>
                <w:sz w:val="20"/>
              </w:rPr>
            </w:pPr>
            <w:bookmarkStart w:id="5" w:name="xdx_905_edei--EntityIncorporationStateCo"/>
            <w:bookmarkEnd w:id="5"/>
            <w:r>
              <w:rPr>
                <w:rFonts w:ascii="Times New Roman;Times;Serif" w:hAnsi="Times New Roman;Times;Serif"/>
                <w:b/>
                <w:i w:val="false"/>
                <w:caps/>
                <w:sz w:val="20"/>
              </w:rPr>
              <w:t>delaware</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or other jurisdiction of </w:t>
              <w:br/>
              <w:t>incorporation)</w:t>
            </w:r>
          </w:p>
        </w:tc>
        <w:tc>
          <w:tcPr>
            <w:tcW w:w="221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6" w:name="xdx_903_edei--EntityFileNumber_c20220224"/>
            <w:bookmarkEnd w:id="6"/>
            <w:r>
              <w:rPr>
                <w:rFonts w:ascii="Times New Roman;Times;Serif" w:hAnsi="Times New Roman;Times;Serif"/>
                <w:b/>
                <w:i w:val="false"/>
                <w:caps w:val="false"/>
                <w:smallCaps w:val="false"/>
                <w:sz w:val="20"/>
              </w:rPr>
              <w:t>1-36132</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7" w:name="xdx_906_edei--EntityTaxIdentificationNum"/>
            <w:bookmarkEnd w:id="7"/>
            <w:r>
              <w:rPr>
                <w:rFonts w:ascii="Times New Roman;Times;Serif" w:hAnsi="Times New Roman;Times;Serif"/>
                <w:b/>
                <w:i w:val="false"/>
                <w:caps w:val="false"/>
                <w:smallCaps w:val="false"/>
                <w:sz w:val="20"/>
              </w:rPr>
              <w:t>90-1005472</w:t>
            </w:r>
          </w:p>
          <w:p>
            <w:pPr>
              <w:pStyle w:val="TableContents"/>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rPr/>
      </w:pPr>
      <w:r>
        <w:rPr/>
        <w:t> </w:t>
      </w:r>
    </w:p>
    <w:p>
      <w:pPr>
        <w:pStyle w:val="TextBody"/>
        <w:spacing w:before="0" w:after="0"/>
        <w:jc w:val="center"/>
        <w:rPr>
          <w:rFonts w:ascii="Times New Roman;Times;Serif" w:hAnsi="Times New Roman;Times;Serif"/>
          <w:b/>
          <w:i w:val="false"/>
          <w:caps w:val="false"/>
          <w:smallCaps w:val="false"/>
          <w:sz w:val="20"/>
        </w:rPr>
      </w:pPr>
      <w:bookmarkStart w:id="8" w:name="xdx_90B_edei--EntityAddressAddressLine1_"/>
      <w:bookmarkEnd w:id="8"/>
      <w:r>
        <w:rPr>
          <w:rFonts w:ascii="Times New Roman;Times;Serif" w:hAnsi="Times New Roman;Times;Serif"/>
          <w:b/>
          <w:i w:val="false"/>
          <w:caps w:val="false"/>
          <w:smallCaps w:val="false"/>
          <w:sz w:val="20"/>
        </w:rPr>
        <w:t xml:space="preserve">333 Clay Street, </w:t>
      </w:r>
      <w:bookmarkStart w:id="9" w:name="xdx_907_edei--EntityAddressAddressLine2_"/>
      <w:bookmarkEnd w:id="9"/>
      <w:r>
        <w:rPr>
          <w:rFonts w:ascii="Times New Roman;Times;Serif" w:hAnsi="Times New Roman;Times;Serif"/>
          <w:b/>
          <w:i w:val="false"/>
          <w:caps w:val="false"/>
          <w:smallCaps w:val="false"/>
          <w:sz w:val="20"/>
        </w:rPr>
        <w:t xml:space="preserve">Suite 1600, </w:t>
      </w:r>
      <w:bookmarkStart w:id="10" w:name="xdx_900_edei--EntityAddressCityOrTown_c2"/>
      <w:bookmarkEnd w:id="10"/>
      <w:r>
        <w:rPr>
          <w:rFonts w:ascii="Times New Roman;Times;Serif" w:hAnsi="Times New Roman;Times;Serif"/>
          <w:b/>
          <w:i w:val="false"/>
          <w:caps w:val="false"/>
          <w:smallCaps w:val="false"/>
          <w:sz w:val="20"/>
        </w:rPr>
        <w:t xml:space="preserve">Houston, </w:t>
      </w:r>
      <w:bookmarkStart w:id="11" w:name="xdx_908_edei--EntityAddressStateOrProvin"/>
      <w:bookmarkEnd w:id="11"/>
      <w:r>
        <w:rPr>
          <w:rFonts w:ascii="Times New Roman;Times;Serif" w:hAnsi="Times New Roman;Times;Serif"/>
          <w:b/>
          <w:i w:val="false"/>
          <w:caps w:val="false"/>
          <w:smallCaps w:val="false"/>
          <w:sz w:val="20"/>
        </w:rPr>
        <w:t xml:space="preserve">Texas </w:t>
      </w:r>
      <w:bookmarkStart w:id="12" w:name="xdx_90F_edei--EntityAddressPostalZipCode"/>
      <w:bookmarkEnd w:id="12"/>
      <w:r>
        <w:rPr>
          <w:rFonts w:ascii="Times New Roman;Times;Serif" w:hAnsi="Times New Roman;Times;Serif"/>
          <w:b/>
          <w:i w:val="false"/>
          <w:caps w:val="false"/>
          <w:smallCaps w:val="false"/>
          <w:sz w:val="20"/>
        </w:rPr>
        <w:t>77002</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3" w:name="xdx_90D_edei--CityAreaCode_c20220224__20"/>
      <w:bookmarkEnd w:id="13"/>
      <w:r>
        <w:rPr>
          <w:rFonts w:ascii="Times New Roman;Times;Serif" w:hAnsi="Times New Roman;Times;Serif"/>
          <w:b/>
          <w:i w:val="false"/>
          <w:caps w:val="false"/>
          <w:smallCaps w:val="false"/>
          <w:sz w:val="20"/>
        </w:rPr>
        <w:t>713-</w:t>
      </w:r>
      <w:bookmarkStart w:id="14" w:name="xdx_901_edei--LocalPhoneNumber_c20220224"/>
      <w:bookmarkEnd w:id="14"/>
      <w:r>
        <w:rPr>
          <w:rFonts w:ascii="Times New Roman;Times;Serif" w:hAnsi="Times New Roman;Times;Serif"/>
          <w:b/>
          <w:i w:val="false"/>
          <w:caps w:val="false"/>
          <w:smallCaps w:val="false"/>
          <w:sz w:val="20"/>
        </w:rPr>
        <w:t>646-4100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5" w:name="xdx_909_edei--WrittenCommunications_c202"/>
      <w:bookmarkEnd w:id="15"/>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6" w:name="xdx_904_edei--SolicitingMaterial_c202202"/>
      <w:bookmarkEnd w:id="16"/>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7" w:name="xdx_908_edei--PreCommencementTenderOffer"/>
      <w:bookmarkEnd w:id="17"/>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bookmarkStart w:id="18" w:name="xdx_900_edei--PreCommencementIssuerTende"/>
      <w:bookmarkEnd w:id="18"/>
      <w:r>
        <w:rPr>
          <w:rFonts w:ascii="Wingdings" w:hAnsi="Wingdings"/>
          <w:b w:val="false"/>
          <w:i w:val="false"/>
          <w:caps w:val="false"/>
          <w:smallCaps w:val="false"/>
          <w:sz w:val="20"/>
        </w:rPr>
        <w:t>o</w:t>
      </w:r>
      <w:r>
        <w:rPr>
          <w:rFonts w:ascii="Times New Roman;Times;Serif" w:hAnsi="Times New Roman;Times;Serif"/>
          <w:b w:val="false"/>
          <w:i w:val="false"/>
          <w:caps w:val="false"/>
          <w:smallCaps w:val="false"/>
          <w:sz w:val="20"/>
        </w:rPr>
        <w:t>       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7110" w:type="dxa"/>
        <w:jc w:val="left"/>
        <w:tblInd w:w="0" w:type="dxa"/>
        <w:tblCellMar>
          <w:top w:w="0" w:type="dxa"/>
          <w:left w:w="0" w:type="dxa"/>
          <w:bottom w:w="28" w:type="dxa"/>
          <w:right w:w="0" w:type="dxa"/>
        </w:tblCellMar>
      </w:tblPr>
      <w:tblGrid>
        <w:gridCol w:w="1580"/>
        <w:gridCol w:w="60"/>
        <w:gridCol w:w="1655"/>
        <w:gridCol w:w="60"/>
        <w:gridCol w:w="3755"/>
      </w:tblGrid>
      <w:tr>
        <w:trPr/>
        <w:tc>
          <w:tcPr>
            <w:tcW w:w="1580" w:type="dxa"/>
            <w:tcBorders>
              <w:bottom w:val="single" w:sz="8" w:space="0" w:color="000000"/>
            </w:tcBorders>
            <w:shd w:fill="auto" w:val="clear"/>
            <w:vAlign w:val="center"/>
          </w:tcPr>
          <w:p>
            <w:pPr>
              <w:pStyle w:val="TableContents"/>
              <w:spacing w:before="0" w:after="283"/>
              <w:jc w:val="center"/>
              <w:rPr>
                <w:b/>
                <w:sz w:val="20"/>
              </w:rPr>
            </w:pPr>
            <w:r>
              <w:rPr>
                <w:b/>
                <w:sz w:val="20"/>
              </w:rPr>
              <w:t xml:space="preserve">Title of each class </w:t>
            </w:r>
          </w:p>
        </w:tc>
        <w:tc>
          <w:tcPr>
            <w:tcW w:w="60" w:type="dxa"/>
            <w:tcBorders/>
            <w:shd w:fill="auto" w:val="clear"/>
            <w:tcMar>
              <w:bottom w:w="0" w:type="dxa"/>
            </w:tcMar>
            <w:vAlign w:val="center"/>
          </w:tcPr>
          <w:p>
            <w:pPr>
              <w:pStyle w:val="TableContents"/>
              <w:spacing w:before="0" w:after="283"/>
              <w:rPr/>
            </w:pPr>
            <w:r>
              <w:rPr/>
              <w:t> </w:t>
            </w:r>
          </w:p>
        </w:tc>
        <w:tc>
          <w:tcPr>
            <w:tcW w:w="1655" w:type="dxa"/>
            <w:tcBorders>
              <w:bottom w:val="single" w:sz="8" w:space="0" w:color="000000"/>
            </w:tcBorders>
            <w:shd w:fill="auto" w:val="clear"/>
            <w:vAlign w:val="center"/>
          </w:tcPr>
          <w:p>
            <w:pPr>
              <w:pStyle w:val="TableContents"/>
              <w:spacing w:before="0" w:after="283"/>
              <w:jc w:val="center"/>
              <w:rPr>
                <w:b/>
                <w:sz w:val="20"/>
              </w:rPr>
            </w:pPr>
            <w:r>
              <w:rPr>
                <w:b/>
                <w:sz w:val="20"/>
              </w:rPr>
              <w:t xml:space="preserve">Trading Symbol(s) </w:t>
            </w:r>
          </w:p>
        </w:tc>
        <w:tc>
          <w:tcPr>
            <w:tcW w:w="60" w:type="dxa"/>
            <w:tcBorders/>
            <w:shd w:fill="auto" w:val="clear"/>
            <w:tcMar>
              <w:bottom w:w="0" w:type="dxa"/>
            </w:tcMar>
            <w:vAlign w:val="center"/>
          </w:tcPr>
          <w:p>
            <w:pPr>
              <w:pStyle w:val="TableContents"/>
              <w:spacing w:before="0" w:after="283"/>
              <w:rPr/>
            </w:pPr>
            <w:r>
              <w:rPr/>
              <w:t> </w:t>
            </w:r>
          </w:p>
        </w:tc>
        <w:tc>
          <w:tcPr>
            <w:tcW w:w="3755" w:type="dxa"/>
            <w:tcBorders>
              <w:bottom w:val="single" w:sz="8" w:space="0" w:color="000000"/>
            </w:tcBorders>
            <w:shd w:fill="auto" w:val="clear"/>
            <w:vAlign w:val="center"/>
          </w:tcPr>
          <w:p>
            <w:pPr>
              <w:pStyle w:val="TableContents"/>
              <w:spacing w:before="0" w:after="283"/>
              <w:jc w:val="center"/>
              <w:rPr>
                <w:b/>
                <w:sz w:val="20"/>
              </w:rPr>
            </w:pPr>
            <w:r>
              <w:rPr>
                <w:b/>
                <w:sz w:val="20"/>
              </w:rPr>
              <w:t xml:space="preserve">Name of each exchange on which registered </w:t>
            </w:r>
          </w:p>
        </w:tc>
      </w:tr>
      <w:tr>
        <w:trPr/>
        <w:tc>
          <w:tcPr>
            <w:tcW w:w="1580" w:type="dxa"/>
            <w:tcBorders/>
            <w:shd w:fill="auto" w:val="clear"/>
            <w:tcMar>
              <w:bottom w:w="0" w:type="dxa"/>
            </w:tcMar>
            <w:vAlign w:val="center"/>
          </w:tcPr>
          <w:p>
            <w:pPr>
              <w:pStyle w:val="TableContents"/>
              <w:spacing w:before="0" w:after="283"/>
              <w:jc w:val="center"/>
              <w:rPr>
                <w:sz w:val="20"/>
              </w:rPr>
            </w:pPr>
            <w:bookmarkStart w:id="19" w:name="xdx_90E_edei--Security12bTitle_c20220224"/>
            <w:bookmarkEnd w:id="19"/>
            <w:r>
              <w:rPr>
                <w:sz w:val="20"/>
              </w:rPr>
              <w:t xml:space="preserve">Class A Shares </w:t>
            </w:r>
          </w:p>
        </w:tc>
        <w:tc>
          <w:tcPr>
            <w:tcW w:w="60" w:type="dxa"/>
            <w:tcBorders/>
            <w:shd w:fill="auto" w:val="clear"/>
            <w:tcMar>
              <w:bottom w:w="0" w:type="dxa"/>
            </w:tcMar>
            <w:vAlign w:val="center"/>
          </w:tcPr>
          <w:p>
            <w:pPr>
              <w:pStyle w:val="TableContents"/>
              <w:spacing w:before="0" w:after="283"/>
              <w:rPr/>
            </w:pPr>
            <w:r>
              <w:rPr/>
              <w:t> </w:t>
            </w:r>
          </w:p>
        </w:tc>
        <w:tc>
          <w:tcPr>
            <w:tcW w:w="1655" w:type="dxa"/>
            <w:tcBorders/>
            <w:shd w:fill="auto" w:val="clear"/>
            <w:tcMar>
              <w:bottom w:w="0" w:type="dxa"/>
            </w:tcMar>
            <w:vAlign w:val="center"/>
          </w:tcPr>
          <w:p>
            <w:pPr>
              <w:pStyle w:val="TableContents"/>
              <w:spacing w:before="0" w:after="283"/>
              <w:jc w:val="center"/>
              <w:rPr>
                <w:sz w:val="20"/>
              </w:rPr>
            </w:pPr>
            <w:bookmarkStart w:id="20" w:name="xdx_904_edei--TradingSymbol_c20220224__2"/>
            <w:bookmarkEnd w:id="20"/>
            <w:r>
              <w:rPr>
                <w:sz w:val="20"/>
              </w:rPr>
              <w:t xml:space="preserve">PAGP </w:t>
            </w:r>
          </w:p>
        </w:tc>
        <w:tc>
          <w:tcPr>
            <w:tcW w:w="60" w:type="dxa"/>
            <w:tcBorders/>
            <w:shd w:fill="auto" w:val="clear"/>
            <w:tcMar>
              <w:bottom w:w="0" w:type="dxa"/>
            </w:tcMar>
            <w:vAlign w:val="center"/>
          </w:tcPr>
          <w:p>
            <w:pPr>
              <w:pStyle w:val="TableContents"/>
              <w:spacing w:before="0" w:after="283"/>
              <w:rPr/>
            </w:pPr>
            <w:r>
              <w:rPr/>
              <w:t> </w:t>
            </w:r>
          </w:p>
        </w:tc>
        <w:tc>
          <w:tcPr>
            <w:tcW w:w="3755" w:type="dxa"/>
            <w:tcBorders/>
            <w:shd w:fill="auto" w:val="clear"/>
            <w:tcMar>
              <w:bottom w:w="0" w:type="dxa"/>
            </w:tcMar>
            <w:vAlign w:val="center"/>
          </w:tcPr>
          <w:p>
            <w:pPr>
              <w:pStyle w:val="TableContents"/>
              <w:spacing w:before="0" w:after="283"/>
              <w:jc w:val="center"/>
              <w:rPr>
                <w:sz w:val="20"/>
              </w:rPr>
            </w:pPr>
            <w:bookmarkStart w:id="21" w:name="xdx_905_edei--SecurityExchangeName_c2022"/>
            <w:bookmarkEnd w:id="21"/>
            <w:r>
              <w:rPr>
                <w:sz w:val="20"/>
              </w:rPr>
              <w:t>Nasdaq</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C_edei--EntityEmergingGrowthCompan"/>
      <w:bookmarkEnd w:id="22"/>
      <w:r>
        <w:rPr>
          <w:rFonts w:ascii="Wingdings" w:hAnsi="Wingdings"/>
          <w:b w:val="false"/>
          <w:i w:val="false"/>
          <w:caps w:val="false"/>
          <w:smallCaps w:val="false"/>
          <w:sz w:val="20"/>
        </w:rPr>
        <w:t>o</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hAnsi="Wingdings"/>
          <w:b w:val="false"/>
          <w:i w:val="false"/>
          <w:caps w:val="false"/>
          <w:smallCaps w:val="false"/>
          <w:sz w:val="20"/>
        </w:rPr>
        <w:t>o</w:t>
      </w:r>
    </w:p>
    <w:p>
      <w:pPr>
        <w:pStyle w:val="TextBody"/>
        <w:spacing w:before="0" w:after="0"/>
        <w:ind w:left="0" w:right="0" w:hanging="0"/>
        <w:rPr>
          <w:caps w:val="false"/>
          <w:smallCaps w:val="false"/>
        </w:rPr>
      </w:pPr>
      <w:r>
        <w:rPr>
          <w:caps w:val="false"/>
          <w:smallCaps w:val="false"/>
        </w:rPr>
        <w:t> </w:t>
      </w:r>
    </w:p>
    <w:p>
      <w:pPr>
        <w:pStyle w:val="TextBody"/>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950"/>
        <w:gridCol w:w="9217"/>
      </w:tblGrid>
      <w:tr>
        <w:trPr/>
        <w:tc>
          <w:tcPr>
            <w:tcW w:w="38"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rFonts w:ascii="Times New Roman;Times;Serif" w:hAnsi="Times New Roman;Times;Serif"/>
                <w:b/>
                <w:sz w:val="20"/>
              </w:rPr>
            </w:pPr>
            <w:r>
              <w:rPr>
                <w:rFonts w:ascii="Times New Roman;Times;Serif" w:hAnsi="Times New Roman;Times;Serif"/>
                <w:b/>
                <w:sz w:val="20"/>
              </w:rPr>
              <w:t>ITEM 5.02</w:t>
            </w:r>
          </w:p>
        </w:tc>
        <w:tc>
          <w:tcPr>
            <w:tcW w:w="9217"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Amendment of Certain Long-Term Incentive Awards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24, 2022, the board of directors of PAA GP Holdings LLC, the general partner of Plains GP Holdings, L.P. (the “Partnership” or “PAGP”), upon the recommendation of the Compensation Committee, approved amendments to the performance-based portion of certain outstanding long-term incentive awards held by Jeremy Goebel and Chris Chandler, both of whom were identified as Named Executive Officers (“NEOs”) in our most recent proxy statement, which was filed with the Securities and Exchange Commission on April 12, 2021 (the “2021 Proxy Statement”). The amended awards were originally granted in November 2019 (the “2019 Special Grants”) and the basic terms were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01"/>
        <w:gridCol w:w="9966"/>
      </w:tblGrid>
      <w:tr>
        <w:trPr/>
        <w:tc>
          <w:tcPr>
            <w:tcW w:w="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pPr>
            <w:r>
              <w:rPr/>
              <w:t>(i)</w:t>
            </w:r>
          </w:p>
        </w:tc>
        <w:tc>
          <w:tcPr>
            <w:tcW w:w="9966" w:type="dxa"/>
            <w:tcBorders/>
            <w:shd w:fill="auto" w:val="clear"/>
            <w:vAlign w:val="center"/>
          </w:tcPr>
          <w:p>
            <w:pPr>
              <w:pStyle w:val="TableContents"/>
              <w:spacing w:before="0" w:after="283"/>
              <w:jc w:val="both"/>
              <w:rPr/>
            </w:pPr>
            <w:r>
              <w:rPr/>
              <w:t>50% of the award (250,000 phantom units for each of Messrs. Goebel and Chandler) would vest on the August 2026 distribution date (the “time-based portion”);</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4"/>
        <w:gridCol w:w="9933"/>
      </w:tblGrid>
      <w:tr>
        <w:trPr/>
        <w:tc>
          <w:tcPr>
            <w:tcW w:w="38"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pPr>
            <w:r>
              <w:rPr/>
              <w:t>(ii)</w:t>
            </w:r>
          </w:p>
        </w:tc>
        <w:tc>
          <w:tcPr>
            <w:tcW w:w="9933" w:type="dxa"/>
            <w:tcBorders/>
            <w:shd w:fill="auto" w:val="clear"/>
            <w:vAlign w:val="center"/>
          </w:tcPr>
          <w:p>
            <w:pPr>
              <w:pStyle w:val="TableContents"/>
              <w:spacing w:before="0" w:after="283"/>
              <w:jc w:val="both"/>
              <w:rPr/>
            </w:pPr>
            <w:r>
              <w:rPr/>
              <w:t>25% of the award (125,000 phantom units for each of Messrs. Goebel and Chandler) would vest on the later of the August 2026 distribution date and the first distribution date following the achievement by Plains All American Pipeline, L.P. (“PAA”) of distributable cash flow (“DCF”) per common unit equivalent (“CUE”) of $2.80 on a trailing four quarter basis;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95"/>
        <w:gridCol w:w="9872"/>
      </w:tblGrid>
      <w:tr>
        <w:trPr/>
        <w:tc>
          <w:tcPr>
            <w:tcW w:w="3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pPr>
            <w:r>
              <w:rPr/>
              <w:t>(iii)</w:t>
            </w:r>
          </w:p>
        </w:tc>
        <w:tc>
          <w:tcPr>
            <w:tcW w:w="9872" w:type="dxa"/>
            <w:tcBorders/>
            <w:shd w:fill="auto" w:val="clear"/>
            <w:vAlign w:val="center"/>
          </w:tcPr>
          <w:p>
            <w:pPr>
              <w:pStyle w:val="TableContents"/>
              <w:spacing w:before="0" w:after="283"/>
              <w:jc w:val="both"/>
              <w:rPr/>
            </w:pPr>
            <w:r>
              <w:rPr/>
              <w:t>25% of the award (125,000 phantom units for each of Messrs. Goebel and Chandler) would vest on the later of the August 2026 distribution date and the first distribution date following PAA’s achievement of DCF per CUE of $3.15 on a trailing four quarter basis (together with (ii) above, the “performance-based portion”).</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vesting thresholds for the performance-based portion of the awards (a total of 250,000 phantom units for each of Messrs. Goebel and Chandler) were based on PAA’s pre-pandemic outlook for its business. The pandemic “reset” the North American production outlook, which in turn fundamentally changed the key forecasts and outlook upon which such performance metrics were based. As a result, the Board was of the view that the retentive and incentive benefit of the performance-based portion of the 2019 Special Grants had effectively been eliminated. Given the Board’s view that Messrs. Goebel and Chandler are critical to the future leadership of the company and taking into account feedback received from various investors, the Board concluded that it would be appropriate to reestablish an appropriate amount of retentive and incentive value for these grants, but to do so in a manner that further aligns the interests of these executive officers with the interests of our equity holders. In order to strike this balance, the Board approved an amendment to the performance-based portion of the 2019 Special Awards that replaces the original DCF/CUE targets with a relative total shareholder return (“TSR”) metric. The key features of the TSR metric included in the amended awards are as follows:</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Vesting of the performance-based portion of the awards will be based on the TSR ranking of PAA relative to a designated comparator group over a designated period of time;</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The designated performance measurement period will be January 1, 2022 through June 30, 2026, an approximate four and one-half year period with an end date that represents the quarter-end date closest in time to the vesting date for the time-based portion of the original grants;</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The comparator group will be the same comparator group that was used for the TSR metric included in the regular annual equity grants issued by PAA to its NEOs in August 2021, which includes 14 midstream peers, the S&amp;P 500 index, the AMNA index and PAA (see the 2021 Proxy Statement for a complete list of comparator group members); and</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10"/>
        <w:gridCol w:w="10057"/>
      </w:tblGrid>
      <w:tr>
        <w:trPr/>
        <w:tc>
          <w:tcPr>
            <w:tcW w:w="38"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pPr>
            <w:r>
              <w:rPr/>
              <w:t>•</w:t>
            </w:r>
          </w:p>
        </w:tc>
        <w:tc>
          <w:tcPr>
            <w:tcW w:w="10057" w:type="dxa"/>
            <w:tcBorders/>
            <w:shd w:fill="auto" w:val="clear"/>
            <w:vAlign w:val="center"/>
          </w:tcPr>
          <w:p>
            <w:pPr>
              <w:pStyle w:val="TableContents"/>
              <w:spacing w:before="0" w:after="283"/>
              <w:jc w:val="both"/>
              <w:rPr/>
            </w:pPr>
            <w:r>
              <w:rPr/>
              <w:t>Payout will be based on the numeric ranking of PAA’s TSR over the designated performance period relative to the TSR for the various members of the comparator group, with payout capped at 100% (a performance ranking at the midpoint or in the top half of the comparator group will pay out at 100% and performance in the bottom half will be scaled from 100% payout down to 0% payout).</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Unvested DERs associated with the 2019 Special Grants and tied to the achievement of DCF/CUE targets will accrue beginning on January 1, 2022 and will be paid in cash in a lump sum on the August 2026 distribution date with respect to the number of phantom units, if any, that vest on such date.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regarding compensation of our Named Executive Officers and our equity compensation plans, please see our 2021 Proxy Statement.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3708" w:type="dxa"/>
        <w:jc w:val="left"/>
        <w:tblInd w:w="0" w:type="dxa"/>
        <w:tblCellMar>
          <w:top w:w="0" w:type="dxa"/>
          <w:left w:w="0" w:type="dxa"/>
          <w:bottom w:w="0" w:type="dxa"/>
          <w:right w:w="0" w:type="dxa"/>
        </w:tblCellMar>
      </w:tblPr>
      <w:tblGrid>
        <w:gridCol w:w="38"/>
        <w:gridCol w:w="1025"/>
        <w:gridCol w:w="2645"/>
      </w:tblGrid>
      <w:tr>
        <w:trPr/>
        <w:tc>
          <w:tcPr>
            <w:tcW w:w="3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b/>
              </w:rPr>
            </w:pPr>
            <w:r>
              <w:rPr>
                <w:b/>
              </w:rPr>
              <w:t>Item 7.01.</w:t>
            </w:r>
          </w:p>
        </w:tc>
        <w:tc>
          <w:tcPr>
            <w:tcW w:w="2645" w:type="dxa"/>
            <w:tcBorders/>
            <w:shd w:fill="auto" w:val="clear"/>
            <w:vAlign w:val="center"/>
          </w:tcPr>
          <w:p>
            <w:pPr>
              <w:pStyle w:val="TableContents"/>
              <w:spacing w:before="0" w:after="283"/>
              <w:rPr>
                <w:b/>
              </w:rPr>
            </w:pPr>
            <w:r>
              <w:rPr>
                <w:b/>
              </w:rPr>
              <w:t>Regulation FD Disclosure</w:t>
            </w:r>
          </w:p>
        </w:tc>
      </w:tr>
    </w:tbl>
    <w:p>
      <w:pPr>
        <w:pStyle w:val="TextBody"/>
        <w:spacing w:before="0" w:after="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Representatives from PAA and PAGP intend to meet with investors and members of the financial community at the Barclays Select Series: Midstream &amp; Clean Infrastructure Corporate Access Days event to be held from March 1-2, 2022 and also at the Barclays Investment Grade Energy &amp; Pipeline Corporate Days event to be held on March 2, 2022. In conjunction with these events, Plains intends to publish to its website an updated investor presentation that will cover topics including an industry overview, PAA’s commercial and operating activities, financial positioning, forward outlook and other related matters. The presentation materials will be made available for viewing on Tuesday, March 1, 2022, at www.plains.com under the “News &amp; Events — Investor Presentations” portion of the Investor Relations section of the website. Neither PAA nor PAGP undertake to update the information as posted on their websites; however, they may post additional information included in future press releases, Forms 8-K, and periodic Exchange Act reports.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5979" w:type="dxa"/>
        <w:jc w:val="left"/>
        <w:tblInd w:w="0" w:type="dxa"/>
        <w:tblCellMar>
          <w:top w:w="0" w:type="dxa"/>
          <w:left w:w="0" w:type="dxa"/>
          <w:bottom w:w="0" w:type="dxa"/>
          <w:right w:w="0" w:type="dxa"/>
        </w:tblCellMar>
      </w:tblPr>
      <w:tblGrid>
        <w:gridCol w:w="2090"/>
        <w:gridCol w:w="511"/>
        <w:gridCol w:w="791"/>
        <w:gridCol w:w="2587"/>
      </w:tblGrid>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3889"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PLAINS GP HOLDINGS, L.P.</w:t>
            </w:r>
          </w:p>
        </w:tc>
      </w:tr>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3889" w:type="dxa"/>
            <w:gridSpan w:val="3"/>
            <w:tcBorders/>
            <w:shd w:fill="auto" w:val="clear"/>
            <w:vAlign w:val="center"/>
          </w:tcPr>
          <w:p>
            <w:pPr>
              <w:pStyle w:val="TableContents"/>
              <w:spacing w:before="0" w:after="283"/>
              <w:rPr>
                <w:caps w:val="false"/>
                <w:smallCaps w:val="false"/>
              </w:rPr>
            </w:pPr>
            <w:r>
              <w:rPr>
                <w:caps w:val="false"/>
                <w:smallCaps w:val="false"/>
              </w:rPr>
              <w:t> </w:t>
            </w:r>
          </w:p>
        </w:tc>
      </w:tr>
      <w:tr>
        <w:trPr/>
        <w:tc>
          <w:tcPr>
            <w:tcW w:w="209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February 28, 2022</w:t>
            </w:r>
          </w:p>
        </w:tc>
        <w:tc>
          <w:tcPr>
            <w:tcW w:w="3889" w:type="dxa"/>
            <w:gridSpan w:val="3"/>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PAA GP Holdings LLC, its general partner</w:t>
            </w:r>
          </w:p>
        </w:tc>
      </w:tr>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511" w:type="dxa"/>
            <w:tcBorders/>
            <w:shd w:fill="auto" w:val="clear"/>
            <w:vAlign w:val="center"/>
          </w:tcPr>
          <w:p>
            <w:pPr>
              <w:pStyle w:val="TableContents"/>
              <w:spacing w:before="0" w:after="283"/>
              <w:rPr>
                <w:caps w:val="false"/>
                <w:smallCaps w:val="false"/>
              </w:rPr>
            </w:pPr>
            <w:r>
              <w:rPr>
                <w:caps w:val="false"/>
                <w:smallCaps w:val="false"/>
              </w:rPr>
              <w:t> </w:t>
            </w:r>
          </w:p>
        </w:tc>
        <w:tc>
          <w:tcPr>
            <w:tcW w:w="3378" w:type="dxa"/>
            <w:gridSpan w:val="2"/>
            <w:tcBorders/>
            <w:shd w:fill="auto" w:val="clear"/>
            <w:vAlign w:val="center"/>
          </w:tcPr>
          <w:p>
            <w:pPr>
              <w:pStyle w:val="TableContents"/>
              <w:spacing w:before="0" w:after="283"/>
              <w:rPr>
                <w:caps w:val="false"/>
                <w:smallCaps w:val="false"/>
              </w:rPr>
            </w:pPr>
            <w:r>
              <w:rPr>
                <w:caps w:val="false"/>
                <w:smallCaps w:val="false"/>
              </w:rPr>
              <w:t> </w:t>
            </w:r>
          </w:p>
        </w:tc>
      </w:tr>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5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t>
            </w:r>
          </w:p>
        </w:tc>
        <w:tc>
          <w:tcPr>
            <w:tcW w:w="3378" w:type="dxa"/>
            <w:gridSpan w:val="2"/>
            <w:tcBorders>
              <w:bottom w:val="single" w:sz="8" w:space="0" w:color="000000"/>
            </w:tcBorders>
            <w:shd w:fill="auto" w:val="clear"/>
            <w:tcMar>
              <w:bottom w:w="28"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Richard McGee </w:t>
            </w:r>
          </w:p>
        </w:tc>
      </w:tr>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511" w:type="dxa"/>
            <w:tcBorders/>
            <w:shd w:fill="auto" w:val="clear"/>
            <w:vAlign w:val="center"/>
          </w:tcPr>
          <w:p>
            <w:pPr>
              <w:pStyle w:val="TableContents"/>
              <w:spacing w:before="0" w:after="283"/>
              <w:rPr>
                <w:caps w:val="false"/>
                <w:smallCaps w:val="false"/>
              </w:rPr>
            </w:pPr>
            <w:r>
              <w:rPr>
                <w:caps w:val="false"/>
                <w:smallCaps w:val="false"/>
              </w:rPr>
              <w:t> </w:t>
            </w:r>
          </w:p>
        </w:tc>
        <w:tc>
          <w:tcPr>
            <w:tcW w:w="7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Richard McGee</w:t>
            </w:r>
          </w:p>
        </w:tc>
      </w:tr>
      <w:tr>
        <w:trPr/>
        <w:tc>
          <w:tcPr>
            <w:tcW w:w="2090" w:type="dxa"/>
            <w:tcBorders/>
            <w:shd w:fill="auto" w:val="clear"/>
            <w:vAlign w:val="center"/>
          </w:tcPr>
          <w:p>
            <w:pPr>
              <w:pStyle w:val="TableContents"/>
              <w:spacing w:before="0" w:after="283"/>
              <w:rPr>
                <w:caps w:val="false"/>
                <w:smallCaps w:val="false"/>
              </w:rPr>
            </w:pPr>
            <w:r>
              <w:rPr>
                <w:caps w:val="false"/>
                <w:smallCaps w:val="false"/>
              </w:rPr>
              <w:t> </w:t>
            </w:r>
          </w:p>
        </w:tc>
        <w:tc>
          <w:tcPr>
            <w:tcW w:w="511" w:type="dxa"/>
            <w:tcBorders/>
            <w:shd w:fill="auto" w:val="clear"/>
            <w:vAlign w:val="center"/>
          </w:tcPr>
          <w:p>
            <w:pPr>
              <w:pStyle w:val="TableContents"/>
              <w:spacing w:before="0" w:after="283"/>
              <w:rPr>
                <w:caps w:val="false"/>
                <w:smallCaps w:val="false"/>
              </w:rPr>
            </w:pPr>
            <w:r>
              <w:rPr>
                <w:caps w:val="false"/>
                <w:smallCaps w:val="false"/>
              </w:rPr>
              <w:t> </w:t>
            </w:r>
          </w:p>
        </w:tc>
        <w:tc>
          <w:tcPr>
            <w:tcW w:w="79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8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Executive Vice President</w:t>
            </w:r>
          </w:p>
        </w:tc>
      </w:tr>
    </w:tbl>
    <w:p>
      <w:pPr>
        <w:pStyle w:val="TextBody"/>
        <w:spacing w:before="0" w:after="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1341</Words>
  <CharactersWithSpaces>8476</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