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2017 (February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0"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80" w:orient="portrait"/>
          <w:cols w:equalWidth="0" w:num="3">
            <w:col w:w="4020" w:space="720"/>
            <w:col w:w="3460" w:space="720"/>
            <w:col w:w="2440"/>
          </w:cols>
          <w:pgMar w:left="240" w:top="544" w:right="299" w:bottom="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0"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324"/>
        <w:spacing w:after="0" w:line="276" w:lineRule="auto"/>
        <w:rPr>
          <w:sz w:val="20"/>
          <w:szCs w:val="20"/>
          <w:color w:val="auto"/>
        </w:rPr>
      </w:pPr>
      <w:r>
        <w:rPr>
          <w:rFonts w:ascii="Arial" w:cs="Arial" w:eastAsia="Arial" w:hAnsi="Arial"/>
          <w:sz w:val="17"/>
          <w:szCs w:val="17"/>
          <w:color w:val="auto"/>
        </w:rPr>
        <w:t>On February 23, 2017, Plains GP Holdings, L.P. (the “Partnership”) entered into an underwriting agreement (the “Underwriting Agreement”) with Citigroup Global Markets Inc., as representative of the several underwriters named in Schedule I thereto (the “Underwriters”), relating to the issuance and sale by the Partnership, and purchase by the Underwriters, of 42,000,000 Class A shares representing limited partner interests in the Partnership (the “Class A Shares”). The Partnership also granted the Underwriters a 30-day option to purchase up to 6,300,000 additional Class A Shares (the “Over-Allotment Option”). On February 24, 2017, the Underwriters exercised in full their Over-Allotment Option.</w:t>
      </w:r>
    </w:p>
    <w:p>
      <w:pPr>
        <w:spacing w:after="0" w:line="173"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The offering of the Class A Shares closed on March 1, 2017. The Partnership received approximately $1.474 billion in net proceeds from the sale of the Class A Shares.</w:t>
      </w:r>
    </w:p>
    <w:p>
      <w:pPr>
        <w:spacing w:after="0" w:line="170" w:lineRule="exact"/>
        <w:rPr>
          <w:sz w:val="24"/>
          <w:szCs w:val="24"/>
          <w:color w:val="auto"/>
        </w:rPr>
      </w:pPr>
    </w:p>
    <w:p>
      <w:pPr>
        <w:ind w:right="20" w:firstLine="324"/>
        <w:spacing w:after="0" w:line="293" w:lineRule="auto"/>
        <w:rPr>
          <w:sz w:val="20"/>
          <w:szCs w:val="20"/>
          <w:color w:val="auto"/>
        </w:rPr>
      </w:pPr>
      <w:r>
        <w:rPr>
          <w:rFonts w:ascii="Arial" w:cs="Arial" w:eastAsia="Arial" w:hAnsi="Arial"/>
          <w:sz w:val="16"/>
          <w:szCs w:val="16"/>
          <w:color w:val="auto"/>
        </w:rPr>
        <w:t>Pursuant to that certain Omnibus Agreement dated as of November 15, 2016 (the “Omnibus Agreement”), by and among the Partnership, PAA GP Holdings LLC, Plains AAP, L.P. (“AAP”), PAA GP LLC and Plains All American Pipeline, L.P. (“PAA”), the Partnership has agreed to use the net proceeds from any public or private offering and sale of Class A Shares, including the net proceeds of this offering, after deducting the sales agents’ commissions and offering expenses,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the Partnership to purchase from PAA an equivalent number of common units of PAA.</w:t>
      </w:r>
    </w:p>
    <w:p>
      <w:pPr>
        <w:sectPr>
          <w:pgSz w:w="11900" w:h="16880" w:orient="portrait"/>
          <w:cols w:equalWidth="0" w:num="1">
            <w:col w:w="11360"/>
          </w:cols>
          <w:pgMar w:left="240" w:top="544" w:right="299" w:bottom="0" w:gutter="0" w:footer="0" w:header="0"/>
          <w:type w:val="continuous"/>
        </w:sectPr>
      </w:pPr>
    </w:p>
    <w:bookmarkStart w:id="1" w:name="page2"/>
    <w:bookmarkEnd w:id="1"/>
    <w:p>
      <w:pPr>
        <w:ind w:right="480" w:firstLine="324"/>
        <w:spacing w:after="0" w:line="259" w:lineRule="auto"/>
        <w:rPr>
          <w:sz w:val="20"/>
          <w:szCs w:val="20"/>
          <w:color w:val="auto"/>
        </w:rPr>
      </w:pPr>
      <w:r>
        <w:rPr>
          <w:rFonts w:ascii="Arial" w:cs="Arial" w:eastAsia="Arial" w:hAnsi="Arial"/>
          <w:sz w:val="18"/>
          <w:szCs w:val="18"/>
          <w:color w:val="auto"/>
        </w:rPr>
        <w:t>PAA is expected to use the net proceeds it receives from the sale of such common units to AAP to repay outstanding borrowings under its senior unsecured revolving credit facility and for general partnership purposes, including acquisitions, joint venture investments and other expansion capital expenditures. Amounts repaid under PAA’s senior unsecured revolving credit facility may be reborrowed to fund its ongoing expansion capital program, future acquisitions and investments or for general partnership purposes.</w:t>
      </w:r>
    </w:p>
    <w:p>
      <w:pPr>
        <w:spacing w:after="0" w:line="18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Shares are being offered and sold under the Partnership’s shelf registration statement on Form S-3 (Registration No. 333-216194) filed with the Securities and Exchange Commission on February 23, 2017 (the “Registration Statement”), and are described in a Prospectus Supplement dated February 23, 2017 to the Prospectus dated February 23, 2017, which is included in the Registration Statement.</w:t>
      </w:r>
    </w:p>
    <w:p>
      <w:pPr>
        <w:spacing w:after="0" w:line="18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foregoing descriptions of the Underwriting Agreement and the Omnibus Agreement do not purport to be complete and are qualified in their entirety by reference to the full text of such agreements. A copy of the Omnibus Agreement is filed as Exhibit 10.1 to the Partnership’s Current Report on Form 8-K dated as of November 21, 2016 and is incorporated by reference herein. A copy of the Underwriting Agreement is filed herewith as Exhibit 1.1 and is also incorporated by reference herein. Legal opinions relating to the Shares are filed herewith as Exhibits 5.1 and 8.1.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Underwriting Agreement, dated February 23, 2017, by and between Plains GP Holdings, L.P. and Citigroup Global Markets Inc., 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representative of the several underwriters named in Schedule I thereto.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legality of the Shares.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8.1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80" w:type="dxa"/>
            <w:vAlign w:val="bottom"/>
          </w:tcPr>
          <w:p>
            <w:pPr>
              <w:ind w:left="4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80" w:type="dxa"/>
            <w:vAlign w:val="bottom"/>
          </w:tcPr>
          <w:p>
            <w:pPr>
              <w:ind w:left="4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80" w:type="dxa"/>
            <w:vAlign w:val="bottom"/>
          </w:tcPr>
          <w:p>
            <w:pPr>
              <w:ind w:left="42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80" w:type="dxa"/>
            <w:vAlign w:val="bottom"/>
          </w:tcPr>
          <w:p>
            <w:pPr>
              <w:ind w:left="42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4"/>
          </w:tcPr>
          <w:p>
            <w:pPr>
              <w:spacing w:after="0"/>
              <w:rPr>
                <w:sz w:val="20"/>
                <w:szCs w:val="20"/>
                <w:color w:val="auto"/>
              </w:rPr>
            </w:pPr>
            <w:r>
              <w:rPr>
                <w:rFonts w:ascii="Arial" w:cs="Arial" w:eastAsia="Arial" w:hAnsi="Arial"/>
                <w:sz w:val="18"/>
                <w:szCs w:val="18"/>
                <w:color w:val="auto"/>
              </w:rPr>
              <w:t>Date:   March 1, 2017</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gridSpan w:val="2"/>
          </w:tcPr>
          <w:p>
            <w:pPr>
              <w:jc w:val="center"/>
              <w:ind w:left="3690"/>
              <w:spacing w:after="0"/>
              <w:rPr>
                <w:sz w:val="20"/>
                <w:szCs w:val="20"/>
                <w:color w:val="auto"/>
              </w:rPr>
            </w:pPr>
            <w:r>
              <w:rPr>
                <w:rFonts w:ascii="Arial" w:cs="Arial" w:eastAsia="Arial" w:hAnsi="Arial"/>
                <w:sz w:val="18"/>
                <w:szCs w:val="18"/>
                <w:color w:val="auto"/>
                <w:w w:val="99"/>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80" w:type="dxa"/>
            <w:vAlign w:val="bottom"/>
          </w:tcPr>
          <w:p>
            <w:pPr>
              <w:jc w:val="center"/>
              <w:ind w:left="3373"/>
              <w:spacing w:after="0"/>
              <w:rPr>
                <w:sz w:val="20"/>
                <w:szCs w:val="20"/>
                <w:color w:val="auto"/>
              </w:rPr>
            </w:pPr>
            <w:r>
              <w:rPr>
                <w:rFonts w:ascii="Arial" w:cs="Arial" w:eastAsia="Arial" w:hAnsi="Arial"/>
                <w:sz w:val="18"/>
                <w:szCs w:val="18"/>
                <w:b w:val="1"/>
                <w:bCs w:val="1"/>
                <w:color w:val="auto"/>
              </w:rPr>
              <w:t>EXHIBIT INDEX</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5"/>
              </w:rPr>
              <w:t>Underwriting Agreement, dated February 23, 2017, by and between Plains GP Holdings, L.P. and Citigroup Global Markets Inc., 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representative of the several underwriters named in Schedule I thereto.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w w:val="94"/>
              </w:rPr>
              <w:t>Opinion of Vinson &amp; Elkins L.L.P. regarding legality of the Shares.</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8.1</w:t>
            </w: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gridSpan w:val="2"/>
          </w:tcPr>
          <w:p>
            <w:pPr>
              <w:jc w:val="center"/>
              <w:ind w:left="3690"/>
              <w:spacing w:after="0"/>
              <w:rPr>
                <w:sz w:val="20"/>
                <w:szCs w:val="20"/>
                <w:color w:val="auto"/>
              </w:rPr>
            </w:pPr>
            <w:r>
              <w:rPr>
                <w:rFonts w:ascii="Arial" w:cs="Arial" w:eastAsia="Arial" w:hAnsi="Arial"/>
                <w:sz w:val="18"/>
                <w:szCs w:val="18"/>
                <w:color w:val="auto"/>
                <w:w w:val="99"/>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-2052955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-2052955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42,000,000 Class A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23,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1297"/>
        <w:spacing w:after="0" w:line="256" w:lineRule="auto"/>
        <w:rPr>
          <w:sz w:val="20"/>
          <w:szCs w:val="20"/>
          <w:color w:val="auto"/>
        </w:rPr>
      </w:pPr>
      <w:r>
        <w:rPr>
          <w:rFonts w:ascii="Arial" w:cs="Arial" w:eastAsia="Arial" w:hAnsi="Arial"/>
          <w:sz w:val="18"/>
          <w:szCs w:val="18"/>
          <w:color w:val="auto"/>
        </w:rPr>
        <w:t>Plains GP Holdings, L.P., a Delaware limited partnership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proposes to issue and sell an aggregate of 42,000,000 Class A shares (the “</w:t>
      </w:r>
      <w:r>
        <w:rPr>
          <w:rFonts w:ascii="Arial" w:cs="Arial" w:eastAsia="Arial" w:hAnsi="Arial"/>
          <w:sz w:val="18"/>
          <w:szCs w:val="18"/>
          <w:b w:val="1"/>
          <w:bCs w:val="1"/>
          <w:u w:val="single" w:color="auto"/>
          <w:color w:val="auto"/>
        </w:rPr>
        <w:t>Firm Shares</w:t>
      </w:r>
      <w:r>
        <w:rPr>
          <w:rFonts w:ascii="Arial" w:cs="Arial" w:eastAsia="Arial" w:hAnsi="Arial"/>
          <w:sz w:val="18"/>
          <w:szCs w:val="18"/>
          <w:color w:val="auto"/>
        </w:rPr>
        <w:t>”) representing limited partner interests in the Partnership (“</w:t>
      </w:r>
      <w:r>
        <w:rPr>
          <w:rFonts w:ascii="Arial" w:cs="Arial" w:eastAsia="Arial" w:hAnsi="Arial"/>
          <w:sz w:val="18"/>
          <w:szCs w:val="18"/>
          <w:b w:val="1"/>
          <w:bCs w:val="1"/>
          <w:u w:val="single" w:color="auto"/>
          <w:color w:val="auto"/>
        </w:rPr>
        <w:t>Class A Shares</w:t>
      </w:r>
      <w:r>
        <w:rPr>
          <w:rFonts w:ascii="Arial" w:cs="Arial" w:eastAsia="Arial" w:hAnsi="Arial"/>
          <w:sz w:val="18"/>
          <w:szCs w:val="18"/>
          <w:color w:val="auto"/>
        </w:rPr>
        <w:t>”) to the several underwriters named in Schedule I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for whom Citigroup Global Markets Inc. is acting as the representative (the “</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 xml:space="preserve">”), upon the terms and conditions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The Partnership also proposes to grant to the Underwriters, upon the terms and conditions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 option to purchase up to an additional 6,300,000 Class A Shares (the “</w:t>
      </w:r>
      <w:r>
        <w:rPr>
          <w:rFonts w:ascii="Arial" w:cs="Arial" w:eastAsia="Arial" w:hAnsi="Arial"/>
          <w:sz w:val="18"/>
          <w:szCs w:val="18"/>
          <w:b w:val="1"/>
          <w:bCs w:val="1"/>
          <w:u w:val="single" w:color="auto"/>
          <w:color w:val="auto"/>
        </w:rPr>
        <w:t>Option Shares</w:t>
      </w:r>
      <w:r>
        <w:rPr>
          <w:rFonts w:ascii="Arial" w:cs="Arial" w:eastAsia="Arial" w:hAnsi="Arial"/>
          <w:sz w:val="18"/>
          <w:szCs w:val="18"/>
          <w:color w:val="auto"/>
        </w:rPr>
        <w:t>”). The Firm Shares and the Option Shares, if purchased, are hereinafter collectively called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188" w:lineRule="exact"/>
        <w:rPr>
          <w:sz w:val="20"/>
          <w:szCs w:val="20"/>
          <w:color w:val="auto"/>
        </w:rPr>
      </w:pPr>
    </w:p>
    <w:p>
      <w:pPr>
        <w:ind w:right="160" w:firstLine="1297"/>
        <w:spacing w:after="0" w:line="258" w:lineRule="auto"/>
        <w:rPr>
          <w:sz w:val="20"/>
          <w:szCs w:val="20"/>
          <w:color w:val="auto"/>
        </w:rPr>
      </w:pPr>
      <w:r>
        <w:rPr>
          <w:rFonts w:ascii="Arial" w:cs="Arial" w:eastAsia="Arial" w:hAnsi="Arial"/>
          <w:sz w:val="18"/>
          <w:szCs w:val="18"/>
          <w:color w:val="auto"/>
        </w:rPr>
        <w:t>PAA GP Holdings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is the general partner of the Partnership. The Partnership owns a 100% membership interest in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GP LLC is the General Partner of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Plains AAP owns a 100% membership interest in PAA GP LLC, a Delaware limited liability company (“</w:t>
      </w:r>
      <w:r>
        <w:rPr>
          <w:rFonts w:ascii="Arial" w:cs="Arial" w:eastAsia="Arial" w:hAnsi="Arial"/>
          <w:sz w:val="18"/>
          <w:szCs w:val="18"/>
          <w:b w:val="1"/>
          <w:bCs w:val="1"/>
          <w:u w:val="single" w:color="auto"/>
          <w:color w:val="auto"/>
        </w:rPr>
        <w:t>PAA GP</w:t>
      </w:r>
      <w:r>
        <w:rPr>
          <w:rFonts w:ascii="Arial" w:cs="Arial" w:eastAsia="Arial" w:hAnsi="Arial"/>
          <w:sz w:val="18"/>
          <w:szCs w:val="18"/>
          <w:color w:val="auto"/>
        </w:rPr>
        <w:t>” and, together with GP LLC and Plains AAP, the “</w:t>
      </w:r>
      <w:r>
        <w:rPr>
          <w:rFonts w:ascii="Arial" w:cs="Arial" w:eastAsia="Arial" w:hAnsi="Arial"/>
          <w:sz w:val="18"/>
          <w:szCs w:val="18"/>
          <w:b w:val="1"/>
          <w:bCs w:val="1"/>
          <w:u w:val="single" w:color="auto"/>
          <w:color w:val="auto"/>
        </w:rPr>
        <w:t>PAA GP Entities</w:t>
      </w:r>
      <w:r>
        <w:rPr>
          <w:rFonts w:ascii="Arial" w:cs="Arial" w:eastAsia="Arial" w:hAnsi="Arial"/>
          <w:sz w:val="18"/>
          <w:szCs w:val="18"/>
          <w:color w:val="auto"/>
        </w:rPr>
        <w:t>”). PAA GP is the general partner of Plains All American Pipeline, L.P. (“</w:t>
      </w:r>
      <w:r>
        <w:rPr>
          <w:rFonts w:ascii="Arial" w:cs="Arial" w:eastAsia="Arial" w:hAnsi="Arial"/>
          <w:sz w:val="18"/>
          <w:szCs w:val="18"/>
          <w:b w:val="1"/>
          <w:bCs w:val="1"/>
          <w:u w:val="single" w:color="auto"/>
          <w:color w:val="auto"/>
        </w:rPr>
        <w:t>PAA</w:t>
      </w:r>
      <w:r>
        <w:rPr>
          <w:rFonts w:ascii="Arial" w:cs="Arial" w:eastAsia="Arial" w:hAnsi="Arial"/>
          <w:sz w:val="18"/>
          <w:szCs w:val="18"/>
          <w:color w:val="auto"/>
        </w:rPr>
        <w:t>”).</w:t>
      </w:r>
    </w:p>
    <w:p>
      <w:pPr>
        <w:spacing w:after="0" w:line="184" w:lineRule="exact"/>
        <w:rPr>
          <w:sz w:val="20"/>
          <w:szCs w:val="20"/>
          <w:color w:val="auto"/>
        </w:rPr>
      </w:pPr>
    </w:p>
    <w:p>
      <w:pPr>
        <w:ind w:right="480" w:firstLine="1297"/>
        <w:spacing w:after="0" w:line="289" w:lineRule="auto"/>
        <w:rPr>
          <w:sz w:val="20"/>
          <w:szCs w:val="20"/>
          <w:color w:val="auto"/>
        </w:rPr>
      </w:pPr>
      <w:r>
        <w:rPr>
          <w:rFonts w:ascii="Arial" w:cs="Arial" w:eastAsia="Arial" w:hAnsi="Arial"/>
          <w:sz w:val="17"/>
          <w:szCs w:val="17"/>
          <w:color w:val="auto"/>
        </w:rPr>
        <w:t xml:space="preserve">The subsidiaries of PAA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attached hereto are referred to herein as the “</w:t>
      </w:r>
      <w:r>
        <w:rPr>
          <w:rFonts w:ascii="Arial" w:cs="Arial" w:eastAsia="Arial" w:hAnsi="Arial"/>
          <w:sz w:val="17"/>
          <w:szCs w:val="17"/>
          <w:b w:val="1"/>
          <w:bCs w:val="1"/>
          <w:u w:val="single" w:color="auto"/>
          <w:color w:val="auto"/>
        </w:rPr>
        <w:t>Material Subsidiaries</w:t>
      </w:r>
      <w:r>
        <w:rPr>
          <w:rFonts w:ascii="Arial" w:cs="Arial" w:eastAsia="Arial" w:hAnsi="Arial"/>
          <w:sz w:val="17"/>
          <w:szCs w:val="17"/>
          <w:color w:val="auto"/>
        </w:rPr>
        <w:t xml:space="preserve">,” and the Material Subsidiaries listed on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attached hereto are referred to herein as the “</w:t>
      </w:r>
      <w:r>
        <w:rPr>
          <w:rFonts w:ascii="Arial" w:cs="Arial" w:eastAsia="Arial" w:hAnsi="Arial"/>
          <w:sz w:val="17"/>
          <w:szCs w:val="17"/>
          <w:b w:val="1"/>
          <w:bCs w:val="1"/>
          <w:u w:val="single" w:color="auto"/>
          <w:color w:val="auto"/>
        </w:rPr>
        <w:t>Domestic Subsidiaries</w:t>
      </w:r>
      <w:r>
        <w:rPr>
          <w:rFonts w:ascii="Arial" w:cs="Arial" w:eastAsia="Arial" w:hAnsi="Arial"/>
          <w:sz w:val="17"/>
          <w:szCs w:val="17"/>
          <w:color w:val="auto"/>
        </w:rPr>
        <w:t>.” This is to confirm the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among the Partnership and the Underwriters concerning the several purchases of the Shares by the Underwriters.</w:t>
      </w:r>
    </w:p>
    <w:p>
      <w:pPr>
        <w:spacing w:after="0" w:line="162" w:lineRule="exact"/>
        <w:rPr>
          <w:sz w:val="20"/>
          <w:szCs w:val="20"/>
          <w:color w:val="auto"/>
        </w:rPr>
      </w:pPr>
    </w:p>
    <w:p>
      <w:pPr>
        <w:ind w:left="1960" w:hanging="655"/>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Partnership</w:t>
      </w:r>
      <w:r>
        <w:rPr>
          <w:rFonts w:ascii="Arial" w:cs="Arial" w:eastAsia="Arial" w:hAnsi="Arial"/>
          <w:sz w:val="18"/>
          <w:szCs w:val="18"/>
          <w:color w:val="auto"/>
        </w:rPr>
        <w:t>. The Partnership represents and warrants to the Underwriters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1305"/>
        <w:spacing w:after="0" w:line="291" w:lineRule="auto"/>
        <w:tabs>
          <w:tab w:leader="none" w:pos="194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w:t>
      </w:r>
      <w:r>
        <w:rPr>
          <w:rFonts w:ascii="Arial" w:cs="Arial" w:eastAsia="Arial" w:hAnsi="Arial"/>
          <w:sz w:val="16"/>
          <w:szCs w:val="16"/>
          <w:color w:val="auto"/>
        </w:rPr>
        <w:t>A registration statement on Form S-3 relating to the Shares (File No. 333-216194) (i) has been prepared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 conformity with the requirements of the Securities Act of 1933, as 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and the rules and regulations</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thereunder; (ii) has been filed with the Commission under the Securities Act; and (iii) is effective under the Securities Act. Copies of such registration statement and any amendment thereto have been delivered by the Partnership to the Representative. As used in this Agreement:</w:t>
      </w:r>
    </w:p>
    <w:p>
      <w:pPr>
        <w:spacing w:after="0" w:line="186" w:lineRule="exact"/>
        <w:rPr>
          <w:rFonts w:ascii="Arial" w:cs="Arial" w:eastAsia="Arial" w:hAnsi="Arial"/>
          <w:sz w:val="16"/>
          <w:szCs w:val="16"/>
          <w:color w:val="auto"/>
        </w:rPr>
      </w:pPr>
    </w:p>
    <w:p>
      <w:pPr>
        <w:ind w:left="1300" w:right="700" w:firstLine="653"/>
        <w:spacing w:after="0" w:line="282" w:lineRule="auto"/>
        <w:tabs>
          <w:tab w:leader="none" w:pos="2618"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the date and time set forth on Schedule II, which the Underwriters have informed the Partnership and its counsel is a time prior to the first sale of the Shares;</w:t>
      </w:r>
    </w:p>
    <w:p>
      <w:pPr>
        <w:spacing w:after="0" w:line="161" w:lineRule="exact"/>
        <w:rPr>
          <w:rFonts w:ascii="Arial" w:cs="Arial" w:eastAsia="Arial" w:hAnsi="Arial"/>
          <w:sz w:val="18"/>
          <w:szCs w:val="18"/>
          <w:color w:val="auto"/>
        </w:rPr>
      </w:pPr>
    </w:p>
    <w:p>
      <w:pPr>
        <w:ind w:left="2640" w:hanging="687"/>
        <w:spacing w:after="0"/>
        <w:tabs>
          <w:tab w:leader="none" w:pos="264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Base Prospectus</w:t>
      </w:r>
      <w:r>
        <w:rPr>
          <w:rFonts w:ascii="Arial" w:cs="Arial" w:eastAsia="Arial" w:hAnsi="Arial"/>
          <w:sz w:val="17"/>
          <w:szCs w:val="17"/>
          <w:color w:val="auto"/>
        </w:rPr>
        <w:t>” means the base prospectus included in the Registration Statement at the Applicable Time.</w:t>
      </w:r>
    </w:p>
    <w:p>
      <w:pPr>
        <w:spacing w:after="0" w:line="236" w:lineRule="exact"/>
        <w:rPr>
          <w:rFonts w:ascii="Arial" w:cs="Arial" w:eastAsia="Arial" w:hAnsi="Arial"/>
          <w:sz w:val="17"/>
          <w:szCs w:val="17"/>
          <w:color w:val="auto"/>
        </w:rPr>
      </w:pPr>
    </w:p>
    <w:p>
      <w:pPr>
        <w:ind w:left="1300" w:right="140" w:firstLine="653"/>
        <w:spacing w:after="0" w:line="282" w:lineRule="auto"/>
        <w:tabs>
          <w:tab w:leader="none" w:pos="2637"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any date as of which any part of such registration statement relating to the Shares became, or is deemed to have become, effective under the Securities Act in accordance with the Rules and Regulations;</w:t>
      </w:r>
    </w:p>
    <w:p>
      <w:pPr>
        <w:spacing w:after="0" w:line="161" w:lineRule="exact"/>
        <w:rPr>
          <w:rFonts w:ascii="Arial" w:cs="Arial" w:eastAsia="Arial" w:hAnsi="Arial"/>
          <w:sz w:val="18"/>
          <w:szCs w:val="18"/>
          <w:color w:val="auto"/>
        </w:rPr>
      </w:pPr>
    </w:p>
    <w:p>
      <w:pPr>
        <w:ind w:left="1300" w:right="480" w:firstLine="653"/>
        <w:spacing w:after="0" w:line="289" w:lineRule="auto"/>
        <w:tabs>
          <w:tab w:leader="none" w:pos="2613"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Issuer Free Writing Prospectus</w:t>
      </w:r>
      <w:r>
        <w:rPr>
          <w:rFonts w:ascii="Arial" w:cs="Arial" w:eastAsia="Arial" w:hAnsi="Arial"/>
          <w:sz w:val="17"/>
          <w:szCs w:val="17"/>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Shares;</w:t>
      </w:r>
    </w:p>
    <w:p>
      <w:pPr>
        <w:spacing w:after="0" w:line="158" w:lineRule="exact"/>
        <w:rPr>
          <w:rFonts w:ascii="Arial" w:cs="Arial" w:eastAsia="Arial" w:hAnsi="Arial"/>
          <w:sz w:val="17"/>
          <w:szCs w:val="17"/>
          <w:color w:val="auto"/>
        </w:rPr>
      </w:pPr>
    </w:p>
    <w:p>
      <w:pPr>
        <w:ind w:left="1300" w:right="520" w:firstLine="653"/>
        <w:spacing w:after="0" w:line="266" w:lineRule="auto"/>
        <w:tabs>
          <w:tab w:leader="none" w:pos="2604"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of the Rules and Regulations, including the Base Prospectus and any preliminary prospectus supplement thereto relating to the Shares;</w:t>
      </w:r>
    </w:p>
    <w:p>
      <w:pPr>
        <w:spacing w:after="0" w:line="176" w:lineRule="exact"/>
        <w:rPr>
          <w:rFonts w:ascii="Arial" w:cs="Arial" w:eastAsia="Arial" w:hAnsi="Arial"/>
          <w:sz w:val="18"/>
          <w:szCs w:val="18"/>
          <w:color w:val="auto"/>
        </w:rPr>
      </w:pPr>
    </w:p>
    <w:p>
      <w:pPr>
        <w:ind w:left="2620" w:hanging="667"/>
        <w:spacing w:after="0"/>
        <w:tabs>
          <w:tab w:leader="none" w:pos="2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Pricing Disclosure Package</w:t>
      </w:r>
      <w:r>
        <w:rPr>
          <w:rFonts w:ascii="Arial" w:cs="Arial" w:eastAsia="Arial" w:hAnsi="Arial"/>
          <w:sz w:val="16"/>
          <w:szCs w:val="16"/>
          <w:color w:val="auto"/>
        </w:rPr>
        <w:t>” means, as of the Applicable Time, the most recent Preliminary Prospectus together with</w:t>
      </w:r>
    </w:p>
    <w:p>
      <w:pPr>
        <w:spacing w:after="0" w:line="50" w:lineRule="exact"/>
        <w:rPr>
          <w:rFonts w:ascii="Arial" w:cs="Arial" w:eastAsia="Arial" w:hAnsi="Arial"/>
          <w:sz w:val="16"/>
          <w:szCs w:val="16"/>
          <w:color w:val="auto"/>
        </w:rPr>
      </w:pPr>
    </w:p>
    <w:p>
      <w:pPr>
        <w:ind w:left="1300" w:right="1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 the pricing information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(B) each Issuer Free Writing Prospectus filed or used by the Partnership on or before the Applicable Time, other than a road show that is an Issuer Free Writing Prospectus under Rule 433 of the Rules and Regulations;</w:t>
      </w:r>
    </w:p>
    <w:p>
      <w:pPr>
        <w:spacing w:after="0" w:line="186" w:lineRule="exact"/>
        <w:rPr>
          <w:rFonts w:ascii="Arial" w:cs="Arial" w:eastAsia="Arial" w:hAnsi="Arial"/>
          <w:sz w:val="16"/>
          <w:szCs w:val="16"/>
          <w:color w:val="auto"/>
        </w:rPr>
      </w:pPr>
    </w:p>
    <w:p>
      <w:pPr>
        <w:ind w:left="1300" w:right="580" w:firstLine="653"/>
        <w:spacing w:after="0" w:line="347" w:lineRule="auto"/>
        <w:tabs>
          <w:tab w:leader="none" w:pos="2623"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means the final prospectus relating to the Shares, including the Base Prospectus and any prospectus supplement thereto relating to the Shares, as filed with the Commission pursuant to Rule 424(b) of the Rules and Regulations; and</w:t>
      </w:r>
    </w:p>
    <w:p>
      <w:pPr>
        <w:spacing w:after="0" w:line="116" w:lineRule="exact"/>
        <w:rPr>
          <w:rFonts w:ascii="Arial" w:cs="Arial" w:eastAsia="Arial" w:hAnsi="Arial"/>
          <w:sz w:val="16"/>
          <w:szCs w:val="16"/>
          <w:color w:val="auto"/>
        </w:rPr>
      </w:pPr>
    </w:p>
    <w:p>
      <w:pPr>
        <w:ind w:left="1300" w:right="260" w:firstLine="653"/>
        <w:spacing w:after="0" w:line="282" w:lineRule="auto"/>
        <w:tabs>
          <w:tab w:leader="none" w:pos="2632"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the registration statement on Form S-3 (File No. 333-216194), as amended as of the Effective Date, including</w:t>
      </w:r>
    </w:p>
    <w:p>
      <w:pPr>
        <w:sectPr>
          <w:pgSz w:w="11900" w:h="16838" w:orient="portrait"/>
          <w:cols w:equalWidth="0" w:num="1">
            <w:col w:w="11420"/>
          </w:cols>
          <w:pgMar w:left="240" w:top="121"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p>
      <w:pPr>
        <w:ind w:left="1300"/>
        <w:spacing w:after="0"/>
        <w:rPr>
          <w:sz w:val="20"/>
          <w:szCs w:val="20"/>
          <w:color w:val="auto"/>
        </w:rPr>
      </w:pPr>
      <w:r>
        <w:rPr>
          <w:rFonts w:ascii="Arial" w:cs="Arial" w:eastAsia="Arial" w:hAnsi="Arial"/>
          <w:sz w:val="18"/>
          <w:szCs w:val="18"/>
          <w:color w:val="auto"/>
        </w:rPr>
        <w:t>any Preliminary Prospectus or the Prospectus and all exhibits to such registration statement.</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u w:val="single" w:color="auto"/>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w:t>
      </w:r>
    </w:p>
    <w:p>
      <w:pPr>
        <w:spacing w:after="0" w:line="169" w:lineRule="exact"/>
        <w:rPr>
          <w:sz w:val="20"/>
          <w:szCs w:val="20"/>
          <w:color w:val="auto"/>
        </w:rPr>
      </w:pPr>
    </w:p>
    <w:p>
      <w:pPr>
        <w:ind w:right="20" w:firstLine="1305"/>
        <w:spacing w:after="0" w:line="255" w:lineRule="auto"/>
        <w:tabs>
          <w:tab w:leader="none" w:pos="195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Form of Documents</w:t>
      </w:r>
      <w:r>
        <w:rPr>
          <w:rFonts w:ascii="Arial" w:cs="Arial" w:eastAsia="Arial" w:hAnsi="Arial"/>
          <w:sz w:val="18"/>
          <w:szCs w:val="18"/>
          <w:color w:val="auto"/>
        </w:rPr>
        <w:t>. The Registration Statement conformed in all material respects on the Effective Date and on each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189" w:lineRule="exact"/>
        <w:rPr>
          <w:rFonts w:ascii="Arial" w:cs="Arial" w:eastAsia="Arial" w:hAnsi="Arial"/>
          <w:sz w:val="18"/>
          <w:szCs w:val="18"/>
          <w:color w:val="auto"/>
        </w:rPr>
      </w:pPr>
    </w:p>
    <w:p>
      <w:pPr>
        <w:ind w:right="140" w:firstLine="1305"/>
        <w:spacing w:after="0" w:line="279" w:lineRule="auto"/>
        <w:tabs>
          <w:tab w:leader="none" w:pos="19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Registration Statement</w:t>
      </w:r>
      <w:r>
        <w:rPr>
          <w:rFonts w:ascii="Arial" w:cs="Arial" w:eastAsia="Arial" w:hAnsi="Arial"/>
          <w:sz w:val="17"/>
          <w:szCs w:val="17"/>
          <w:color w:val="auto"/>
        </w:rPr>
        <w:t>. The Registration Statement did not, as of its most recent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Partnership through the Representative by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on behalf of any Underwriter specifically for inclusion therein, which information is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25" w:lineRule="exact"/>
        <w:rPr>
          <w:sz w:val="20"/>
          <w:szCs w:val="20"/>
          <w:color w:val="auto"/>
        </w:rPr>
      </w:pPr>
    </w:p>
    <w:p>
      <w:pPr>
        <w:ind w:right="260" w:firstLine="1305"/>
        <w:spacing w:after="0" w:line="276" w:lineRule="auto"/>
        <w:tabs>
          <w:tab w:leader="none" w:pos="195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Prospectus</w:t>
      </w:r>
      <w:r>
        <w:rPr>
          <w:rFonts w:ascii="Arial" w:cs="Arial" w:eastAsia="Arial" w:hAnsi="Arial"/>
          <w:sz w:val="17"/>
          <w:szCs w:val="17"/>
          <w:color w:val="auto"/>
        </w:rPr>
        <w:t>. The Prospectus will not, as of its date and on the applicable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Partnership through the Representative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20" w:firstLine="1305"/>
        <w:spacing w:after="0" w:line="264" w:lineRule="auto"/>
        <w:tabs>
          <w:tab w:leader="none" w:pos="19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Documents Incorporated by Reference</w:t>
      </w:r>
      <w:r>
        <w:rPr>
          <w:rFonts w:ascii="Arial" w:cs="Arial" w:eastAsia="Arial" w:hAnsi="Arial"/>
          <w:sz w:val="18"/>
          <w:szCs w:val="18"/>
          <w:color w:val="auto"/>
        </w:rPr>
        <w:t>. The Incorporated Documents, when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firstLine="1305"/>
        <w:spacing w:after="0" w:line="276" w:lineRule="auto"/>
        <w:tabs>
          <w:tab w:leader="none" w:pos="1949"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Partnership through the Representative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120" w:firstLine="1305"/>
        <w:spacing w:after="0" w:line="255" w:lineRule="auto"/>
        <w:tabs>
          <w:tab w:leader="none" w:pos="196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 and Pricing Disclosure Package</w:t>
      </w:r>
      <w:r>
        <w:rPr>
          <w:rFonts w:ascii="Arial" w:cs="Arial" w:eastAsia="Arial" w:hAnsi="Arial"/>
          <w:sz w:val="18"/>
          <w:szCs w:val="18"/>
          <w:color w:val="auto"/>
        </w:rPr>
        <w:t>. Each Issuer Free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in reliance upon and in conformity with written information furnished to the Partnership through the Representative by or on behalf of any Underwriter specifically for inclusion therein, which information is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160" w:firstLine="1305"/>
        <w:spacing w:after="0" w:line="255" w:lineRule="auto"/>
        <w:tabs>
          <w:tab w:leader="none" w:pos="195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 Conform to the Requirements of the Securities Act</w:t>
      </w:r>
      <w:r>
        <w:rPr>
          <w:rFonts w:ascii="Arial" w:cs="Arial" w:eastAsia="Arial" w:hAnsi="Arial"/>
          <w:sz w:val="18"/>
          <w:szCs w:val="18"/>
          <w:color w:val="auto"/>
        </w:rPr>
        <w:t>. Each Issuer Free Writing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Shares that would constitute an Issuer Free Writing Prospectus without the prior written consent of the Representative. The Partnership has retained in accordance with the Rules and Regulations all Issuer Free Writing Prospectuses that were not required to be filed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21" w:gutter="0" w:footer="0" w:header="0"/>
        </w:sectPr>
      </w:pPr>
    </w:p>
    <w:bookmarkStart w:id="4" w:name="page5"/>
    <w:bookmarkEnd w:id="4"/>
    <w:p>
      <w:pPr>
        <w:spacing w:after="0" w:line="11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pursuant to the Rules and Regulations. The Partnership has taken all actions necessary so that any road show (as defined in Rule 433 of the Rules and Regulations) in connection with the offering of the Shares will not be required to be filed pursuant to the Rules and Regulations.</w:t>
      </w:r>
    </w:p>
    <w:p>
      <w:pPr>
        <w:spacing w:after="0" w:line="147" w:lineRule="exact"/>
        <w:rPr>
          <w:sz w:val="20"/>
          <w:szCs w:val="20"/>
          <w:color w:val="auto"/>
        </w:rPr>
      </w:pPr>
    </w:p>
    <w:p>
      <w:pPr>
        <w:jc w:val="both"/>
        <w:ind w:right="180" w:firstLine="1305"/>
        <w:spacing w:after="0" w:line="259" w:lineRule="auto"/>
        <w:tabs>
          <w:tab w:leader="none" w:pos="196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Rule 405 of the Rules and Regulations). At the earliest time after the initial filing of the Registration Statement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Shares, the Partnership was not an “ineligible issuer,” as defined in Rule 405 of the Rules and Regulations.</w:t>
      </w:r>
    </w:p>
    <w:p>
      <w:pPr>
        <w:spacing w:after="0" w:line="186" w:lineRule="exact"/>
        <w:rPr>
          <w:rFonts w:ascii="Arial" w:cs="Arial" w:eastAsia="Arial" w:hAnsi="Arial"/>
          <w:sz w:val="18"/>
          <w:szCs w:val="18"/>
          <w:color w:val="auto"/>
        </w:rPr>
      </w:pPr>
    </w:p>
    <w:p>
      <w:pPr>
        <w:ind w:firstLine="1305"/>
        <w:spacing w:after="0" w:line="287" w:lineRule="auto"/>
        <w:tabs>
          <w:tab w:leader="none" w:pos="195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the General Partner, the PAA GP Entities, PAA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Subsidiaries has been duly formed and is validly existing in good standing as a limited partnership, limited liability company or unlimited liability company under the laws of its respective jurisdiction of formation with full partnership, limited liability company or unlimited liability company power and authority, as the case may be, to own or lease its properties and to conduct its business, in each case in all material respects. Each of the Partnership, the General Partner, the PAA GP Entities, PAA and the Material Subsidiaries is duly registered or qualified as a limited partnership, limited liability company or unlimited liability company, as the case may be, for the transaction of business under the laws of each jurisdiction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PAA’s direct and indirect majority owned subsidiaries (each a “</w:t>
      </w:r>
      <w:r>
        <w:rPr>
          <w:rFonts w:ascii="Arial" w:cs="Arial" w:eastAsia="Arial" w:hAnsi="Arial"/>
          <w:sz w:val="16"/>
          <w:szCs w:val="16"/>
          <w:b w:val="1"/>
          <w:bCs w:val="1"/>
          <w:u w:val="single" w:color="auto"/>
          <w:color w:val="auto"/>
        </w:rPr>
        <w:t>PAA Subsidiary</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PAA Subsidiaries</w:t>
      </w:r>
      <w:r>
        <w:rPr>
          <w:rFonts w:ascii="Arial" w:cs="Arial" w:eastAsia="Arial" w:hAnsi="Arial"/>
          <w:sz w:val="16"/>
          <w:szCs w:val="16"/>
          <w:color w:val="auto"/>
        </w:rPr>
        <w:t>”), PAA (collectively with the PAA Subsidiaries, the “</w:t>
      </w:r>
      <w:r>
        <w:rPr>
          <w:rFonts w:ascii="Arial" w:cs="Arial" w:eastAsia="Arial" w:hAnsi="Arial"/>
          <w:sz w:val="16"/>
          <w:szCs w:val="16"/>
          <w:b w:val="1"/>
          <w:bCs w:val="1"/>
          <w:u w:val="single" w:color="auto"/>
          <w:color w:val="auto"/>
        </w:rPr>
        <w:t>PAA Entities</w:t>
      </w:r>
      <w:r>
        <w:rPr>
          <w:rFonts w:ascii="Arial" w:cs="Arial" w:eastAsia="Arial" w:hAnsi="Arial"/>
          <w:sz w:val="16"/>
          <w:szCs w:val="16"/>
          <w:color w:val="auto"/>
        </w:rPr>
        <w:t>”), the General Partner, the Partnership and the PAA GP Entities, (together with the General Partner, the Partnership and the PAA Entities, the “</w:t>
      </w:r>
      <w:r>
        <w:rPr>
          <w:rFonts w:ascii="Arial" w:cs="Arial" w:eastAsia="Arial" w:hAnsi="Arial"/>
          <w:sz w:val="16"/>
          <w:szCs w:val="16"/>
          <w:b w:val="1"/>
          <w:bCs w:val="1"/>
          <w:u w:val="single" w:color="auto"/>
          <w:color w:val="auto"/>
        </w:rPr>
        <w:t>Plains Entities</w:t>
      </w:r>
      <w:r>
        <w:rPr>
          <w:rFonts w:ascii="Arial" w:cs="Arial" w:eastAsia="Arial" w:hAnsi="Arial"/>
          <w:sz w:val="16"/>
          <w:szCs w:val="16"/>
          <w:color w:val="auto"/>
        </w:rPr>
        <w:t>”), taken as a whole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or (ii) subject the limited partners of the Partnership to any material liability or disability.</w:t>
      </w:r>
    </w:p>
    <w:p>
      <w:pPr>
        <w:spacing w:after="0" w:line="168" w:lineRule="exact"/>
        <w:rPr>
          <w:rFonts w:ascii="Arial" w:cs="Arial" w:eastAsia="Arial" w:hAnsi="Arial"/>
          <w:sz w:val="16"/>
          <w:szCs w:val="16"/>
          <w:color w:val="auto"/>
        </w:rPr>
      </w:pPr>
    </w:p>
    <w:p>
      <w:pPr>
        <w:ind w:right="40" w:firstLine="1305"/>
        <w:spacing w:after="0" w:line="264" w:lineRule="auto"/>
        <w:tabs>
          <w:tab w:leader="none" w:pos="1952"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that serves as a general partner of another Plains Entity has full corporate or limited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power and authority, as the case may be, to serve as general partner of such Plains Entity, in each case in all material respects, as disclosed in the Pricing Disclosure Package and the Prospectus.</w:t>
      </w:r>
    </w:p>
    <w:p>
      <w:pPr>
        <w:spacing w:after="0" w:line="181" w:lineRule="exact"/>
        <w:rPr>
          <w:rFonts w:ascii="Arial" w:cs="Arial" w:eastAsia="Arial" w:hAnsi="Arial"/>
          <w:sz w:val="18"/>
          <w:szCs w:val="18"/>
          <w:color w:val="auto"/>
        </w:rPr>
      </w:pPr>
    </w:p>
    <w:p>
      <w:pPr>
        <w:ind w:right="20" w:firstLine="1305"/>
        <w:spacing w:after="0" w:line="255" w:lineRule="auto"/>
        <w:tabs>
          <w:tab w:leader="none" w:pos="196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Ownership of Interests in the Partnership, the PAA GP Entities and PAA</w:t>
      </w:r>
      <w:r>
        <w:rPr>
          <w:rFonts w:ascii="Arial" w:cs="Arial" w:eastAsia="Arial" w:hAnsi="Arial"/>
          <w:sz w:val="18"/>
          <w:szCs w:val="18"/>
          <w:color w:val="auto"/>
        </w:rPr>
        <w:t>. The General Partner, the Partnership and the PAA GP</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hold the general partner, limited partner and membership interests in the Partnership, the PAA GP Entities and PAA, as applicable, as such interests are described in the Pricing Disclosure Package and the Prospectus; all of such interests have been duly authorized and validly issued in accordance with their respective limited partnership or limited liability company agreement, as applicable, and such membership interests are fully paid (to the extent required under their respective limited partnership or limited liability company agreement, as applicable) and nonassessable (except as such nonassessability may be affected by Sections 17-303, 17-607 and 17-804 of the Delaware Revised Uniform Limited Partnership Act (the “</w:t>
      </w:r>
      <w:r>
        <w:rPr>
          <w:rFonts w:ascii="Arial" w:cs="Arial" w:eastAsia="Arial" w:hAnsi="Arial"/>
          <w:sz w:val="18"/>
          <w:szCs w:val="18"/>
          <w:b w:val="1"/>
          <w:bCs w:val="1"/>
          <w:u w:val="single" w:color="auto"/>
          <w:color w:val="auto"/>
        </w:rPr>
        <w:t>Delaware LP Act</w:t>
      </w:r>
      <w:r>
        <w:rPr>
          <w:rFonts w:ascii="Arial" w:cs="Arial" w:eastAsia="Arial" w:hAnsi="Arial"/>
          <w:sz w:val="18"/>
          <w:szCs w:val="18"/>
          <w:color w:val="auto"/>
        </w:rPr>
        <w:t>”) or Sections 18-607 and 18-</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804 of the Delaware Limited Liability Company Act (the “</w:t>
      </w:r>
      <w:r>
        <w:rPr>
          <w:rFonts w:ascii="Arial" w:cs="Arial" w:eastAsia="Arial" w:hAnsi="Arial"/>
          <w:sz w:val="17"/>
          <w:szCs w:val="17"/>
          <w:b w:val="1"/>
          <w:bCs w:val="1"/>
          <w:u w:val="single" w:color="auto"/>
          <w:color w:val="auto"/>
        </w:rPr>
        <w:t>Delaware LLC Act</w:t>
      </w:r>
      <w:r>
        <w:rPr>
          <w:rFonts w:ascii="Arial" w:cs="Arial" w:eastAsia="Arial" w:hAnsi="Arial"/>
          <w:sz w:val="17"/>
          <w:szCs w:val="17"/>
          <w:color w:val="auto"/>
        </w:rPr>
        <w:t>”), as applicable); and such general partner, limited partner and membership interests held by the General Partner, the Partnership and the PAA GP Entities are owned free and clear of all liens, encumbrances, security interests, equities, charges or claims (“</w:t>
      </w:r>
      <w:r>
        <w:rPr>
          <w:rFonts w:ascii="Arial" w:cs="Arial" w:eastAsia="Arial" w:hAnsi="Arial"/>
          <w:sz w:val="17"/>
          <w:szCs w:val="17"/>
          <w:b w:val="1"/>
          <w:bCs w:val="1"/>
          <w:u w:val="single" w:color="auto"/>
          <w:color w:val="auto"/>
        </w:rPr>
        <w:t>Liens</w:t>
      </w:r>
      <w:r>
        <w:rPr>
          <w:rFonts w:ascii="Arial" w:cs="Arial" w:eastAsia="Arial" w:hAnsi="Arial"/>
          <w:sz w:val="17"/>
          <w:szCs w:val="17"/>
          <w:color w:val="auto"/>
        </w:rPr>
        <w:t>”), except (i) as disclosed in the Pricing Disclosure Package and the Prospectus or (ii) such as would not reasonably be expected to result in a change of control of the Partnership (in the case of general partner and membership interests held by the General Partner) or reasonably be expected to materially adversely affect the ability of the PAA Entities considered as a whole to conduct their businesses as currently conducted and as contemplated by the Pricing Disclosure Package and the Prospectus to be conducted.</w:t>
      </w:r>
    </w:p>
    <w:p>
      <w:pPr>
        <w:spacing w:after="0" w:line="178" w:lineRule="exact"/>
        <w:rPr>
          <w:sz w:val="20"/>
          <w:szCs w:val="20"/>
          <w:color w:val="auto"/>
        </w:rPr>
      </w:pPr>
    </w:p>
    <w:p>
      <w:pPr>
        <w:ind w:right="120" w:firstLine="1305"/>
        <w:spacing w:after="0" w:line="257" w:lineRule="auto"/>
        <w:tabs>
          <w:tab w:leader="none" w:pos="1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Ownership of Interests in the General Partner. All the membership interests in the General Partner have been duly authorized and validly issued in accordance with the Third Amended and Restated Limited Liability Company Agreement of the General Partner (as the same may be amended or restated prior to the Delivery Date, such agreement being referred to herein as the “</w:t>
      </w:r>
      <w:r>
        <w:rPr>
          <w:rFonts w:ascii="Arial" w:cs="Arial" w:eastAsia="Arial" w:hAnsi="Arial"/>
          <w:sz w:val="18"/>
          <w:szCs w:val="18"/>
          <w:b w:val="1"/>
          <w:bCs w:val="1"/>
          <w:u w:val="single" w:color="auto"/>
          <w:color w:val="auto"/>
        </w:rPr>
        <w:t>General Partner LLC Agreement</w:t>
      </w:r>
      <w:r>
        <w:rPr>
          <w:rFonts w:ascii="Arial" w:cs="Arial" w:eastAsia="Arial" w:hAnsi="Arial"/>
          <w:sz w:val="18"/>
          <w:szCs w:val="18"/>
          <w:color w:val="auto"/>
        </w:rPr>
        <w:t>”), and such membership interests are fully paid (to the extent required under General Partner LLC Agreement) and nonassessable (except as such assessability may be affected by Sections 18-607 and 18-804 of the Delaware LLC Act).</w:t>
      </w:r>
    </w:p>
    <w:p>
      <w:pPr>
        <w:spacing w:after="0" w:line="188" w:lineRule="exact"/>
        <w:rPr>
          <w:rFonts w:ascii="Arial" w:cs="Arial" w:eastAsia="Arial" w:hAnsi="Arial"/>
          <w:sz w:val="18"/>
          <w:szCs w:val="18"/>
          <w:color w:val="auto"/>
        </w:rPr>
      </w:pPr>
    </w:p>
    <w:p>
      <w:pPr>
        <w:ind w:firstLine="1305"/>
        <w:spacing w:after="0" w:line="286" w:lineRule="auto"/>
        <w:tabs>
          <w:tab w:leader="none" w:pos="1952"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as applicable, (in each case as in effect on the date hereof and as the same may be amended or restated prior to the Delivery Date) (the “</w:t>
      </w:r>
      <w:r>
        <w:rPr>
          <w:rFonts w:ascii="Arial" w:cs="Arial" w:eastAsia="Arial" w:hAnsi="Arial"/>
          <w:sz w:val="16"/>
          <w:szCs w:val="16"/>
          <w:b w:val="1"/>
          <w:bCs w:val="1"/>
          <w:u w:val="single" w:color="auto"/>
          <w:color w:val="auto"/>
        </w:rPr>
        <w:t>Organizational Documents</w:t>
      </w:r>
      <w:r>
        <w:rPr>
          <w:rFonts w:ascii="Arial" w:cs="Arial" w:eastAsia="Arial" w:hAnsi="Arial"/>
          <w:sz w:val="16"/>
          <w:szCs w:val="16"/>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partnership or limited liability company statute, if any, as applicable or (iv) with respect to the general partner interest of any Material Subsidiary) and (b) are owned, directly or indirectly, by PAA, free and clear of all Liens, except for such Liens as are not, individually or in the aggregate, material to such ownership or as described in the Pricing Disclosure Package and the Prospectus. The PAA Subsidiaries other than the Material Subsidiaries would not have, individually or in the aggregate, accounted for (i) more than 10% of the total assets of the PAA Entities, taken as a whole, as of the most recent fiscal year end or (ii) more than 10% of the net income of the PAA Entities, taken as a whole, for the most recent fiscal year.</w:t>
      </w:r>
    </w:p>
    <w:p>
      <w:pPr>
        <w:spacing w:after="0" w:line="168" w:lineRule="exact"/>
        <w:rPr>
          <w:rFonts w:ascii="Arial" w:cs="Arial" w:eastAsia="Arial" w:hAnsi="Arial"/>
          <w:sz w:val="16"/>
          <w:szCs w:val="16"/>
          <w:color w:val="auto"/>
        </w:rPr>
      </w:pPr>
    </w:p>
    <w:p>
      <w:pPr>
        <w:ind w:firstLine="1305"/>
        <w:spacing w:after="0" w:line="277" w:lineRule="auto"/>
        <w:tabs>
          <w:tab w:leader="none" w:pos="195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As of the date hereof, the issued and outstanding limited partner interests of the Partnership consist of 103,277,067</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Shares, 137,968,486 Class B</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Shares and 497,390,075 Class C Shares (as such capitalized terms are defined in the Second Amended and Restated Agreement of Limited Partnership of the Partnership, dated as of November 15, 2016 (as amended, the “</w:t>
      </w:r>
      <w:r>
        <w:rPr>
          <w:rFonts w:ascii="Arial" w:cs="Arial" w:eastAsia="Arial" w:hAnsi="Arial"/>
          <w:sz w:val="16"/>
          <w:szCs w:val="16"/>
          <w:b w:val="1"/>
          <w:bCs w:val="1"/>
          <w:u w:val="single" w:color="auto"/>
          <w:color w:val="auto"/>
        </w:rPr>
        <w:t>Partnership Agreement</w:t>
      </w:r>
      <w:r>
        <w:rPr>
          <w:rFonts w:ascii="Arial" w:cs="Arial" w:eastAsia="Arial" w:hAnsi="Arial"/>
          <w:sz w:val="16"/>
          <w:szCs w:val="16"/>
          <w:color w:val="auto"/>
        </w:rPr>
        <w:t>”)). All outstanding Class A Shares, Class B Shares and Class C Shares and the limited partner interests represented thereby have been duly authorized and validly issued in accordance with the Partnership Agreement and</w:t>
      </w:r>
    </w:p>
    <w:p>
      <w:pPr>
        <w:sectPr>
          <w:pgSz w:w="11900" w:h="16952" w:orient="portrait"/>
          <w:cols w:equalWidth="0" w:num="1">
            <w:col w:w="11400"/>
          </w:cols>
          <w:pgMar w:left="240" w:top="125" w:right="259" w:bottom="0" w:gutter="0" w:footer="0" w:header="0"/>
        </w:sectPr>
      </w:pPr>
    </w:p>
    <w:bookmarkStart w:id="5" w:name="page6"/>
    <w:bookmarkEnd w:id="5"/>
    <w:p>
      <w:pPr>
        <w:ind w:right="240"/>
        <w:spacing w:after="0" w:line="264" w:lineRule="auto"/>
        <w:rPr>
          <w:sz w:val="20"/>
          <w:szCs w:val="20"/>
          <w:color w:val="auto"/>
        </w:rPr>
      </w:pPr>
      <w:r>
        <w:rPr>
          <w:rFonts w:ascii="Arial" w:cs="Arial" w:eastAsia="Arial" w:hAnsi="Arial"/>
          <w:sz w:val="18"/>
          <w:szCs w:val="18"/>
          <w:color w:val="auto"/>
        </w:rPr>
        <w:t>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spacing w:after="0" w:line="181" w:lineRule="exact"/>
        <w:rPr>
          <w:sz w:val="20"/>
          <w:szCs w:val="20"/>
          <w:color w:val="auto"/>
        </w:rPr>
      </w:pPr>
    </w:p>
    <w:p>
      <w:pPr>
        <w:ind w:right="40" w:firstLine="1305"/>
        <w:spacing w:after="0" w:line="276" w:lineRule="auto"/>
        <w:tabs>
          <w:tab w:leader="none" w:pos="1952"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PAA Capitalization</w:t>
      </w:r>
      <w:r>
        <w:rPr>
          <w:rFonts w:ascii="Arial" w:cs="Arial" w:eastAsia="Arial" w:hAnsi="Arial"/>
          <w:sz w:val="17"/>
          <w:szCs w:val="17"/>
          <w:color w:val="auto"/>
        </w:rPr>
        <w:t>. As of the date hereof, the issued and outstanding limited partner interests of PAA consist of 675,104,994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(as defined below) and 65,676,626 Series A Preferred Units (as defined in the Organizational Documents of PAA). All outstanding PAA Common Units and Series A Preferred Units and the limited partner interests represented thereby have been duly authorized and validly issued in accordance with the Organizational Documents of PAA and are fully paid (to the extent required under the Organizational Documents of PAA) and nonassessable (except as such nonassessability may be affected by Sections 17-303, 17-607 and 17-804 of the Delaware LP Act).</w:t>
      </w:r>
    </w:p>
    <w:p>
      <w:pPr>
        <w:spacing w:after="0" w:line="172" w:lineRule="exact"/>
        <w:rPr>
          <w:rFonts w:ascii="Arial" w:cs="Arial" w:eastAsia="Arial" w:hAnsi="Arial"/>
          <w:sz w:val="17"/>
          <w:szCs w:val="17"/>
          <w:color w:val="auto"/>
        </w:rPr>
      </w:pPr>
    </w:p>
    <w:p>
      <w:pPr>
        <w:ind w:right="240" w:firstLine="1305"/>
        <w:spacing w:after="0" w:line="276" w:lineRule="auto"/>
        <w:tabs>
          <w:tab w:leader="none" w:pos="1952"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Plains AAP Capitalization</w:t>
      </w:r>
      <w:r>
        <w:rPr>
          <w:rFonts w:ascii="Arial" w:cs="Arial" w:eastAsia="Arial" w:hAnsi="Arial"/>
          <w:sz w:val="17"/>
          <w:szCs w:val="17"/>
          <w:color w:val="auto"/>
        </w:rPr>
        <w:t>. As of the date hereof, the issued and outstanding limited partner interests of Plains AAP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241,245,553 AAP Units (as defined below) and 3,121,180 Class B Units (as defined the Organizational Documents of Plains AAP). All outstanding AAP Units and Class B Units and the limited partner interests represented thereby have been duly authorized and validly issued in accordance with the Organizational Documents of Plains AAP and are fully paid (to the extent required under the Organizational Documents of Plains AAP) and nonassessable (except as such nonassessability may be affected by Sections 17-303, 17-607 and 17-804 of the Delaware LP Act).</w:t>
      </w:r>
    </w:p>
    <w:p>
      <w:pPr>
        <w:spacing w:after="0" w:line="172" w:lineRule="exact"/>
        <w:rPr>
          <w:rFonts w:ascii="Arial" w:cs="Arial" w:eastAsia="Arial" w:hAnsi="Arial"/>
          <w:sz w:val="17"/>
          <w:szCs w:val="17"/>
          <w:color w:val="auto"/>
        </w:rPr>
      </w:pPr>
    </w:p>
    <w:p>
      <w:pPr>
        <w:jc w:val="both"/>
        <w:ind w:right="380" w:firstLine="1305"/>
        <w:spacing w:after="0" w:line="302" w:lineRule="auto"/>
        <w:tabs>
          <w:tab w:leader="none" w:pos="196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Shares</w:t>
      </w:r>
      <w:r>
        <w:rPr>
          <w:rFonts w:ascii="Arial" w:cs="Arial" w:eastAsia="Arial" w:hAnsi="Arial"/>
          <w:sz w:val="16"/>
          <w:szCs w:val="16"/>
          <w:color w:val="auto"/>
        </w:rPr>
        <w:t>. At the applicable Delivery Date, the Shares to be sold by the Partnership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partner interests represented thereby will be duly authorized in accordance with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Sections 17-303, 17-607 and 17-804 of the Delaware LP Act).</w:t>
      </w:r>
    </w:p>
    <w:p>
      <w:pPr>
        <w:spacing w:after="0" w:line="154" w:lineRule="exact"/>
        <w:rPr>
          <w:rFonts w:ascii="Arial" w:cs="Arial" w:eastAsia="Arial" w:hAnsi="Arial"/>
          <w:sz w:val="16"/>
          <w:szCs w:val="16"/>
          <w:color w:val="auto"/>
        </w:rPr>
      </w:pPr>
    </w:p>
    <w:p>
      <w:pPr>
        <w:ind w:firstLine="1305"/>
        <w:spacing w:after="0" w:line="293" w:lineRule="auto"/>
        <w:tabs>
          <w:tab w:leader="none" w:pos="1959"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AAP and PAA Common Units</w:t>
      </w:r>
      <w:r>
        <w:rPr>
          <w:rFonts w:ascii="Arial" w:cs="Arial" w:eastAsia="Arial" w:hAnsi="Arial"/>
          <w:sz w:val="16"/>
          <w:szCs w:val="16"/>
          <w:color w:val="auto"/>
        </w:rPr>
        <w:t>. The Class A units representing limited partner interests in Plains</w:t>
      </w:r>
      <w:r>
        <w:rPr>
          <w:rFonts w:ascii="Arial" w:cs="Arial" w:eastAsia="Arial" w:hAnsi="Arial"/>
          <w:sz w:val="16"/>
          <w:szCs w:val="16"/>
          <w:i w:val="1"/>
          <w:iCs w:val="1"/>
          <w:color w:val="auto"/>
        </w:rPr>
        <w:t xml:space="preserve"> </w:t>
      </w:r>
      <w:r>
        <w:rPr>
          <w:rFonts w:ascii="Arial" w:cs="Arial" w:eastAsia="Arial" w:hAnsi="Arial"/>
          <w:sz w:val="16"/>
          <w:szCs w:val="16"/>
          <w:color w:val="auto"/>
        </w:rPr>
        <w:t>AAP (the “</w:t>
      </w:r>
      <w:r>
        <w:rPr>
          <w:rFonts w:ascii="Arial" w:cs="Arial" w:eastAsia="Arial" w:hAnsi="Arial"/>
          <w:sz w:val="16"/>
          <w:szCs w:val="16"/>
          <w:b w:val="1"/>
          <w:bCs w:val="1"/>
          <w:u w:val="single" w:color="auto"/>
          <w:color w:val="auto"/>
        </w:rPr>
        <w:t>AAP Units</w:t>
      </w:r>
      <w:r>
        <w:rPr>
          <w:rFonts w:ascii="Arial" w:cs="Arial" w:eastAsia="Arial" w:hAnsi="Arial"/>
          <w:sz w:val="16"/>
          <w:szCs w:val="16"/>
          <w:color w:val="auto"/>
        </w:rPr>
        <w:t>”) and the common units representing limited partner interests in PAA (the “</w:t>
      </w:r>
      <w:r>
        <w:rPr>
          <w:rFonts w:ascii="Arial" w:cs="Arial" w:eastAsia="Arial" w:hAnsi="Arial"/>
          <w:sz w:val="16"/>
          <w:szCs w:val="16"/>
          <w:b w:val="1"/>
          <w:bCs w:val="1"/>
          <w:u w:val="single" w:color="auto"/>
          <w:color w:val="auto"/>
        </w:rPr>
        <w:t>PAA Common Units</w:t>
      </w:r>
      <w:r>
        <w:rPr>
          <w:rFonts w:ascii="Arial" w:cs="Arial" w:eastAsia="Arial" w:hAnsi="Arial"/>
          <w:sz w:val="16"/>
          <w:szCs w:val="16"/>
          <w:color w:val="auto"/>
        </w:rPr>
        <w:t>”) to be issued and sold pursuant to the Omnibus Agreement in connection with sales of Shares pursuant to this Agreement and the limited partner interests represented thereby will be duly authorized in accordance with the Organizational Documents of Plains AAP and PAA, respectively, and, when issued and delivered against payment therefor in accordance with the terms thereof, will be validly issued, fully paid (to the extent required under the Organizational Documents of Plains AAP and PAA, as applicable) and nonassessable (except as such nonassessability may be affected by Sections 17-303, 17-607 and 17-804 of the Delaware LP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1" w:lineRule="auto"/>
        <w:tabs>
          <w:tab w:leader="none" w:pos="195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Preemptive or Other Rights</w:t>
      </w:r>
      <w:r>
        <w:rPr>
          <w:rFonts w:ascii="Arial" w:cs="Arial" w:eastAsia="Arial" w:hAnsi="Arial"/>
          <w:sz w:val="17"/>
          <w:szCs w:val="17"/>
          <w:color w:val="auto"/>
        </w:rPr>
        <w:t>. Except as described in the Pricing Disclosure Package and the Prospectus or as provided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Organizational Documents of the Partnership, Plains AAP or PAA and the Omnibus Agreement, there are no preemptive rights or other rights to subscribe for or to purchase, nor any restriction upon the voting or transfer of, any interests in the Partnership, Plains AAP or PAA pursuant to any agreement or other instrument to which the Partnership, Plains AAP or PAA is a party or by which the Partnership, Plains AAP or PAA may be bound.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(i) as described in the Pricing Disclosure Package and the Prospectus and (ii) for awards issued pursuant to the Partnership’s long-term incentive plans, there are no outstanding rights to purchase any Class A Shares or other equity interests in the Partnership.</w:t>
      </w:r>
    </w:p>
    <w:p>
      <w:pPr>
        <w:spacing w:after="0" w:line="178" w:lineRule="exact"/>
        <w:rPr>
          <w:rFonts w:ascii="Arial" w:cs="Arial" w:eastAsia="Arial" w:hAnsi="Arial"/>
          <w:sz w:val="17"/>
          <w:szCs w:val="17"/>
          <w:color w:val="auto"/>
        </w:rPr>
      </w:pPr>
    </w:p>
    <w:p>
      <w:pPr>
        <w:ind w:right="40" w:firstLine="1305"/>
        <w:spacing w:after="0" w:line="272" w:lineRule="auto"/>
        <w:tabs>
          <w:tab w:leader="none" w:pos="195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Authority</w:t>
      </w:r>
      <w:r>
        <w:rPr>
          <w:rFonts w:ascii="Arial" w:cs="Arial" w:eastAsia="Arial" w:hAnsi="Arial"/>
          <w:sz w:val="17"/>
          <w:szCs w:val="17"/>
          <w:color w:val="auto"/>
        </w:rPr>
        <w:t>. Each of the Partnership, Plains AAP and PAA has all requisite power and authority to issue, sell and deliver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AAP Units and the PAA Common Units, as applicable, in accordance with and upon the terms and conditions set forth in this Agreement, the Omnibus Agreement, their respective Organizational Documents, the Registration Statement, the Pricing Disclosure Package and the Prospectus, as applicable. At the applicable Delivery Date, all action required to be taken by the Partnership or its partners for (i) the due and proper authorization, execution and delivery of this Agreement, (ii) the authorization, issuance, sale and delivery of the Shares and (iii) the consummation of the other transactions contemplated hereby will have been duly and validly taken. All action required to be taken by Plains AAP, PAA or their respective partners for the authorization, issuance, sale and delivery of AAP Units and PAA Common Units, as contemplated herein, will have been duly and validly taken.</w:t>
      </w:r>
    </w:p>
    <w:p>
      <w:pPr>
        <w:spacing w:after="0" w:line="177" w:lineRule="exact"/>
        <w:rPr>
          <w:rFonts w:ascii="Arial" w:cs="Arial" w:eastAsia="Arial" w:hAnsi="Arial"/>
          <w:sz w:val="17"/>
          <w:szCs w:val="17"/>
          <w:color w:val="auto"/>
        </w:rPr>
      </w:pPr>
    </w:p>
    <w:p>
      <w:pPr>
        <w:ind w:right="340" w:firstLine="1305"/>
        <w:spacing w:after="0" w:line="277"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or on behalf of the Partnership.</w:t>
      </w:r>
    </w:p>
    <w:p>
      <w:pPr>
        <w:spacing w:after="0" w:line="170" w:lineRule="exact"/>
        <w:rPr>
          <w:rFonts w:ascii="Arial" w:cs="Arial" w:eastAsia="Arial" w:hAnsi="Arial"/>
          <w:sz w:val="18"/>
          <w:szCs w:val="18"/>
          <w:color w:val="auto"/>
        </w:rPr>
      </w:pPr>
    </w:p>
    <w:p>
      <w:pPr>
        <w:ind w:right="100" w:firstLine="1305"/>
        <w:spacing w:after="0" w:line="255" w:lineRule="auto"/>
        <w:tabs>
          <w:tab w:leader="none" w:pos="196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Enforceability of the Operating Agreements</w:t>
      </w:r>
      <w:r>
        <w:rPr>
          <w:rFonts w:ascii="Arial" w:cs="Arial" w:eastAsia="Arial" w:hAnsi="Arial"/>
          <w:sz w:val="18"/>
          <w:szCs w:val="18"/>
          <w:color w:val="auto"/>
        </w:rPr>
        <w:t>. The Organizational Documents of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the General Partner, the PAA GP Entities, PAA and the Material Subsidiaries (each a “</w:t>
      </w:r>
      <w:r>
        <w:rPr>
          <w:rFonts w:ascii="Arial" w:cs="Arial" w:eastAsia="Arial" w:hAnsi="Arial"/>
          <w:sz w:val="18"/>
          <w:szCs w:val="18"/>
          <w:b w:val="1"/>
          <w:bCs w:val="1"/>
          <w:u w:val="single" w:color="auto"/>
          <w:color w:val="auto"/>
        </w:rPr>
        <w:t>Partnership Entity</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Partnership</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Entities</w:t>
      </w:r>
      <w:r>
        <w:rPr>
          <w:rFonts w:ascii="Arial" w:cs="Arial" w:eastAsia="Arial" w:hAnsi="Arial"/>
          <w:sz w:val="18"/>
          <w:szCs w:val="18"/>
          <w:color w:val="auto"/>
        </w:rPr>
        <w:t>”) has been duly authorized, executed and delivered by the parties thereto and is a valid and legally binding agreement of such parties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enforceable against the parties thereto in accordance with their respective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9" w:lineRule="exact"/>
        <w:rPr>
          <w:rFonts w:ascii="Arial" w:cs="Arial" w:eastAsia="Arial" w:hAnsi="Arial"/>
          <w:sz w:val="18"/>
          <w:szCs w:val="18"/>
          <w:color w:val="auto"/>
        </w:rPr>
      </w:pPr>
    </w:p>
    <w:p>
      <w:pPr>
        <w:ind w:right="60" w:firstLine="1305"/>
        <w:spacing w:after="0" w:line="257"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Conflicts or Violations</w:t>
      </w:r>
      <w:r>
        <w:rPr>
          <w:rFonts w:ascii="Arial" w:cs="Arial" w:eastAsia="Arial" w:hAnsi="Arial"/>
          <w:sz w:val="18"/>
          <w:szCs w:val="18"/>
          <w:color w:val="auto"/>
        </w:rPr>
        <w:t>. None of (i) the offering, issuance and sale by the Partnership of the Shares, (ii) the execution,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of this Agreement by the Partnership, or (iii) the consummation of the transactions contemplated by this Agreement, including the related sale of AAP Units and PAA Common Units, (A) conflicts or will conflict with or constitutes or will constitute a violation of the Organizational Documents of the Partnership Entities, (B) conflicts or will conflict with or constitutes or will constitute a breach or violation of, a change of control or a default under (or an event that, with notice or lapse of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or both, would constitute such an event), any indenture, mortgage, deed of trust, loan agreement, lease or other agreement or instrument to which the Partnership Entities is a party or by which any of them or any of their respective properties may be bound, (C) violates or will violate any statute, law or regulation or any order, judgment, decree or injunction of any court or governmental agency or body directed to the Partnership Entities or any of their properties in a proceeding to which any of them or their property is a party or (D) results or will result in the creation or imposition of any Lien upon any property or assets of the Partnership Entities, which conflicts, breaches, violations, defaults or Liens, in the case of clauses (B), (C) or (D), would reasonably</w:t>
      </w:r>
    </w:p>
    <w:p>
      <w:pPr>
        <w:sectPr>
          <w:pgSz w:w="11900" w:h="16838" w:orient="portrait"/>
          <w:cols w:equalWidth="0" w:num="1">
            <w:col w:w="11420"/>
          </w:cols>
          <w:pgMar w:left="240" w:top="125" w:right="239" w:bottom="0" w:gutter="0" w:footer="0" w:header="0"/>
        </w:sectPr>
      </w:pPr>
    </w:p>
    <w:bookmarkStart w:id="6" w:name="page7"/>
    <w:bookmarkEnd w:id="6"/>
    <w:p>
      <w:pPr>
        <w:spacing w:after="0" w:line="10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be expected to have a Material Adverse Effect or materially impair the ability of the Partnership, Plains AAP or PAA to consummate the transactions contemplated by this Agreement, including the related sale of the AAP Units and PAA Common Units.</w:t>
      </w:r>
    </w:p>
    <w:p>
      <w:pPr>
        <w:spacing w:after="0" w:line="170" w:lineRule="exact"/>
        <w:rPr>
          <w:sz w:val="20"/>
          <w:szCs w:val="20"/>
          <w:color w:val="auto"/>
        </w:rPr>
      </w:pPr>
    </w:p>
    <w:p>
      <w:pPr>
        <w:ind w:right="40" w:firstLine="1305"/>
        <w:spacing w:after="0" w:line="253" w:lineRule="auto"/>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Consents</w:t>
      </w:r>
      <w:r>
        <w:rPr>
          <w:rFonts w:ascii="Arial" w:cs="Arial" w:eastAsia="Arial" w:hAnsi="Arial"/>
          <w:sz w:val="18"/>
          <w:szCs w:val="18"/>
          <w:color w:val="auto"/>
        </w:rPr>
        <w:t>. No consent, approval, authorization, filing with or order of any court, governmental agency or body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over any of the Plains Entities or any of their respective properties is required in connection with (i) the offering, issuance and sale by the Partnership of the Shares or (ii) the execution, delivery and performance of, or the consummation by the Partnership of the transactions contemplated by this Agreement, including the related sale of AAP Units and PAA Common Units,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in connection with the purchase and distribution by the Underwriters of the Shares in the manner contemplated herein and in the Pricing Disclosure Package and the Prospectus and (C) such that the failure to obtain or make would not reasonably be expected to have a Material Adverse Effect or materially impair the ability of the Partnership, Plains AAP or PAA to consummate the transactions contemplated by this Agreement, including the related sale of the AAP Units and PAA Common Units.</w:t>
      </w:r>
    </w:p>
    <w:p>
      <w:pPr>
        <w:spacing w:after="0" w:line="197" w:lineRule="exact"/>
        <w:rPr>
          <w:rFonts w:ascii="Arial" w:cs="Arial" w:eastAsia="Arial" w:hAnsi="Arial"/>
          <w:sz w:val="18"/>
          <w:szCs w:val="18"/>
          <w:color w:val="auto"/>
        </w:rPr>
      </w:pPr>
    </w:p>
    <w:p>
      <w:pPr>
        <w:ind w:firstLine="1305"/>
        <w:spacing w:after="0" w:line="254"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(i) None of the Partnership Entities is in violation of its Organizational Documents in any material respect; (ii) none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Partnership Entities is in violation of any law, statute, ordinance, administrative or governmental rule or regulation applicable to it or of any decree of any court or governmental agency or body having jurisdiction over it and (iii) none of the Partnership Entities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Plains AAP or PAA to consummate the transactions contemplated by this Agreement, including the related sale of the AAP Units and PAA Common Units.</w:t>
      </w:r>
    </w:p>
    <w:p>
      <w:pPr>
        <w:spacing w:after="0" w:line="192" w:lineRule="exact"/>
        <w:rPr>
          <w:sz w:val="20"/>
          <w:szCs w:val="20"/>
          <w:color w:val="auto"/>
        </w:rPr>
      </w:pPr>
    </w:p>
    <w:p>
      <w:pPr>
        <w:jc w:val="both"/>
        <w:ind w:right="500" w:firstLine="1305"/>
        <w:spacing w:after="0" w:line="259" w:lineRule="auto"/>
        <w:tabs>
          <w:tab w:leader="none" w:pos="1927"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PricewaterhouseCoopers LLP, which has certified the audited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or incorporated by reference in the Registration Statement, the most recent Preliminary Prospectus and the Prospectus (and any amendment or supplement thereto), are an independent registered public accounting firm with respect to the General Partner and the Partnership and its consolidated subsidiaries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by the Securities Act and the Rules and Regulations and the Public Company Accounting Oversight Board.</w:t>
      </w:r>
    </w:p>
    <w:p>
      <w:pPr>
        <w:spacing w:after="0" w:line="225" w:lineRule="exact"/>
        <w:rPr>
          <w:sz w:val="20"/>
          <w:szCs w:val="20"/>
          <w:color w:val="auto"/>
        </w:rPr>
      </w:pPr>
    </w:p>
    <w:p>
      <w:pPr>
        <w:ind w:right="40" w:firstLine="1305"/>
        <w:spacing w:after="0" w:line="269" w:lineRule="auto"/>
        <w:tabs>
          <w:tab w:leader="none" w:pos="194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At December 31, 2016, the Partnership had, on an as adjusted basis as indicated in the Prospectus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Partnership are required by the Securities Act or the Exchange Act to be included in the Registration Statement, the most recent Preliminary Prospectus or the Prospectus.</w:t>
      </w:r>
    </w:p>
    <w:p>
      <w:pPr>
        <w:spacing w:after="0" w:line="182" w:lineRule="exact"/>
        <w:rPr>
          <w:rFonts w:ascii="Arial" w:cs="Arial" w:eastAsia="Arial" w:hAnsi="Arial"/>
          <w:sz w:val="17"/>
          <w:szCs w:val="17"/>
          <w:color w:val="auto"/>
        </w:rPr>
      </w:pPr>
    </w:p>
    <w:p>
      <w:pPr>
        <w:ind w:firstLine="1305"/>
        <w:spacing w:after="0" w:line="286" w:lineRule="auto"/>
        <w:tabs>
          <w:tab w:leader="none" w:pos="1954"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None of the Plains Entities has sustained, since the date of the latest audited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Partnership Entity to its members or other equity owners in the ordinary course of business, declared, paid or made on the security interests of any of the Plains Entities, in each case other than as set forth in the Registration Statement, the Pricing Disclosure Package and the Prospectus.</w:t>
      </w:r>
    </w:p>
    <w:p>
      <w:pPr>
        <w:spacing w:after="0" w:line="174" w:lineRule="exact"/>
        <w:rPr>
          <w:rFonts w:ascii="Arial" w:cs="Arial" w:eastAsia="Arial" w:hAnsi="Arial"/>
          <w:sz w:val="16"/>
          <w:szCs w:val="16"/>
          <w:color w:val="auto"/>
        </w:rPr>
      </w:pPr>
    </w:p>
    <w:p>
      <w:pPr>
        <w:ind w:right="380" w:firstLine="1305"/>
        <w:spacing w:after="0" w:line="264" w:lineRule="auto"/>
        <w:tabs>
          <w:tab w:leader="none" w:pos="19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Required Disclosures and Descriptions</w:t>
      </w:r>
      <w:r>
        <w:rPr>
          <w:rFonts w:ascii="Arial" w:cs="Arial" w:eastAsia="Arial" w:hAnsi="Arial"/>
          <w:sz w:val="18"/>
          <w:szCs w:val="18"/>
          <w:color w:val="auto"/>
        </w:rPr>
        <w:t>. There are no legal or governmental proceedings pending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threatened, against any of the Plains Entities, or to which any of the Plains Entities is a party, or to which any of their respective properties is subject, that are required to be described in the Registration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66" w:lineRule="exact"/>
        <w:rPr>
          <w:sz w:val="20"/>
          <w:szCs w:val="20"/>
          <w:color w:val="auto"/>
        </w:rPr>
      </w:pPr>
    </w:p>
    <w:p>
      <w:pPr>
        <w:ind w:right="80" w:firstLine="1305"/>
        <w:spacing w:after="0" w:line="297" w:lineRule="auto"/>
        <w:tabs>
          <w:tab w:leader="none" w:pos="1954"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PAA Entities, directly or indirectly, have good and indefeasible title to all real property and good title to</w:t>
      </w:r>
      <w:r>
        <w:rPr>
          <w:rFonts w:ascii="Arial" w:cs="Arial" w:eastAsia="Arial" w:hAnsi="Arial"/>
          <w:sz w:val="16"/>
          <w:szCs w:val="16"/>
          <w:i w:val="1"/>
          <w:iCs w:val="1"/>
          <w:color w:val="auto"/>
        </w:rPr>
        <w:t xml:space="preserve"> </w:t>
      </w:r>
      <w:r>
        <w:rPr>
          <w:rFonts w:ascii="Arial" w:cs="Arial" w:eastAsia="Arial" w:hAnsi="Arial"/>
          <w:sz w:val="16"/>
          <w:szCs w:val="16"/>
          <w:color w:val="auto"/>
        </w:rPr>
        <w:t>all personal property described in the Pricing Disclosure Package and the Prospectus as being owned by them, free and clear of all Liens except (i) as provided in the Third Amended and Restated Credit Agreement dated August 19, 2011, as amended (the “</w:t>
      </w:r>
      <w:r>
        <w:rPr>
          <w:rFonts w:ascii="Arial" w:cs="Arial" w:eastAsia="Arial" w:hAnsi="Arial"/>
          <w:sz w:val="16"/>
          <w:szCs w:val="16"/>
          <w:b w:val="1"/>
          <w:bCs w:val="1"/>
          <w:u w:val="single" w:color="auto"/>
          <w:color w:val="auto"/>
        </w:rPr>
        <w:t>Hedged Inventory Facility</w:t>
      </w:r>
      <w:r>
        <w:rPr>
          <w:rFonts w:ascii="Arial" w:cs="Arial" w:eastAsia="Arial" w:hAnsi="Arial"/>
          <w:sz w:val="16"/>
          <w:szCs w:val="16"/>
          <w:color w:val="auto"/>
        </w:rPr>
        <w:t>”), among Plains Marketing, L.P. (“</w:t>
      </w:r>
      <w:r>
        <w:rPr>
          <w:rFonts w:ascii="Arial" w:cs="Arial" w:eastAsia="Arial" w:hAnsi="Arial"/>
          <w:sz w:val="16"/>
          <w:szCs w:val="16"/>
          <w:b w:val="1"/>
          <w:bCs w:val="1"/>
          <w:u w:val="single" w:color="auto"/>
          <w:color w:val="auto"/>
        </w:rPr>
        <w:t>Plains Marketing</w:t>
      </w:r>
      <w:r>
        <w:rPr>
          <w:rFonts w:ascii="Arial" w:cs="Arial" w:eastAsia="Arial" w:hAnsi="Arial"/>
          <w:sz w:val="16"/>
          <w:szCs w:val="16"/>
          <w:color w:val="auto"/>
        </w:rPr>
        <w:t>”), Bank of America, N.A., as administrative agent thereunder, and the lenders from time to time party thereto, described in the Pricing Disclosure Package and the Prospectus and (ii) such as would not reasonably be expected to have, individually or in the aggregate, a Material</w:t>
      </w:r>
    </w:p>
    <w:p>
      <w:pPr>
        <w:sectPr>
          <w:pgSz w:w="11900" w:h="16941" w:orient="portrait"/>
          <w:cols w:equalWidth="0" w:num="1">
            <w:col w:w="11420"/>
          </w:cols>
          <w:pgMar w:left="240" w:top="125" w:right="239" w:bottom="0" w:gutter="0" w:footer="0" w:header="0"/>
        </w:sectPr>
      </w:pPr>
    </w:p>
    <w:bookmarkStart w:id="7" w:name="page8"/>
    <w:bookmarkEnd w:id="7"/>
    <w:p>
      <w:pPr>
        <w:spacing w:after="0" w:line="9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181" w:lineRule="exact"/>
        <w:rPr>
          <w:sz w:val="20"/>
          <w:szCs w:val="20"/>
          <w:color w:val="auto"/>
        </w:rPr>
      </w:pPr>
    </w:p>
    <w:p>
      <w:pPr>
        <w:ind w:right="220" w:firstLine="1305"/>
        <w:spacing w:after="0" w:line="291" w:lineRule="auto"/>
        <w:tabs>
          <w:tab w:leader="none" w:pos="193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Plains Entities, directly or indirectly, has such permits, consents, licenses, franchises, certificates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of governmental or regulatory authorities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67" w:lineRule="exact"/>
        <w:rPr>
          <w:rFonts w:ascii="Arial" w:cs="Arial" w:eastAsia="Arial" w:hAnsi="Arial"/>
          <w:sz w:val="16"/>
          <w:szCs w:val="16"/>
          <w:color w:val="auto"/>
        </w:rPr>
      </w:pPr>
    </w:p>
    <w:p>
      <w:pPr>
        <w:ind w:right="40" w:firstLine="1305"/>
        <w:spacing w:after="0" w:line="290" w:lineRule="auto"/>
        <w:tabs>
          <w:tab w:leader="none" w:pos="197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Rights-of-Way</w:t>
      </w:r>
      <w:r>
        <w:rPr>
          <w:rFonts w:ascii="Arial" w:cs="Arial" w:eastAsia="Arial" w:hAnsi="Arial"/>
          <w:sz w:val="16"/>
          <w:szCs w:val="16"/>
          <w:color w:val="auto"/>
        </w:rPr>
        <w:t>. Each of the Plains Entities, directly or indirectly, has such consents, easements, rights-of-way or licenses from any</w:t>
      </w:r>
      <w:r>
        <w:rPr>
          <w:rFonts w:ascii="Arial" w:cs="Arial" w:eastAsia="Arial" w:hAnsi="Arial"/>
          <w:sz w:val="16"/>
          <w:szCs w:val="16"/>
          <w:i w:val="1"/>
          <w:iCs w:val="1"/>
          <w:color w:val="auto"/>
        </w:rPr>
        <w:t xml:space="preserve"> </w:t>
      </w:r>
      <w:r>
        <w:rPr>
          <w:rFonts w:ascii="Arial" w:cs="Arial" w:eastAsia="Arial" w:hAnsi="Arial"/>
          <w:sz w:val="16"/>
          <w:szCs w:val="16"/>
          <w:color w:val="auto"/>
        </w:rPr>
        <w:t>person (“</w:t>
      </w:r>
      <w:r>
        <w:rPr>
          <w:rFonts w:ascii="Arial" w:cs="Arial" w:eastAsia="Arial" w:hAnsi="Arial"/>
          <w:sz w:val="16"/>
          <w:szCs w:val="16"/>
          <w:b w:val="1"/>
          <w:bCs w:val="1"/>
          <w:u w:val="single" w:color="auto"/>
          <w:color w:val="auto"/>
        </w:rPr>
        <w:t>rights-of-way</w:t>
      </w:r>
      <w:r>
        <w:rPr>
          <w:rFonts w:ascii="Arial" w:cs="Arial" w:eastAsia="Arial" w:hAnsi="Arial"/>
          <w:sz w:val="16"/>
          <w:szCs w:val="16"/>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5" w:lineRule="auto"/>
        <w:tabs>
          <w:tab w:leader="none" w:pos="19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None of the Plains Entities is now, and after sale of the Shares to be sold by the Partnership hereunder, or</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sale of the AAP Units and the PAA Common Units,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89" w:lineRule="exact"/>
        <w:rPr>
          <w:rFonts w:ascii="Arial" w:cs="Arial" w:eastAsia="Arial" w:hAnsi="Arial"/>
          <w:sz w:val="18"/>
          <w:szCs w:val="18"/>
          <w:color w:val="auto"/>
        </w:rPr>
      </w:pPr>
    </w:p>
    <w:p>
      <w:pPr>
        <w:ind w:firstLine="1305"/>
        <w:spacing w:after="0" w:line="273" w:lineRule="auto"/>
        <w:tabs>
          <w:tab w:leader="none" w:pos="197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Pricing Disclosure Package and the Prospectus, none of the Plains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178" w:lineRule="exact"/>
        <w:rPr>
          <w:rFonts w:ascii="Arial" w:cs="Arial" w:eastAsia="Arial" w:hAnsi="Arial"/>
          <w:sz w:val="17"/>
          <w:szCs w:val="17"/>
          <w:color w:val="auto"/>
        </w:rPr>
      </w:pPr>
    </w:p>
    <w:p>
      <w:pPr>
        <w:ind w:right="840" w:firstLine="1305"/>
        <w:spacing w:after="0" w:line="277" w:lineRule="auto"/>
        <w:tabs>
          <w:tab w:leader="none" w:pos="194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is imminent, that would reasonably be expected to have a Material Adverse Effect.</w:t>
      </w:r>
    </w:p>
    <w:p>
      <w:pPr>
        <w:spacing w:after="0" w:line="170" w:lineRule="exact"/>
        <w:rPr>
          <w:rFonts w:ascii="Arial" w:cs="Arial" w:eastAsia="Arial" w:hAnsi="Arial"/>
          <w:sz w:val="18"/>
          <w:szCs w:val="18"/>
          <w:color w:val="auto"/>
        </w:rPr>
      </w:pPr>
    </w:p>
    <w:p>
      <w:pPr>
        <w:ind w:right="200" w:firstLine="1305"/>
        <w:spacing w:after="0" w:line="302" w:lineRule="auto"/>
        <w:tabs>
          <w:tab w:leader="none" w:pos="194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 except for such insurance for which the failure to be outstanding and duly in force would not reasonably be expected to have a Material Adverse Effect.</w:t>
      </w:r>
    </w:p>
    <w:p>
      <w:pPr>
        <w:spacing w:after="0" w:line="154" w:lineRule="exact"/>
        <w:rPr>
          <w:rFonts w:ascii="Arial" w:cs="Arial" w:eastAsia="Arial" w:hAnsi="Arial"/>
          <w:sz w:val="16"/>
          <w:szCs w:val="16"/>
          <w:color w:val="auto"/>
        </w:rPr>
      </w:pPr>
    </w:p>
    <w:p>
      <w:pPr>
        <w:ind w:right="20" w:firstLine="1305"/>
        <w:spacing w:after="0" w:line="273" w:lineRule="auto"/>
        <w:tabs>
          <w:tab w:leader="none" w:pos="197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No Legal Actions</w:t>
      </w:r>
      <w:r>
        <w:rPr>
          <w:rFonts w:ascii="Arial" w:cs="Arial" w:eastAsia="Arial" w:hAnsi="Arial"/>
          <w:sz w:val="17"/>
          <w:szCs w:val="17"/>
          <w:color w:val="auto"/>
        </w:rPr>
        <w:t>. Except as described in the Pricing Disclosure Package and the Prospectus, there is (i) no action, suit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before or by any court, arbitrator or governmental agency, body or official, domestic or foreign, now pending or, to the knowledge of the Partnership, threatened, to which any of the Plains Entities is or may be a party or to which the business or property of any of the Plains Entities is or may be subject, and (ii) no injunction, restraining order or order of any nature issued by a federal or state court or foreign court of competent jurisdiction to which any of the Plains Entities is or may be subject, that, in the case of clauses (i) and (ii) above, would reasonably be expected to have, individually or in the aggregate, a Material Adverse Effect or prevent or result in the suspension of the offering and issuance of the Shares.</w:t>
      </w:r>
    </w:p>
    <w:p>
      <w:pPr>
        <w:spacing w:after="0" w:line="178" w:lineRule="exact"/>
        <w:rPr>
          <w:rFonts w:ascii="Arial" w:cs="Arial" w:eastAsia="Arial" w:hAnsi="Arial"/>
          <w:sz w:val="17"/>
          <w:szCs w:val="17"/>
          <w:color w:val="auto"/>
        </w:rPr>
      </w:pPr>
    </w:p>
    <w:p>
      <w:pPr>
        <w:ind w:right="300" w:firstLine="1305"/>
        <w:spacing w:after="0" w:line="277" w:lineRule="auto"/>
        <w:tabs>
          <w:tab w:leader="none" w:pos="19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Distribution Restrictions</w:t>
      </w:r>
      <w:r>
        <w:rPr>
          <w:rFonts w:ascii="Arial" w:cs="Arial" w:eastAsia="Arial" w:hAnsi="Arial"/>
          <w:sz w:val="18"/>
          <w:szCs w:val="18"/>
          <w:color w:val="auto"/>
        </w:rPr>
        <w:t>. None of PAA, Plains AAP or any PAA Subsidiary is currently prohibited, directly or indirectly, from</w:t>
      </w:r>
      <w:r>
        <w:rPr>
          <w:rFonts w:ascii="Arial" w:cs="Arial" w:eastAsia="Arial" w:hAnsi="Arial"/>
          <w:sz w:val="18"/>
          <w:szCs w:val="18"/>
          <w:i w:val="1"/>
          <w:iCs w:val="1"/>
          <w:color w:val="auto"/>
        </w:rPr>
        <w:t xml:space="preserve"> </w:t>
      </w:r>
      <w:r>
        <w:rPr>
          <w:rFonts w:ascii="Arial" w:cs="Arial" w:eastAsia="Arial" w:hAnsi="Arial"/>
          <w:sz w:val="18"/>
          <w:szCs w:val="18"/>
          <w:color w:val="auto"/>
        </w:rPr>
        <w:t>making any distributions to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Plains Entity, from making any other distribution on such entity’s equity interests, from repaying to any Plains Entity any loans or advances to such entity from a Plains Entity or from transferring any of such entity’s property or assets to a Plains Entity, except (i) as described in or contemplated by the Pricing Disclosure Package and the Prospectus (exclusive of any amendment or supplement thereto), (ii) such prohibitions mandated by the laws of each such entity’s state of formation and the terms of any such Subsidiary’s Organizational Documents and (iii) where such prohibition would not reasonably be expected to have a Material Adverse Effect.</w:t>
      </w:r>
    </w:p>
    <w:p>
      <w:pPr>
        <w:spacing w:after="0" w:line="188" w:lineRule="exact"/>
        <w:rPr>
          <w:sz w:val="20"/>
          <w:szCs w:val="20"/>
          <w:color w:val="auto"/>
        </w:rPr>
      </w:pPr>
    </w:p>
    <w:p>
      <w:pPr>
        <w:ind w:right="20" w:firstLine="1305"/>
        <w:spacing w:after="0" w:line="257" w:lineRule="auto"/>
        <w:tabs>
          <w:tab w:leader="none" w:pos="194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has distributed and, prior to the later to occur of (i)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Delivery Date and (ii) completion of the distribution of the Firm Shares or Option Shares, as the case may be, will not distribute, any prospectus (as defined under the Securities Act) in connection with the offering and sale of the Shares other than any Preliminary Prospectus, the Prospectus, any Issuer Free Writing Prospectus, subject to the conditions in </w:t>
      </w:r>
      <w:r>
        <w:rPr>
          <w:rFonts w:ascii="Arial" w:cs="Arial" w:eastAsia="Arial" w:hAnsi="Arial"/>
          <w:sz w:val="18"/>
          <w:szCs w:val="18"/>
          <w:u w:val="single" w:color="auto"/>
          <w:color w:val="auto"/>
        </w:rPr>
        <w:t>Section 1(h)</w:t>
      </w:r>
      <w:r>
        <w:rPr>
          <w:rFonts w:ascii="Arial" w:cs="Arial" w:eastAsia="Arial" w:hAnsi="Arial"/>
          <w:sz w:val="18"/>
          <w:szCs w:val="18"/>
          <w:color w:val="auto"/>
        </w:rPr>
        <w:t xml:space="preserve"> of this Agreement, or other materials, if any, permitted by the Securities Act, including Rule 134 of the Rules and Regulations.</w:t>
      </w:r>
    </w:p>
    <w:p>
      <w:pPr>
        <w:spacing w:after="0" w:line="184" w:lineRule="exact"/>
        <w:rPr>
          <w:rFonts w:ascii="Arial" w:cs="Arial" w:eastAsia="Arial" w:hAnsi="Arial"/>
          <w:sz w:val="18"/>
          <w:szCs w:val="18"/>
          <w:color w:val="auto"/>
        </w:rPr>
      </w:pPr>
    </w:p>
    <w:p>
      <w:pPr>
        <w:ind w:right="200" w:firstLine="1305"/>
        <w:spacing w:after="0" w:line="282" w:lineRule="auto"/>
        <w:tabs>
          <w:tab w:leader="none" w:pos="194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NYSE Listing of Class A Shares</w:t>
      </w:r>
      <w:r>
        <w:rPr>
          <w:rFonts w:ascii="Arial" w:cs="Arial" w:eastAsia="Arial" w:hAnsi="Arial"/>
          <w:sz w:val="18"/>
          <w:szCs w:val="18"/>
          <w:color w:val="auto"/>
        </w:rPr>
        <w:t>. The Class A Shares are listed on the New York Stock Exchange (the “</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and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Delivery Date, the Shares will be approved for listing on the NYSE subject only to official notice of issuance.</w:t>
      </w:r>
    </w:p>
    <w:p>
      <w:pPr>
        <w:sectPr>
          <w:pgSz w:w="11900" w:h="16933" w:orient="portrait"/>
          <w:cols w:equalWidth="0" w:num="1">
            <w:col w:w="11420"/>
          </w:cols>
          <w:pgMar w:left="240" w:top="125" w:right="239" w:bottom="0" w:gutter="0" w:footer="0" w:header="0"/>
        </w:sectPr>
      </w:pPr>
    </w:p>
    <w:bookmarkStart w:id="8" w:name="page9"/>
    <w:bookmarkEnd w:id="8"/>
    <w:p>
      <w:pPr>
        <w:ind w:right="20" w:firstLine="1305"/>
        <w:spacing w:after="0" w:line="288" w:lineRule="auto"/>
        <w:tabs>
          <w:tab w:leader="none" w:pos="1948"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w:t>
      </w:r>
    </w:p>
    <w:p>
      <w:pPr>
        <w:ind w:right="300" w:firstLine="8"/>
        <w:spacing w:after="0" w:line="290" w:lineRule="auto"/>
        <w:tabs>
          <w:tab w:leader="none" w:pos="3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1" w:lineRule="exact"/>
        <w:rPr>
          <w:rFonts w:ascii="Arial" w:cs="Arial" w:eastAsia="Arial" w:hAnsi="Arial"/>
          <w:sz w:val="17"/>
          <w:szCs w:val="17"/>
          <w:color w:val="auto"/>
        </w:rPr>
      </w:pPr>
    </w:p>
    <w:p>
      <w:pPr>
        <w:ind w:right="60" w:firstLine="1305"/>
        <w:spacing w:after="0" w:line="264" w:lineRule="auto"/>
        <w:tabs>
          <w:tab w:leader="none" w:pos="1948"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of the General Partner and officers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General Partner and GP LLC in their capacities as such, 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jc w:val="both"/>
        <w:ind w:right="40" w:firstLine="1305"/>
        <w:spacing w:after="0" w:line="293" w:lineRule="auto"/>
        <w:tabs>
          <w:tab w:leader="none" w:pos="196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Partnership maintains disclosure controls and procedures (to the extent required by and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 General Partner and GP LLC, as applicable,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305"/>
        <w:spacing w:after="0" w:line="276" w:lineRule="auto"/>
        <w:tabs>
          <w:tab w:leader="none" w:pos="1962"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No Deficiency in Internal Controls</w:t>
      </w:r>
      <w:r>
        <w:rPr>
          <w:rFonts w:ascii="Arial" w:cs="Arial" w:eastAsia="Arial" w:hAnsi="Arial"/>
          <w:sz w:val="17"/>
          <w:szCs w:val="17"/>
          <w:color w:val="auto"/>
        </w:rPr>
        <w:t>. Based on the evaluation of its disclosure controls and procedures conducted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72" w:lineRule="exact"/>
        <w:rPr>
          <w:rFonts w:ascii="Arial" w:cs="Arial" w:eastAsia="Arial" w:hAnsi="Arial"/>
          <w:sz w:val="17"/>
          <w:szCs w:val="17"/>
          <w:color w:val="auto"/>
        </w:rPr>
      </w:pPr>
    </w:p>
    <w:p>
      <w:pPr>
        <w:jc w:val="both"/>
        <w:ind w:right="140" w:firstLine="1305"/>
        <w:spacing w:after="0" w:line="286" w:lineRule="auto"/>
        <w:tabs>
          <w:tab w:leader="none" w:pos="1949"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FCPA</w:t>
      </w:r>
      <w:r>
        <w:rPr>
          <w:rFonts w:ascii="Arial" w:cs="Arial" w:eastAsia="Arial" w:hAnsi="Arial"/>
          <w:sz w:val="17"/>
          <w:szCs w:val="17"/>
          <w:color w:val="auto"/>
        </w:rPr>
        <w:t>. None of the Plains Entities nor, to the knowledge of the Partnership, any director, officer, agent or employee of the Plains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65" w:lineRule="exact"/>
        <w:rPr>
          <w:rFonts w:ascii="Arial" w:cs="Arial" w:eastAsia="Arial" w:hAnsi="Arial"/>
          <w:sz w:val="17"/>
          <w:szCs w:val="17"/>
          <w:color w:val="auto"/>
        </w:rPr>
      </w:pPr>
    </w:p>
    <w:p>
      <w:pPr>
        <w:ind w:right="160" w:firstLine="1305"/>
        <w:spacing w:after="0" w:line="308" w:lineRule="auto"/>
        <w:tabs>
          <w:tab w:leader="none" w:pos="194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Money Laundering Laws</w:t>
      </w:r>
      <w:r>
        <w:rPr>
          <w:rFonts w:ascii="Arial" w:cs="Arial" w:eastAsia="Arial" w:hAnsi="Arial"/>
          <w:sz w:val="17"/>
          <w:szCs w:val="17"/>
          <w:color w:val="auto"/>
        </w:rPr>
        <w:t>. No action, suit or proceeding by or before any court or governmental agency, authority or body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arbitrator involving the Plains Entities that involve allegations of money laundering is pending or, to the knowledge of the Partnership, threatened.</w:t>
      </w:r>
    </w:p>
    <w:p>
      <w:pPr>
        <w:spacing w:after="0" w:line="146" w:lineRule="exact"/>
        <w:rPr>
          <w:rFonts w:ascii="Arial" w:cs="Arial" w:eastAsia="Arial" w:hAnsi="Arial"/>
          <w:sz w:val="17"/>
          <w:szCs w:val="17"/>
          <w:color w:val="auto"/>
        </w:rPr>
      </w:pPr>
    </w:p>
    <w:p>
      <w:pPr>
        <w:ind w:firstLine="1305"/>
        <w:spacing w:after="0" w:line="264" w:lineRule="auto"/>
        <w:tabs>
          <w:tab w:leader="none" w:pos="19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nor, to the knowledge of the Partnership, any director, officer or employee of the Plains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capacity as director, officer or employee) has received notice that it is subject to any sanctions administered by the Office of Foreign Assets Control of the U.S. Treasury Department.</w:t>
      </w:r>
    </w:p>
    <w:p>
      <w:pPr>
        <w:spacing w:after="0" w:line="181" w:lineRule="exact"/>
        <w:rPr>
          <w:rFonts w:ascii="Arial" w:cs="Arial" w:eastAsia="Arial" w:hAnsi="Arial"/>
          <w:sz w:val="18"/>
          <w:szCs w:val="18"/>
          <w:color w:val="auto"/>
        </w:rPr>
      </w:pPr>
    </w:p>
    <w:p>
      <w:pPr>
        <w:ind w:right="80" w:firstLine="1305"/>
        <w:spacing w:after="0" w:line="264" w:lineRule="auto"/>
        <w:tabs>
          <w:tab w:leader="none" w:pos="197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The applicable statements made in the certificates described in </w:t>
      </w:r>
      <w:r>
        <w:rPr>
          <w:rFonts w:ascii="Arial" w:cs="Arial" w:eastAsia="Arial" w:hAnsi="Arial"/>
          <w:sz w:val="18"/>
          <w:szCs w:val="18"/>
          <w:u w:val="single" w:color="auto"/>
          <w:color w:val="auto"/>
        </w:rPr>
        <w:t>Sections 7(i)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7(l)</w:t>
      </w:r>
      <w:r>
        <w:rPr>
          <w:rFonts w:ascii="Arial" w:cs="Arial" w:eastAsia="Arial" w:hAnsi="Arial"/>
          <w:sz w:val="18"/>
          <w:szCs w:val="18"/>
          <w:color w:val="auto"/>
        </w:rPr>
        <w:t xml:space="preserve"> shall be deemed representations and warranties by the Partnership, as to matters covered thereby, to the Underwriters.</w:t>
      </w:r>
    </w:p>
    <w:p>
      <w:pPr>
        <w:spacing w:after="0" w:line="170"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312" w:lineRule="auto"/>
        <w:tabs>
          <w:tab w:leader="none" w:pos="19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and in reliance upon the representations and warranties herein set forth, the Partnership agrees to sell to each Underwriter, and each Underwriter agrees, severally and not jointly, to purchase from the Partnership, at a purchase price of $30.536 per Share, the number of Firm Shares set forth opposite such Underwriter’s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subject to adjustment as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46" w:lineRule="exact"/>
        <w:rPr>
          <w:rFonts w:ascii="Arial" w:cs="Arial" w:eastAsia="Arial" w:hAnsi="Arial"/>
          <w:sz w:val="16"/>
          <w:szCs w:val="16"/>
          <w:color w:val="auto"/>
        </w:rPr>
      </w:pPr>
    </w:p>
    <w:p>
      <w:pPr>
        <w:ind w:right="60" w:firstLine="1305"/>
        <w:spacing w:after="0" w:line="279" w:lineRule="auto"/>
        <w:tabs>
          <w:tab w:leader="none" w:pos="19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and in reliance upon the representations and warranties herein set forth, the Partnership hereby grants an option to the several Underwriters to purchase, severally and not jointly, up to 6,300,000 Option Shares at the same purchase price per Share as the Underwriters shall pay for the Firm Shares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Said option may be exercised in whole or in part at any time and from time to time on or before the 30th day after the date of the Prospectus upon written or telegraphic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by the Representative to the Partnership setting forth the number of Option Shares as to which the several Underwriters are exercising the option and the settlement date. The number of Option Shares to be purchased by each Underwriter shall be the same percentage of the total number of Option Shares to be purchased by the several Underwriters and such Underwriter is purchasing of the Firm Shares, subject to (i) such adjustments as the Representative in its absolute discretion shall make to eliminate any fractional shares and (ii) adjustment as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w:t>
      </w:r>
    </w:p>
    <w:p>
      <w:pPr>
        <w:spacing w:after="0" w:line="171" w:lineRule="exact"/>
        <w:rPr>
          <w:sz w:val="20"/>
          <w:szCs w:val="20"/>
          <w:color w:val="auto"/>
        </w:rPr>
      </w:pPr>
    </w:p>
    <w:p>
      <w:pPr>
        <w:ind w:right="60" w:firstLine="1305"/>
        <w:spacing w:after="0" w:line="253" w:lineRule="auto"/>
        <w:tabs>
          <w:tab w:leader="none" w:pos="194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xml:space="preserve">. Delivery of and payment for the Firm Shares and the Option Shares (if the option provided for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shall have been exercised on or before the third business day prior to the Initial Delivery Date) shall be made at the office of Vinson &amp; Elkins L.L.P., 1001 Fannin, Houston, Texas 77002 at 9:00 a.m., Houston time, on March 1, 2017, or at such time on such later date not more than three business days after the foregoing date as the Representative shall designate, which date and time may be postponed by agreement between the Representative and the Partnership or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(such date and time of delivery and payment for the Shares being herein called the “</w:t>
      </w:r>
      <w:r>
        <w:rPr>
          <w:rFonts w:ascii="Arial" w:cs="Arial" w:eastAsia="Arial" w:hAnsi="Arial"/>
          <w:sz w:val="18"/>
          <w:szCs w:val="18"/>
          <w:b w:val="1"/>
          <w:bCs w:val="1"/>
          <w:u w:val="single" w:color="auto"/>
          <w:color w:val="auto"/>
        </w:rPr>
        <w:t>Initial Delivery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 Delivery of the Shares shall be made to the several Underwriters for the respective accounts of the Underwriters against payment by the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of the purchase price thereof to or upon the order of the Partnership by wire transfer payable in same-day funds to an account specified by the Partnership. Delivery of the Firm Shares and the Option Shares shall be made through the facilities of The Depository Trust Company unless the Representative shall otherwise instruct.</w:t>
      </w:r>
    </w:p>
    <w:p>
      <w:pPr>
        <w:sectPr>
          <w:pgSz w:w="11900" w:h="16838" w:orient="portrait"/>
          <w:cols w:equalWidth="0" w:num="1">
            <w:col w:w="11400"/>
          </w:cols>
          <w:pgMar w:left="240" w:top="341" w:right="259" w:bottom="0" w:gutter="0" w:footer="0" w:header="0"/>
        </w:sectPr>
      </w:pPr>
    </w:p>
    <w:bookmarkStart w:id="9" w:name="page10"/>
    <w:bookmarkEnd w:id="9"/>
    <w:p>
      <w:pPr>
        <w:spacing w:after="0" w:line="85" w:lineRule="exact"/>
        <w:rPr>
          <w:sz w:val="20"/>
          <w:szCs w:val="20"/>
          <w:color w:val="auto"/>
        </w:rPr>
      </w:pPr>
    </w:p>
    <w:p>
      <w:pPr>
        <w:ind w:right="240" w:firstLine="1297"/>
        <w:spacing w:after="0" w:line="253" w:lineRule="auto"/>
        <w:rPr>
          <w:sz w:val="20"/>
          <w:szCs w:val="20"/>
          <w:color w:val="auto"/>
        </w:rPr>
      </w:pPr>
      <w:r>
        <w:rPr>
          <w:rFonts w:ascii="Arial" w:cs="Arial" w:eastAsia="Arial" w:hAnsi="Arial"/>
          <w:sz w:val="18"/>
          <w:szCs w:val="18"/>
          <w:color w:val="auto"/>
        </w:rPr>
        <w:t xml:space="preserve">If the option provided for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is exercised after the third business day prior to the Initial Delivery Date, the Partnership will deliver the Option Shares (at the expense of the Partnership) to the Representative on the date (an “</w:t>
      </w:r>
      <w:r>
        <w:rPr>
          <w:rFonts w:ascii="Arial" w:cs="Arial" w:eastAsia="Arial" w:hAnsi="Arial"/>
          <w:sz w:val="18"/>
          <w:szCs w:val="18"/>
          <w:b w:val="1"/>
          <w:bCs w:val="1"/>
          <w:u w:val="single" w:color="auto"/>
          <w:color w:val="auto"/>
        </w:rPr>
        <w:t>Option Shares Delivery Date</w:t>
      </w:r>
      <w:r>
        <w:rPr>
          <w:rFonts w:ascii="Arial" w:cs="Arial" w:eastAsia="Arial" w:hAnsi="Arial"/>
          <w:sz w:val="18"/>
          <w:szCs w:val="18"/>
          <w:color w:val="auto"/>
        </w:rPr>
        <w:t xml:space="preserve">”) specified by the several Underwriters (which shall be within three business days after each exercise of said option), for the respective accounts of the several Underwriters, against payment by the Underwriters of the purchase price thereof to or upon the order of the Partnership by wire transfer payable in same-day funds to an account specified by the Partnership. If settlement for the Option Shares occurs after the Initial Delivery Date, the Partnership will deliver to the Underwriters on the Option Shares Delivery Date for the Option Shares, and the obligation of the Underwriters to purchase the Option Shares shall be conditioned upon receipt of, supplemental opinions, certificates and letters confirming as of such date the opinions, certificates and letters delivered on the Initial Delivery Date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The Initial Delivery Date and any Option Shares Delivery Date are each sometimes referred to as a “</w:t>
      </w:r>
      <w:r>
        <w:rPr>
          <w:rFonts w:ascii="Arial" w:cs="Arial" w:eastAsia="Arial" w:hAnsi="Arial"/>
          <w:sz w:val="18"/>
          <w:szCs w:val="18"/>
          <w:b w:val="1"/>
          <w:bCs w:val="1"/>
          <w:u w:val="single" w:color="auto"/>
          <w:color w:val="auto"/>
        </w:rPr>
        <w:t>Delivery Date</w:t>
      </w:r>
      <w:r>
        <w:rPr>
          <w:rFonts w:ascii="Arial" w:cs="Arial" w:eastAsia="Arial" w:hAnsi="Arial"/>
          <w:sz w:val="18"/>
          <w:szCs w:val="18"/>
          <w:color w:val="auto"/>
        </w:rPr>
        <w:t>.”</w:t>
      </w:r>
    </w:p>
    <w:p>
      <w:pPr>
        <w:spacing w:after="0" w:line="197"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Offering by the Underwriters</w:t>
      </w:r>
      <w:r>
        <w:rPr>
          <w:rFonts w:ascii="Arial" w:cs="Arial" w:eastAsia="Arial" w:hAnsi="Arial"/>
          <w:sz w:val="16"/>
          <w:szCs w:val="16"/>
          <w:color w:val="auto"/>
        </w:rPr>
        <w:t>. It is understood that the several Underwriters propose to offer the Shares for sale to the public as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the Prospectus.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acknowledges and agrees with the Underwriters that:</w:t>
      </w:r>
    </w:p>
    <w:p>
      <w:pPr>
        <w:spacing w:after="0" w:line="225" w:lineRule="exact"/>
        <w:rPr>
          <w:sz w:val="20"/>
          <w:szCs w:val="20"/>
          <w:color w:val="auto"/>
        </w:rPr>
      </w:pPr>
    </w:p>
    <w:p>
      <w:pPr>
        <w:ind w:right="100" w:firstLine="1305"/>
        <w:spacing w:after="0" w:line="264" w:lineRule="auto"/>
        <w:tabs>
          <w:tab w:leader="none" w:pos="194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declared effective before the offering of the Shares may commence, the Partnership will endeavor to cause such post-effective amendment to become effective as soon as possible and will advise the Representative promptly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if requested by the Representative, will confirm such advice in writing when such post-effective amendment has become effective.</w:t>
      </w:r>
    </w:p>
    <w:p>
      <w:pPr>
        <w:spacing w:after="0" w:line="225" w:lineRule="exact"/>
        <w:rPr>
          <w:sz w:val="20"/>
          <w:szCs w:val="20"/>
          <w:color w:val="auto"/>
        </w:rPr>
      </w:pPr>
    </w:p>
    <w:p>
      <w:pPr>
        <w:ind w:firstLine="1305"/>
        <w:spacing w:after="0" w:line="286" w:lineRule="auto"/>
        <w:tabs>
          <w:tab w:leader="none" w:pos="195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Preparation of Prospectus and Registration Statement</w:t>
      </w:r>
      <w:r>
        <w:rPr>
          <w:rFonts w:ascii="Arial" w:cs="Arial" w:eastAsia="Arial" w:hAnsi="Arial"/>
          <w:sz w:val="16"/>
          <w:szCs w:val="16"/>
          <w:color w:val="auto"/>
        </w:rPr>
        <w:t>. The Partnership will advise the Representative promptly and, if requested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Representative,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Shares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4" w:lineRule="exact"/>
        <w:rPr>
          <w:rFonts w:ascii="Arial" w:cs="Arial" w:eastAsia="Arial" w:hAnsi="Arial"/>
          <w:sz w:val="16"/>
          <w:szCs w:val="16"/>
          <w:color w:val="auto"/>
        </w:rPr>
      </w:pPr>
    </w:p>
    <w:p>
      <w:pPr>
        <w:ind w:right="20" w:firstLine="1305"/>
        <w:spacing w:after="0" w:line="276"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Copies of Registration Statement</w:t>
      </w:r>
      <w:r>
        <w:rPr>
          <w:rFonts w:ascii="Arial" w:cs="Arial" w:eastAsia="Arial" w:hAnsi="Arial"/>
          <w:sz w:val="17"/>
          <w:szCs w:val="17"/>
          <w:color w:val="auto"/>
        </w:rPr>
        <w:t>. The Partnership will furnish to the Underwriters, without charge, (i) such number of conformed</w:t>
      </w:r>
      <w:r>
        <w:rPr>
          <w:rFonts w:ascii="Arial" w:cs="Arial" w:eastAsia="Arial" w:hAnsi="Arial"/>
          <w:sz w:val="17"/>
          <w:szCs w:val="17"/>
          <w:i w:val="1"/>
          <w:iCs w:val="1"/>
          <w:color w:val="auto"/>
        </w:rPr>
        <w:t xml:space="preserve"> </w:t>
      </w:r>
      <w:r>
        <w:rPr>
          <w:rFonts w:ascii="Arial" w:cs="Arial" w:eastAsia="Arial" w:hAnsi="Arial"/>
          <w:sz w:val="17"/>
          <w:szCs w:val="17"/>
          <w:color w:val="auto"/>
        </w:rPr>
        <w:t>copies of the registration statement corresponding to the Commission’s electronic data gathering, analysis and retrieval system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 version filed with the Commission and of each amendment thereto, including financial statements and all exhibits to the registration statement, as the Underwriters or the Underwriters’ counsel may reasonably request, (ii) such number of copies of the Incorporated Documents, without exhibits, as the Underwriters may request, and (iii) such number of copies of the exhibits to the Incorporated Documents as the Underwriters may request.</w:t>
      </w:r>
    </w:p>
    <w:p>
      <w:pPr>
        <w:spacing w:after="0" w:line="172" w:lineRule="exact"/>
        <w:rPr>
          <w:rFonts w:ascii="Arial" w:cs="Arial" w:eastAsia="Arial" w:hAnsi="Arial"/>
          <w:sz w:val="17"/>
          <w:szCs w:val="17"/>
          <w:color w:val="auto"/>
        </w:rPr>
      </w:pPr>
    </w:p>
    <w:p>
      <w:pPr>
        <w:ind w:right="40" w:firstLine="1305"/>
        <w:spacing w:after="0" w:line="272" w:lineRule="auto"/>
        <w:tabs>
          <w:tab w:leader="none" w:pos="195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Underwriters a prospectus is required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to be delivered in connection with sales by any Underwriter or dealer, the Partnership will not file any amendment to the Registration Statement, supplement to the Prospectus (or any other prospectus relating to the Shares filed pursuant to Rule 424(b) of the Rules and Regulations that differs from the Prospectus as filed pursuant to such Rule 424(b)), or any Preliminary Prospectus or Issuer Free Writing Prospectus of which the Representative shall not previously have been advised or to which the Representative shall have reasonably objected in writing after being so advised unless the Partnership shall have determined based upon the advice of counsel that such amendment, supplement or other filing is required by law; and the Partnership will promptly notify the Representative after it shall have received notice thereof of the time when any amendment to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becomes effective or when any supplement to the Prospectus has been filed.</w:t>
      </w:r>
    </w:p>
    <w:p>
      <w:pPr>
        <w:spacing w:after="0" w:line="225" w:lineRule="exact"/>
        <w:rPr>
          <w:sz w:val="20"/>
          <w:szCs w:val="20"/>
          <w:color w:val="auto"/>
        </w:rPr>
      </w:pPr>
    </w:p>
    <w:p>
      <w:pPr>
        <w:ind w:right="20" w:firstLine="1305"/>
        <w:spacing w:after="0" w:line="285" w:lineRule="auto"/>
        <w:tabs>
          <w:tab w:leader="none" w:pos="195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Underwriters</w:t>
      </w:r>
      <w:r>
        <w:rPr>
          <w:rFonts w:ascii="Arial" w:cs="Arial" w:eastAsia="Arial" w:hAnsi="Arial"/>
          <w:sz w:val="16"/>
          <w:szCs w:val="16"/>
          <w:color w:val="auto"/>
        </w:rPr>
        <w:t>. As soon after the Applicable Time as possible and thereafter from time to time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as in the 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Shares by any Underwriter or dealer. The Partnership consents to the use of the Prospectus (and of any amendment or supplement thereto) in accordance with the provisions of the Securities Act and with the securities or Blue Sky laws of the jurisdictions in which the Shares are offered by the Underwriters and by all dealers to whom Shares may be sold, both in connection with the offering and sale of the Shares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w:t>
      </w:r>
    </w:p>
    <w:p>
      <w:pPr>
        <w:sectPr>
          <w:pgSz w:w="11900" w:h="16924" w:orient="portrait"/>
          <w:cols w:equalWidth="0" w:num="1">
            <w:col w:w="11420"/>
          </w:cols>
          <w:pgMar w:left="240" w:top="125" w:right="239" w:bottom="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supplement or amendment shall be prepared at the Underwriters’ expense. In the event that the Partnership and the Representative agree that the Prospectus should be amended or supplemented, the Partnership, if requested by the Representative,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187" w:lineRule="exact"/>
        <w:rPr>
          <w:sz w:val="20"/>
          <w:szCs w:val="20"/>
          <w:color w:val="auto"/>
        </w:rPr>
      </w:pPr>
    </w:p>
    <w:p>
      <w:pPr>
        <w:ind w:right="20" w:firstLine="1305"/>
        <w:spacing w:after="0" w:line="273" w:lineRule="auto"/>
        <w:tabs>
          <w:tab w:leader="none" w:pos="1949"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Blue Sky Laws</w:t>
      </w:r>
      <w:r>
        <w:rPr>
          <w:rFonts w:ascii="Arial" w:cs="Arial" w:eastAsia="Arial" w:hAnsi="Arial"/>
          <w:sz w:val="17"/>
          <w:szCs w:val="17"/>
          <w:color w:val="auto"/>
        </w:rPr>
        <w:t>. The Partnership will cooperate with the Representative and with counsel for the Underwriters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or qualification of the Shares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The Partnership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will promptly notify the Representative of the receipt by the Partnership of any notification with respect to the suspension of the qualification of the Shares for sale in any jurisdiction or the initiation or threatening of any proceeding for such purpose.</w:t>
      </w:r>
    </w:p>
    <w:p>
      <w:pPr>
        <w:spacing w:after="0" w:line="170" w:lineRule="exact"/>
        <w:rPr>
          <w:sz w:val="20"/>
          <w:szCs w:val="20"/>
          <w:color w:val="auto"/>
        </w:rPr>
      </w:pPr>
    </w:p>
    <w:p>
      <w:pPr>
        <w:jc w:val="both"/>
        <w:ind w:right="220" w:firstLine="1305"/>
        <w:spacing w:after="0" w:line="279" w:lineRule="auto"/>
        <w:tabs>
          <w:tab w:leader="none" w:pos="196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Reports to Security Holders</w:t>
      </w:r>
      <w:r>
        <w:rPr>
          <w:rFonts w:ascii="Arial" w:cs="Arial" w:eastAsia="Arial" w:hAnsi="Arial"/>
          <w:sz w:val="17"/>
          <w:szCs w:val="17"/>
          <w:color w:val="auto"/>
        </w:rPr>
        <w:t>. In accordance with Section 11(a) of the Securities Act and Rule 158 of the Rules and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71" w:lineRule="exact"/>
        <w:rPr>
          <w:rFonts w:ascii="Arial" w:cs="Arial" w:eastAsia="Arial" w:hAnsi="Arial"/>
          <w:sz w:val="17"/>
          <w:szCs w:val="17"/>
          <w:color w:val="auto"/>
        </w:rPr>
      </w:pPr>
    </w:p>
    <w:p>
      <w:pPr>
        <w:ind w:firstLine="1305"/>
        <w:spacing w:after="0" w:line="259" w:lineRule="auto"/>
        <w:tabs>
          <w:tab w:leader="none" w:pos="195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Copies of Reports</w:t>
      </w:r>
      <w:r>
        <w:rPr>
          <w:rFonts w:ascii="Arial" w:cs="Arial" w:eastAsia="Arial" w:hAnsi="Arial"/>
          <w:sz w:val="18"/>
          <w:szCs w:val="18"/>
          <w:color w:val="auto"/>
        </w:rPr>
        <w:t>. Unless otherwise available on EDGAR, during the period of two years hereafter, the Partnership will furnish or</w:t>
      </w:r>
      <w:r>
        <w:rPr>
          <w:rFonts w:ascii="Arial" w:cs="Arial" w:eastAsia="Arial" w:hAnsi="Arial"/>
          <w:sz w:val="18"/>
          <w:szCs w:val="18"/>
          <w:i w:val="1"/>
          <w:iCs w:val="1"/>
          <w:color w:val="auto"/>
        </w:rPr>
        <w:t xml:space="preserve"> </w:t>
      </w:r>
      <w:r>
        <w:rPr>
          <w:rFonts w:ascii="Arial" w:cs="Arial" w:eastAsia="Arial" w:hAnsi="Arial"/>
          <w:sz w:val="18"/>
          <w:szCs w:val="18"/>
          <w:color w:val="auto"/>
        </w:rPr>
        <w:t>make available to the Underwriters (i) as soon as publicly available, a copy of each report of the Partnership mailed to shareholders or filed with the Commission or the principal national securities exchange or automated quotation system upon which the Shares may be listed, and (ii) from time to time such other information concerning the Partnership as the Underwriters may reasonably request.</w:t>
      </w:r>
    </w:p>
    <w:p>
      <w:pPr>
        <w:spacing w:after="0" w:line="186" w:lineRule="exact"/>
        <w:rPr>
          <w:rFonts w:ascii="Arial" w:cs="Arial" w:eastAsia="Arial" w:hAnsi="Arial"/>
          <w:sz w:val="18"/>
          <w:szCs w:val="18"/>
          <w:color w:val="auto"/>
        </w:rPr>
      </w:pPr>
    </w:p>
    <w:p>
      <w:pPr>
        <w:ind w:right="80" w:firstLine="1305"/>
        <w:spacing w:after="0" w:line="257" w:lineRule="auto"/>
        <w:tabs>
          <w:tab w:leader="none" w:pos="196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Termination Expenses</w:t>
      </w:r>
      <w:r>
        <w:rPr>
          <w:rFonts w:ascii="Arial" w:cs="Arial" w:eastAsia="Arial" w:hAnsi="Arial"/>
          <w:sz w:val="18"/>
          <w:szCs w:val="18"/>
          <w:color w:val="auto"/>
        </w:rPr>
        <w:t>. If this Agreement shall terminate or shall be terminated after execution pursuant to any provisions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than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or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(except pursuant to the first clause of </w:t>
      </w:r>
      <w:r>
        <w:rPr>
          <w:rFonts w:ascii="Arial" w:cs="Arial" w:eastAsia="Arial" w:hAnsi="Arial"/>
          <w:sz w:val="18"/>
          <w:szCs w:val="18"/>
          <w:u w:val="single" w:color="auto"/>
          <w:color w:val="auto"/>
        </w:rPr>
        <w:t>Section 10(i)</w:t>
      </w:r>
      <w:r>
        <w:rPr>
          <w:rFonts w:ascii="Arial" w:cs="Arial" w:eastAsia="Arial" w:hAnsi="Arial"/>
          <w:sz w:val="18"/>
          <w:szCs w:val="18"/>
          <w:color w:val="auto"/>
        </w:rPr>
        <w:t>)) or if this Agreement shall be terminated by the Underwriters because of any failure or refusal on the part of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w:t>
      </w:r>
    </w:p>
    <w:p>
      <w:pPr>
        <w:spacing w:after="0" w:line="188" w:lineRule="exact"/>
        <w:rPr>
          <w:rFonts w:ascii="Arial" w:cs="Arial" w:eastAsia="Arial" w:hAnsi="Arial"/>
          <w:sz w:val="18"/>
          <w:szCs w:val="18"/>
          <w:color w:val="auto"/>
        </w:rPr>
      </w:pPr>
    </w:p>
    <w:p>
      <w:pPr>
        <w:ind w:right="180" w:firstLine="1305"/>
        <w:spacing w:after="0" w:line="259" w:lineRule="auto"/>
        <w:tabs>
          <w:tab w:leader="none" w:pos="195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Application of Proceeds</w:t>
      </w:r>
      <w:r>
        <w:rPr>
          <w:rFonts w:ascii="Arial" w:cs="Arial" w:eastAsia="Arial" w:hAnsi="Arial"/>
          <w:sz w:val="18"/>
          <w:szCs w:val="18"/>
          <w:color w:val="auto"/>
        </w:rPr>
        <w:t>. The Partnership will apply the net proceeds from the sale of the Shares to purchase from Plains AAP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AAP Units equal to the number of Shares sold; Plains AAP will use the net proceeds of such sale to purchase from PAA a number of PAA Common Units equal to the number of AAP Units sold; and PAA will use the net proceeds of such sale as described under the caption “Use of Proceeds” in the Pricing Disclosure Package and the Prospectus.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Filing of Prospectus</w:t>
      </w:r>
      <w:r>
        <w:rPr>
          <w:rFonts w:ascii="Arial" w:cs="Arial" w:eastAsia="Arial" w:hAnsi="Arial"/>
          <w:sz w:val="17"/>
          <w:szCs w:val="17"/>
          <w:color w:val="auto"/>
        </w:rPr>
        <w:t>. The Partnership will timely file the Prospectus, and any amendment or supplement thereto,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Rule 424(b) of the Rules and Regulations and will advise the Underwriters of the time and manner of such filing.</w:t>
      </w:r>
    </w:p>
    <w:p>
      <w:pPr>
        <w:spacing w:after="0" w:line="211" w:lineRule="exact"/>
        <w:rPr>
          <w:sz w:val="20"/>
          <w:szCs w:val="20"/>
          <w:color w:val="auto"/>
        </w:rPr>
      </w:pPr>
    </w:p>
    <w:p>
      <w:pPr>
        <w:ind w:right="120" w:firstLine="1305"/>
        <w:spacing w:after="0" w:line="273" w:lineRule="auto"/>
        <w:tabs>
          <w:tab w:leader="none" w:pos="196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Lock-Up Period</w:t>
      </w:r>
      <w:r>
        <w:rPr>
          <w:rFonts w:ascii="Arial" w:cs="Arial" w:eastAsia="Arial" w:hAnsi="Arial"/>
          <w:sz w:val="17"/>
          <w:szCs w:val="17"/>
          <w:color w:val="auto"/>
        </w:rPr>
        <w:t>. Except as provided in this Agreement, the Partnership will not, and will ensure that PAA will not, (i) offer, sell,</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to sell, pledge or otherwise dispose of (or enter into any transaction that is designed to, or might reasonably be expected to, result in the disposition (whether by actual disposition or effective economic disposition due to cash settlement or otherwise) by the Partnership, PAA or any of their controlled affiliates or any person in privity with the Partnership, PAA or any of their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respect to, any Class A Shares, PAA Common Units or any securities that are convertible into, or exercisable or exchangeable for, or that represent the right to receive, Class A Shares, PAA Common Units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Class A Shares or PAA Common Units, or publicly announce an intention to effect any such transaction or (ii) grant any options or warrants to purchase Class A Shares or PAA Common Units for a period of 60 days after the date of the Prospectus (the “</w:t>
      </w:r>
      <w:r>
        <w:rPr>
          <w:rFonts w:ascii="Arial" w:cs="Arial" w:eastAsia="Arial" w:hAnsi="Arial"/>
          <w:sz w:val="16"/>
          <w:szCs w:val="16"/>
          <w:b w:val="1"/>
          <w:bCs w:val="1"/>
          <w:u w:val="single" w:color="auto"/>
          <w:color w:val="auto"/>
        </w:rPr>
        <w:t>Lock-Up Period</w:t>
      </w:r>
      <w:r>
        <w:rPr>
          <w:rFonts w:ascii="Arial" w:cs="Arial" w:eastAsia="Arial" w:hAnsi="Arial"/>
          <w:sz w:val="16"/>
          <w:szCs w:val="16"/>
          <w:color w:val="auto"/>
        </w:rPr>
        <w:t xml:space="preserve">”) without the prior written consent of the Representative, except that (A) the Partnership may issue the Shares and PAA may issue the PAA Common Units in the related sale, (B) the Partnership and PAA may issue Class A Shares, PAA Common Units or any securities convertible or exchangeable into Class A Shares or PAA Common Units as payment of any part of the purchase price for businesses that are acquired by the Partnership, PAA and their affiliates or any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recipient of such Class A Shares or PAA Common Units must agree in writing to be bound by the terms of this </w:t>
      </w:r>
      <w:r>
        <w:rPr>
          <w:rFonts w:ascii="Arial" w:cs="Arial" w:eastAsia="Arial" w:hAnsi="Arial"/>
          <w:sz w:val="16"/>
          <w:szCs w:val="16"/>
          <w:u w:val="single" w:color="auto"/>
          <w:color w:val="auto"/>
        </w:rPr>
        <w:t>Section 5(l)</w:t>
      </w:r>
      <w:r>
        <w:rPr>
          <w:rFonts w:ascii="Arial" w:cs="Arial" w:eastAsia="Arial" w:hAnsi="Arial"/>
          <w:sz w:val="16"/>
          <w:szCs w:val="16"/>
          <w:color w:val="auto"/>
        </w:rPr>
        <w:t xml:space="preserve"> for the remaining term of the Lock-Up Period, (C) the Partnership and PAA may issue and sell Class A Shares, PAA Common Units or securities convertible into or exchangeable for Class A Shares or PAA Common Units pursuant to any existing long-term incentive plan, employee share or unit option plan, share or unit ownership plan or dividend reinvestment plan of the Partnership (or adopted by a the General Partner) or of PAA (or adopted by a PAA GP Entity) in effect at the Applicable Time and (D) the Partnership and PAA may issue or deliver Class A Shares and PAA Common Units issuable upon the conversion, vesting or exercise of securities (including long-term incentive plan awards, options, warrants and the right of holders of AAP Units to exchange such AAP Units and our Class B shares for our Class A Shares) outstanding at the Applicable Time.</w:t>
      </w:r>
    </w:p>
    <w:p>
      <w:pPr>
        <w:spacing w:after="0" w:line="175" w:lineRule="exact"/>
        <w:rPr>
          <w:sz w:val="20"/>
          <w:szCs w:val="20"/>
          <w:color w:val="auto"/>
        </w:rPr>
      </w:pPr>
    </w:p>
    <w:p>
      <w:pPr>
        <w:ind w:right="20" w:firstLine="1305"/>
        <w:spacing w:after="0" w:line="264" w:lineRule="auto"/>
        <w:tabs>
          <w:tab w:leader="none" w:pos="194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none of the Plains Entities has taken, nor will they take,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any action designed to or that might reasonably be expected to cause or result in stabilization or manipulation of the price of the Class A Shares to facilitate the sale or resale of the Shares.</w:t>
      </w:r>
    </w:p>
    <w:p>
      <w:pPr>
        <w:spacing w:after="0" w:line="181" w:lineRule="exact"/>
        <w:rPr>
          <w:rFonts w:ascii="Arial" w:cs="Arial" w:eastAsia="Arial" w:hAnsi="Arial"/>
          <w:sz w:val="18"/>
          <w:szCs w:val="18"/>
          <w:color w:val="auto"/>
        </w:rPr>
      </w:pPr>
    </w:p>
    <w:p>
      <w:pPr>
        <w:jc w:val="both"/>
        <w:ind w:right="320" w:firstLine="1305"/>
        <w:spacing w:after="0" w:line="264"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will take such steps as shall be necessary to ensure that none of the Plains Entities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an “investment company” within the meaning of such term under the Investment Company Act, and the rules and regulations of the Commission thereunder.</w:t>
      </w:r>
    </w:p>
    <w:p>
      <w:pPr>
        <w:sectPr>
          <w:pgSz w:w="11900" w:h="16838" w:orient="portrait"/>
          <w:cols w:equalWidth="0" w:num="1">
            <w:col w:w="11400"/>
          </w:cols>
          <w:pgMar w:left="240" w:top="125" w:right="259" w:bottom="0" w:gutter="0" w:footer="0" w:header="0"/>
        </w:sectPr>
      </w:pPr>
    </w:p>
    <w:bookmarkStart w:id="11" w:name="page12"/>
    <w:bookmarkEnd w:id="11"/>
    <w:p>
      <w:pPr>
        <w:spacing w:after="0" w:line="94" w:lineRule="exact"/>
        <w:rPr>
          <w:sz w:val="20"/>
          <w:szCs w:val="20"/>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1305"/>
        <w:spacing w:after="0" w:line="342" w:lineRule="auto"/>
        <w:tabs>
          <w:tab w:leader="none" w:pos="195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Exchange Act Reports</w:t>
      </w:r>
      <w:r>
        <w:rPr>
          <w:rFonts w:ascii="Arial" w:cs="Arial" w:eastAsia="Arial" w:hAnsi="Arial"/>
          <w:sz w:val="16"/>
          <w:szCs w:val="16"/>
          <w:color w:val="auto"/>
        </w:rPr>
        <w:t>. The Partnership, during the period when the Prospectus is required to be delivered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will file all documents required to be filed with the Commission pursuant to the Exchange Act within the time periods required by the Exchange Act.</w:t>
      </w:r>
    </w:p>
    <w:p>
      <w:pPr>
        <w:spacing w:after="0" w:line="123" w:lineRule="exact"/>
        <w:rPr>
          <w:rFonts w:ascii="Arial" w:cs="Arial" w:eastAsia="Arial" w:hAnsi="Arial"/>
          <w:sz w:val="16"/>
          <w:szCs w:val="16"/>
          <w:color w:val="auto"/>
        </w:rPr>
      </w:pPr>
    </w:p>
    <w:p>
      <w:pPr>
        <w:ind w:firstLine="1305"/>
        <w:spacing w:after="0" w:line="25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Partnership has complied and will comply with the requirements of Rule 433 of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applicable to any Issuer Free Writing Prospectus, including appropriate legending and timely filing with the Commission or retention where required. The Partnership represents that it has satisfied and agrees that it will satisfy the conditions under Rule 433 under the Rules and Regulations to avoid a requirement to file with the Commission any electronic road show. The Partnership agrees that if at any time following issuance of an Issuer Free Writing Prospectus any event occurred or occurs as a result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 and, if requested by the Representative, will prepare and furnish without charge to each Underwriter an Issuer Free Writing Prospectus or other document that will correct such conflict,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representation and warranty shall not apply to any statements or omissions in an Issuer Free Writing Prospectus made in reliance upon and in conformity with information furnished in writing to the Partnership by an Underwriter through the Representative expressly for use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8" w:lineRule="exact"/>
        <w:rPr>
          <w:sz w:val="20"/>
          <w:szCs w:val="20"/>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5" w:lineRule="auto"/>
        <w:tabs>
          <w:tab w:leader="none" w:pos="19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Partnership agrees to indemnify and hold harmless each Underwriter, the directors, officers, employees and agents of each Underwriter, each affiliate of any Underwriter who has participated in the distribution of the Shares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6"/>
          <w:szCs w:val="16"/>
          <w:b w:val="1"/>
          <w:bCs w:val="1"/>
          <w:u w:val="single" w:color="auto"/>
          <w:color w:val="auto"/>
        </w:rPr>
        <w:t>Non-Prospectus Road Show</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Partnership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 by or on behalf of any Underwriter specifically for inclusion therein, which information consists solely of the information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The foregoing indemnity agreement is 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addition to any liability that the Partnership may otherwise have to any Underwriter or to any director, officer, employee or controlling person of that Underwriter.</w:t>
      </w:r>
    </w:p>
    <w:p>
      <w:pPr>
        <w:spacing w:after="0" w:line="170" w:lineRule="exact"/>
        <w:rPr>
          <w:sz w:val="20"/>
          <w:szCs w:val="20"/>
          <w:color w:val="auto"/>
        </w:rPr>
      </w:pPr>
    </w:p>
    <w:p>
      <w:pPr>
        <w:ind w:firstLine="1305"/>
        <w:spacing w:after="0" w:line="286" w:lineRule="auto"/>
        <w:tabs>
          <w:tab w:leader="none" w:pos="19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the Partnership, such Underwriter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68" w:lineRule="exact"/>
        <w:rPr>
          <w:rFonts w:ascii="Arial" w:cs="Arial" w:eastAsia="Arial" w:hAnsi="Arial"/>
          <w:sz w:val="16"/>
          <w:szCs w:val="16"/>
          <w:color w:val="auto"/>
        </w:rPr>
      </w:pPr>
    </w:p>
    <w:p>
      <w:pPr>
        <w:ind w:firstLine="1305"/>
        <w:spacing w:after="0" w:line="291" w:lineRule="auto"/>
        <w:tabs>
          <w:tab w:leader="none" w:pos="19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Each Underwriter agrees, severally and not jointly, to indemnify and hold harmless the Partnership, the General Partner’s directors and officers who sign the Registration Statement, and any person who controls the Partnership within the meaning of Section 15 of the Securities Act or Section 20 of the Exchange Act, to the same extent as the foregoing indemnity from the Partnership to each Underwriter, but only with respect to information furnished in writing by or on behalf of such Underwriter through the Representative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If any action, suit or proceeding shall be brought against the Partnership, any of such directors and officers or any such controlling person based on the Registration Statement, any Preliminary Prospectus, the Prospectus, any Issuer Free Writing</w:t>
      </w:r>
    </w:p>
    <w:p>
      <w:pPr>
        <w:sectPr>
          <w:pgSz w:w="11900" w:h="16932" w:orient="portrait"/>
          <w:cols w:equalWidth="0" w:num="1">
            <w:col w:w="11400"/>
          </w:cols>
          <w:pgMar w:left="240" w:top="125" w:right="259" w:bottom="0" w:gutter="0" w:footer="0" w:header="0"/>
        </w:sectPr>
      </w:pPr>
    </w:p>
    <w:bookmarkStart w:id="12" w:name="page13"/>
    <w:bookmarkEnd w:id="12"/>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Prospectus or in any amendment or supplement thereto or in any Non-Prospectus Road Show, and in respect of which indemnity may be sought against any Underwriter pursuant to this paragraph (c), such Underwriter shall have the rights and duties given to the Partnership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any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directors and officers and any such controlling person shall have the rights and duties given to the Underwriters by paragraph (b) above. The foregoing indemnity agreement shall be in addition to any liability that the Underwriters may otherwise have.</w:t>
      </w:r>
    </w:p>
    <w:p>
      <w:pPr>
        <w:spacing w:after="0" w:line="170" w:lineRule="exact"/>
        <w:rPr>
          <w:sz w:val="20"/>
          <w:szCs w:val="20"/>
          <w:color w:val="auto"/>
        </w:rPr>
      </w:pPr>
    </w:p>
    <w:p>
      <w:pPr>
        <w:ind w:firstLine="1305"/>
        <w:spacing w:after="0" w:line="268" w:lineRule="auto"/>
        <w:tabs>
          <w:tab w:leader="none" w:pos="19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Partnership on the one hand and the Underwriters on the other in connection with the statements or omissions that resulted in such losses, claims, damages, liabilities or expenses, as well as any other relevant equitable considerations. The relative benefits received by the Partnership on the one hand and the 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Prospectus. The relative fault of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Underwriters on the other hand, and the parties’ relative intent, knowledge, access to information and opportunity to correct or prevent such statement or omission.</w:t>
      </w:r>
    </w:p>
    <w:p>
      <w:pPr>
        <w:spacing w:after="0" w:line="185" w:lineRule="exact"/>
        <w:rPr>
          <w:rFonts w:ascii="Arial" w:cs="Arial" w:eastAsia="Arial" w:hAnsi="Arial"/>
          <w:sz w:val="17"/>
          <w:szCs w:val="17"/>
          <w:color w:val="auto"/>
        </w:rPr>
      </w:pPr>
    </w:p>
    <w:p>
      <w:pPr>
        <w:ind w:right="40" w:firstLine="1305"/>
        <w:spacing w:after="0" w:line="270" w:lineRule="auto"/>
        <w:tabs>
          <w:tab w:leader="none" w:pos="19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Partnership and the Underwriters agree that it would not be just and equitable if contribution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 Underwriter shall be required to contribute any amount in excess of the amount by which the total price of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several and not joint.</w:t>
      </w:r>
    </w:p>
    <w:p>
      <w:pPr>
        <w:spacing w:after="0" w:line="177" w:lineRule="exact"/>
        <w:rPr>
          <w:rFonts w:ascii="Arial" w:cs="Arial" w:eastAsia="Arial" w:hAnsi="Arial"/>
          <w:sz w:val="17"/>
          <w:szCs w:val="17"/>
          <w:color w:val="auto"/>
        </w:rPr>
      </w:pPr>
    </w:p>
    <w:p>
      <w:pPr>
        <w:ind w:right="40" w:firstLine="1305"/>
        <w:spacing w:after="0" w:line="257" w:lineRule="auto"/>
        <w:tabs>
          <w:tab w:leader="none" w:pos="19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87" w:lineRule="exact"/>
        <w:rPr>
          <w:sz w:val="20"/>
          <w:szCs w:val="20"/>
          <w:color w:val="auto"/>
        </w:rPr>
      </w:pPr>
    </w:p>
    <w:p>
      <w:pPr>
        <w:ind w:right="20" w:firstLine="1305"/>
        <w:spacing w:after="0" w:line="290" w:lineRule="auto"/>
        <w:tabs>
          <w:tab w:leader="none" w:pos="19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Any losses, claims, damages, liabilities or expenses for which an indemnified party is entitled to indemnification or contribution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the covenants, representations and warranties of the Partnership set forth in this Agreement shall remain operative and in full force and effect, regardless of (i) any investigation made by or on behalf of any Underwriter or any person controlling any Underwriter, the Partnership or any of the General Partner’s directors or officers or any person controlling the Partnership, (ii) acceptance of any Shares and payment therefor in accordance with the terms of this Agreement, and (iii) any termination of this Agreement. A successor to any Underwriter or any person controlling any Underwriter, or to the Partnership, the General Partner or any of their respective directors or officers or any person controlling the Partnership shall be entitled to the benefits of the indemnity, contribution and reimbursement agreements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66" w:lineRule="exact"/>
        <w:rPr>
          <w:sz w:val="20"/>
          <w:szCs w:val="20"/>
          <w:color w:val="auto"/>
        </w:rPr>
      </w:pPr>
    </w:p>
    <w:p>
      <w:pPr>
        <w:ind w:right="260" w:firstLine="1305"/>
        <w:spacing w:after="0" w:line="277" w:lineRule="auto"/>
        <w:tabs>
          <w:tab w:leader="none" w:pos="194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several obligations of the Underwriters to purchase the Firm Shares and the Option Shares, as the case may be, hereunder are subject to the following conditions:</w:t>
      </w:r>
    </w:p>
    <w:p>
      <w:pPr>
        <w:spacing w:after="0" w:line="170" w:lineRule="exact"/>
        <w:rPr>
          <w:sz w:val="20"/>
          <w:szCs w:val="20"/>
          <w:color w:val="auto"/>
        </w:rPr>
      </w:pPr>
    </w:p>
    <w:p>
      <w:pPr>
        <w:jc w:val="both"/>
        <w:ind w:right="280" w:firstLine="1305"/>
        <w:spacing w:after="0" w:line="288" w:lineRule="auto"/>
        <w:tabs>
          <w:tab w:leader="none" w:pos="194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filings required by Rule 424 and Rule 430B of the Rules and Regulations shall have been made. All material required to be filed by the Partnership pursuant to Rule 433(d) of the Rules and Regulations shall have been filed with the Commission within the applicable time period prescribed for such filing by Rule 433 of the Rules and Regulations. No stop order (i) suspending the effectiveness of the Registration Statement or</w:t>
      </w:r>
    </w:p>
    <w:p>
      <w:pPr>
        <w:jc w:val="both"/>
        <w:ind w:right="140" w:firstLine="8"/>
        <w:spacing w:after="0" w:line="254"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w:t>
      </w:r>
    </w:p>
    <w:p>
      <w:pPr>
        <w:spacing w:after="0" w:line="189" w:lineRule="exact"/>
        <w:rPr>
          <w:rFonts w:ascii="Arial" w:cs="Arial" w:eastAsia="Arial" w:hAnsi="Arial"/>
          <w:sz w:val="18"/>
          <w:szCs w:val="18"/>
          <w:color w:val="auto"/>
        </w:rPr>
      </w:pPr>
    </w:p>
    <w:p>
      <w:pPr>
        <w:jc w:val="both"/>
        <w:ind w:right="380" w:firstLine="1305"/>
        <w:spacing w:after="0" w:line="342" w:lineRule="auto"/>
        <w:tabs>
          <w:tab w:leader="none" w:pos="19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w:t>
      </w:r>
    </w:p>
    <w:p>
      <w:pPr>
        <w:sectPr>
          <w:pgSz w:w="11900" w:h="16975" w:orient="portrait"/>
          <w:cols w:equalWidth="0" w:num="1">
            <w:col w:w="11420"/>
          </w:cols>
          <w:pgMar w:left="240" w:top="125" w:right="239" w:bottom="0" w:gutter="0" w:footer="0" w:header="0"/>
        </w:sectPr>
      </w:pPr>
    </w:p>
    <w:bookmarkStart w:id="13" w:name="page14"/>
    <w:bookmarkEnd w:id="13"/>
    <w:p>
      <w:pPr>
        <w:ind w:right="660"/>
        <w:spacing w:after="0" w:line="277" w:lineRule="auto"/>
        <w:rPr>
          <w:sz w:val="20"/>
          <w:szCs w:val="20"/>
          <w:color w:val="auto"/>
        </w:rPr>
      </w:pPr>
      <w:r>
        <w:rPr>
          <w:rFonts w:ascii="Arial" w:cs="Arial" w:eastAsia="Arial" w:hAnsi="Arial"/>
          <w:sz w:val="18"/>
          <w:szCs w:val="18"/>
          <w:color w:val="auto"/>
        </w:rPr>
        <w:t>would materially adversely affect the market for the Shares, or (ii) any event or development relating to or involving any of the Plains Entities or any executive officer or director of any of such entities that makes any statement made in the Prospectus untrue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Shares.</w:t>
      </w:r>
    </w:p>
    <w:p>
      <w:pPr>
        <w:spacing w:after="0" w:line="171" w:lineRule="exact"/>
        <w:rPr>
          <w:sz w:val="20"/>
          <w:szCs w:val="20"/>
          <w:color w:val="auto"/>
        </w:rPr>
      </w:pPr>
    </w:p>
    <w:p>
      <w:pPr>
        <w:ind w:right="240" w:firstLine="1305"/>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Vinson &amp; Elkins L.L.P., counsel for the Partnership, dated the applicable Delivery Date and addressed to the Underwriters, to the effect that:</w:t>
      </w:r>
    </w:p>
    <w:p>
      <w:pPr>
        <w:spacing w:after="0" w:line="170" w:lineRule="exact"/>
        <w:rPr>
          <w:sz w:val="20"/>
          <w:szCs w:val="20"/>
          <w:color w:val="auto"/>
        </w:rPr>
      </w:pPr>
    </w:p>
    <w:p>
      <w:pPr>
        <w:ind w:left="1300" w:right="120" w:firstLine="5"/>
        <w:spacing w:after="0" w:line="259" w:lineRule="auto"/>
        <w:tabs>
          <w:tab w:leader="none" w:pos="19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General Partner, the Partnership, the PAA GP Entities, PAA and the Domestic Subsidiaries has been duly formed and is validly existing in good standing as a limited partnership or limited liability company under the laws of its respective jurisdiction of formation with full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left="1300" w:right="20" w:firstLine="5"/>
        <w:spacing w:after="0" w:line="286" w:lineRule="auto"/>
        <w:tabs>
          <w:tab w:leader="none" w:pos="19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General Partner and each Domestic Subsidiary or PAA GP Entity that serves as a general partner of PAA or another Domestic Subsidiary or PAA GP Entity has full limited liability company power and authority, as the case may be, to serve as general partner of the Partnership, PAA or such Domestic Subsidiary or PAA GP Entity, in each case in all material respects.</w:t>
      </w:r>
    </w:p>
    <w:p>
      <w:pPr>
        <w:spacing w:after="0" w:line="165" w:lineRule="exact"/>
        <w:rPr>
          <w:rFonts w:ascii="Arial" w:cs="Arial" w:eastAsia="Arial" w:hAnsi="Arial"/>
          <w:sz w:val="17"/>
          <w:szCs w:val="17"/>
          <w:color w:val="auto"/>
        </w:rPr>
      </w:pPr>
    </w:p>
    <w:p>
      <w:pPr>
        <w:jc w:val="both"/>
        <w:ind w:left="1300" w:right="20" w:firstLine="5"/>
        <w:spacing w:after="0" w:line="264" w:lineRule="auto"/>
        <w:tabs>
          <w:tab w:leader="none" w:pos="19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the membership interests in the General Partner have been duly authorized and validly issued (in accordance with the General Partner LLC Agreement) and are fully paid (to the extent required under the General Partner LLC Agreement) and nonassessable (except as such assessability may be affected by Sections 18-607 and 18-804 of the Delaware LLC Act).</w:t>
      </w:r>
    </w:p>
    <w:p>
      <w:pPr>
        <w:spacing w:after="0" w:line="181" w:lineRule="exact"/>
        <w:rPr>
          <w:rFonts w:ascii="Arial" w:cs="Arial" w:eastAsia="Arial" w:hAnsi="Arial"/>
          <w:sz w:val="18"/>
          <w:szCs w:val="18"/>
          <w:color w:val="auto"/>
        </w:rPr>
      </w:pPr>
    </w:p>
    <w:p>
      <w:pPr>
        <w:ind w:left="1300" w:firstLine="5"/>
        <w:spacing w:after="0" w:line="270" w:lineRule="auto"/>
        <w:tabs>
          <w:tab w:leader="none" w:pos="19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General Partner, the Partnership and the PAA GP Entities hold the general partner, limited partner and membership interests in the Partnership, the PAA GP Entities and PAA, as applicable, as described in the Pricing Disclosure Package and the Prospectus; all of such interests (a) have been duly authorized and validly issued in accordance with their respective Organizational Documents, as applicable, and such limited partner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General Partner, the Partnership and the PAA GP Entities, as applicable,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firstLine="5"/>
        <w:spacing w:after="0" w:line="286" w:lineRule="auto"/>
        <w:tabs>
          <w:tab w:leader="none" w:pos="19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limited liability company or partnership laws of the jurisdiction of formation of the respective Domestic Subsidiary, as the case may be.</w:t>
      </w:r>
    </w:p>
    <w:p>
      <w:pPr>
        <w:spacing w:after="0" w:line="171" w:lineRule="exact"/>
        <w:rPr>
          <w:rFonts w:ascii="Arial" w:cs="Arial" w:eastAsia="Arial" w:hAnsi="Arial"/>
          <w:sz w:val="16"/>
          <w:szCs w:val="16"/>
          <w:color w:val="auto"/>
        </w:rPr>
      </w:pPr>
    </w:p>
    <w:p>
      <w:pPr>
        <w:ind w:left="1300" w:right="100" w:firstLine="5"/>
        <w:spacing w:after="0" w:line="291" w:lineRule="auto"/>
        <w:tabs>
          <w:tab w:leader="none" w:pos="19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167" w:lineRule="exact"/>
        <w:rPr>
          <w:rFonts w:ascii="Arial" w:cs="Arial" w:eastAsia="Arial" w:hAnsi="Arial"/>
          <w:sz w:val="16"/>
          <w:szCs w:val="16"/>
          <w:color w:val="auto"/>
        </w:rPr>
      </w:pPr>
    </w:p>
    <w:p>
      <w:pPr>
        <w:ind w:left="1300" w:firstLine="5"/>
        <w:spacing w:after="0" w:line="257" w:lineRule="auto"/>
        <w:tabs>
          <w:tab w:leader="none" w:pos="19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Firm Shares (and/or Option Shares, as applicable)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Sections 17-303, 17-607 and 17-804 of the Delaware LP Act).</w:t>
      </w:r>
    </w:p>
    <w:p>
      <w:pPr>
        <w:sectPr>
          <w:pgSz w:w="11900" w:h="16838" w:orient="portrait"/>
          <w:cols w:equalWidth="0" w:num="1">
            <w:col w:w="11400"/>
          </w:cols>
          <w:pgMar w:left="240" w:top="125" w:right="259" w:bottom="271"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71" w:gutter="0" w:footer="0" w:header="0"/>
          <w:type w:val="continuous"/>
        </w:sectPr>
      </w:pPr>
    </w:p>
    <w:bookmarkStart w:id="14" w:name="page15"/>
    <w:bookmarkEnd w:id="14"/>
    <w:p>
      <w:pPr>
        <w:ind w:left="100" w:right="120" w:firstLine="5"/>
        <w:spacing w:after="0" w:line="255" w:lineRule="auto"/>
        <w:tabs>
          <w:tab w:leader="none" w:pos="7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AAP Units and PAA Common Units to be issued and sold pursuant to the Omnibus Agreement in connection with sales of Shares pursuant to this Agreement and the limited partner interests represented thereby have been duly authorized by the Organizational Documents of Plains AAP and PAA, respectively, and, when issued and delivered against payment therefor as provided in this Agreement, the Omnibus Agreement and any Terms Agreement, will be validly issued, fully paid (to the extent required under the applicable Organizational Documents) and nonassessable (except as such nonassessability may be affected by Sections 17-303, 17-607 and 17-804 of the Delaware LP Act).</w:t>
      </w:r>
    </w:p>
    <w:p>
      <w:pPr>
        <w:spacing w:after="0" w:line="193" w:lineRule="exact"/>
        <w:rPr>
          <w:rFonts w:ascii="Arial" w:cs="Arial" w:eastAsia="Arial" w:hAnsi="Arial"/>
          <w:sz w:val="18"/>
          <w:szCs w:val="18"/>
          <w:color w:val="auto"/>
        </w:rPr>
      </w:pPr>
    </w:p>
    <w:p>
      <w:pPr>
        <w:ind w:left="100" w:firstLine="5"/>
        <w:spacing w:after="0" w:line="272" w:lineRule="auto"/>
        <w:tabs>
          <w:tab w:leader="none" w:pos="7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Except as described in the Prospectus or as provided in the Organizational Documents of the Partnership, Plains AAP or PAA and the Omnibus Agreement, there are no preemptive rights or other rights to subscribe for or to purchase, nor any restriction upon the voting or transfer of, any interests in the Partnership, Plains AAP or PAA pursuant to the Delaware LP Act, the Delaware LLC Act or any instrument known to us to which any of the Partnership, Plains AAP or PAA is a party or by which any one of them may be bound. Neither the filing of the Registration Statement nor the offering or sale of the Shares as contemplated by this Agreement gives rise to any rights for or relating to the registration of any Shares or other securities of the Partnership pursuant to any of the documents or agreements included as exhibits to any of the Incorporated Documents, except such rights as have been waived or satisfied.</w:t>
      </w:r>
    </w:p>
    <w:p>
      <w:pPr>
        <w:spacing w:after="0" w:line="177" w:lineRule="exact"/>
        <w:rPr>
          <w:rFonts w:ascii="Arial" w:cs="Arial" w:eastAsia="Arial" w:hAnsi="Arial"/>
          <w:sz w:val="17"/>
          <w:szCs w:val="17"/>
          <w:color w:val="auto"/>
        </w:rPr>
      </w:pPr>
    </w:p>
    <w:p>
      <w:pPr>
        <w:ind w:left="100" w:right="200" w:firstLine="5"/>
        <w:spacing w:after="0" w:line="312" w:lineRule="auto"/>
        <w:tabs>
          <w:tab w:leader="none" w:pos="7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of the Partnership, Plains AAP and PAA has all requisite power and authority to issue, sell and deliver the Shares, the AAP Units and the PAA Common Units, in accordance with and upon the terms and conditions set forth in this Agreement, their respective Organizational Documents, the Omnibus Agreement, the Registration Statement, the Pricing Disclosure Package and the Prospectus.</w:t>
      </w:r>
    </w:p>
    <w:p>
      <w:pPr>
        <w:spacing w:after="0" w:line="146" w:lineRule="exact"/>
        <w:rPr>
          <w:rFonts w:ascii="Arial" w:cs="Arial" w:eastAsia="Arial" w:hAnsi="Arial"/>
          <w:sz w:val="16"/>
          <w:szCs w:val="16"/>
          <w:color w:val="auto"/>
        </w:rPr>
      </w:pPr>
    </w:p>
    <w:p>
      <w:pPr>
        <w:ind w:left="760" w:hanging="655"/>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has been duly authorized and validly executed and delivered by the Partnership.</w:t>
      </w:r>
    </w:p>
    <w:p>
      <w:pPr>
        <w:spacing w:after="0" w:line="225" w:lineRule="exact"/>
        <w:rPr>
          <w:rFonts w:ascii="Arial" w:cs="Arial" w:eastAsia="Arial" w:hAnsi="Arial"/>
          <w:sz w:val="18"/>
          <w:szCs w:val="18"/>
          <w:color w:val="auto"/>
        </w:rPr>
      </w:pPr>
    </w:p>
    <w:p>
      <w:pPr>
        <w:ind w:left="100" w:right="60" w:firstLine="5"/>
        <w:spacing w:after="0" w:line="271" w:lineRule="auto"/>
        <w:tabs>
          <w:tab w:leader="none" w:pos="774"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or before each applicable Delivery Date, the partnership agreement or limited liability company agreement, as applicable, of each of the Partnership, the General Partner, the PAA GP Entities, PAA and the Domestic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180" w:firstLine="5"/>
        <w:spacing w:after="0" w:line="284" w:lineRule="auto"/>
        <w:tabs>
          <w:tab w:leader="none" w:pos="7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None of (A) the offering, issuance and sale by the Partnership of the Shares, (B) the execution, delivery and performance of this Agreement by the Partnership or (C) the consummation of the transactions contemplated by this Agreement, including the related sale of AAP Units and PAA Common Units, (1) constitutes or will constitute a violation of the Organizational Documents of the General Partner, the Partnership, PAA or any of the PAA GP Entities or the Domestic Subsidiaries,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w:t>
      </w:r>
    </w:p>
    <w:p>
      <w:pPr>
        <w:spacing w:after="0" w:line="4" w:lineRule="exact"/>
        <w:rPr>
          <w:rFonts w:ascii="Arial" w:cs="Arial" w:eastAsia="Arial" w:hAnsi="Arial"/>
          <w:sz w:val="16"/>
          <w:szCs w:val="16"/>
          <w:color w:val="auto"/>
        </w:rPr>
      </w:pPr>
    </w:p>
    <w:p>
      <w:pPr>
        <w:ind w:left="100" w:right="180"/>
        <w:spacing w:after="0" w:line="269" w:lineRule="auto"/>
        <w:rPr>
          <w:rFonts w:ascii="Arial" w:cs="Arial" w:eastAsia="Arial" w:hAnsi="Arial"/>
          <w:sz w:val="16"/>
          <w:szCs w:val="16"/>
          <w:color w:val="auto"/>
        </w:rPr>
      </w:pPr>
      <w:r>
        <w:rPr>
          <w:rFonts w:ascii="Arial" w:cs="Arial" w:eastAsia="Arial" w:hAnsi="Arial"/>
          <w:sz w:val="17"/>
          <w:szCs w:val="17"/>
          <w:color w:val="auto"/>
        </w:rPr>
        <w:t>(3) results or will result in any violation of the Delaware LP Act, the Delaware LLC Act, the Delaware General Corporation Law (the “</w:t>
      </w:r>
      <w:r>
        <w:rPr>
          <w:rFonts w:ascii="Arial" w:cs="Arial" w:eastAsia="Arial" w:hAnsi="Arial"/>
          <w:sz w:val="17"/>
          <w:szCs w:val="17"/>
          <w:b w:val="1"/>
          <w:bCs w:val="1"/>
          <w:u w:val="single" w:color="auto"/>
          <w:color w:val="auto"/>
        </w:rPr>
        <w:t>DGCL</w:t>
      </w:r>
      <w:r>
        <w:rPr>
          <w:rFonts w:ascii="Arial" w:cs="Arial" w:eastAsia="Arial" w:hAnsi="Arial"/>
          <w:sz w:val="17"/>
          <w:szCs w:val="17"/>
          <w:color w:val="auto"/>
        </w:rPr>
        <w:t>”), the laws of the State of Texas or federal law or (4) results or will result in the creation or imposition of any Lien upon any property or assets of any of the General Partner, the Partnership, PAA, the PAA GP Entities or the Domestic Subsidiaries, which conflicts, breaches, violations or defaults in the case of clauses (2), (3) or (4) would reasonably be expected to have a Material Adverse Effect or materially impair the ability of the Partnership, Plains AAP or PAA to consummate the transactions contemplated by this Agreement, including the related sale of AAP Units and PAA Common Units, it being understood that such counsel need not express an opinion in clause (3) of this paragraph (xiii) with respect to any securities or other anti-fraud law.</w:t>
      </w:r>
    </w:p>
    <w:p>
      <w:pPr>
        <w:spacing w:after="0" w:line="180" w:lineRule="exact"/>
        <w:rPr>
          <w:rFonts w:ascii="Arial" w:cs="Arial" w:eastAsia="Arial" w:hAnsi="Arial"/>
          <w:sz w:val="16"/>
          <w:szCs w:val="16"/>
          <w:color w:val="auto"/>
        </w:rPr>
      </w:pPr>
    </w:p>
    <w:p>
      <w:pPr>
        <w:ind w:left="100" w:firstLine="5"/>
        <w:spacing w:after="0" w:line="288"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federal, Delaware or Texas court, governmental agency or body having jurisdiction over the General Partner, the Partnership, PAA, the PAA GP Entities, the Domestic Subsidiaries or any of their respective properties is required in connection with (A) the offering, issuance and sale by the Partnership of the Shares, (B) the execution, delivery and performance of this Agreement by the Partnership or (C) the consummation of the transactions contemplated by this Agreement, including the related sale of AAP Units and PAA Common Units, except (1) such as may be required under the blue sky laws of any jurisdiction or the by-laws and rules of FINRA in connection with the purchase and distribution by the Underwriters of the Shares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Partnership, Plains AAP or PAA to consummate the transactions contemplated by this Agreement, including the related sale of AAP Units and PAA Common Units, and (3) such other that have been obtained or taken and are in full force and effect.</w:t>
      </w:r>
    </w:p>
    <w:p>
      <w:pPr>
        <w:spacing w:after="0" w:line="169" w:lineRule="exact"/>
        <w:rPr>
          <w:rFonts w:ascii="Arial" w:cs="Arial" w:eastAsia="Arial" w:hAnsi="Arial"/>
          <w:sz w:val="16"/>
          <w:szCs w:val="16"/>
          <w:color w:val="auto"/>
        </w:rPr>
      </w:pPr>
    </w:p>
    <w:p>
      <w:pPr>
        <w:ind w:left="100" w:right="180" w:firstLine="5"/>
        <w:spacing w:after="0" w:line="259" w:lineRule="auto"/>
        <w:tabs>
          <w:tab w:leader="none" w:pos="7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captions “Description of Our Shares,” “Our Distribution Policy,” “The Partnership Agreement” and “Use of Proceeds” (to the extent related to the Omnibus Agreement) insofar as such statements purport to summarize certain provisions of documents and legal matters referred to therein, are accurate in all material respects, subject to the qualifications and assumptions</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880"/>
        <w:spacing w:after="0" w:line="277" w:lineRule="auto"/>
        <w:rPr>
          <w:sz w:val="20"/>
          <w:szCs w:val="20"/>
          <w:color w:val="auto"/>
        </w:rPr>
      </w:pPr>
      <w:r>
        <w:rPr>
          <w:rFonts w:ascii="Arial" w:cs="Arial" w:eastAsia="Arial" w:hAnsi="Arial"/>
          <w:sz w:val="18"/>
          <w:szCs w:val="18"/>
          <w:color w:val="auto"/>
        </w:rPr>
        <w:t>stated therein; and the Shares and the Class A Shares conform in all material respects to the descriptions thereof contained in the Registration Statement, the Pricing Disclosure Package and the Prospectus.</w:t>
      </w:r>
    </w:p>
    <w:p>
      <w:pPr>
        <w:spacing w:after="0" w:line="170" w:lineRule="exact"/>
        <w:rPr>
          <w:sz w:val="20"/>
          <w:szCs w:val="20"/>
          <w:color w:val="auto"/>
        </w:rPr>
      </w:pPr>
    </w:p>
    <w:p>
      <w:pPr>
        <w:ind w:left="100" w:right="40" w:firstLine="5"/>
        <w:spacing w:after="0" w:line="342"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opinion of Vinson &amp; Elkins L.L.P. to be filed as Exhibit 8.1 to the Partnership’s Form 8-K with the Commission in connection with this offering and sale of the Shares is confirmed and the Underwriters may rely upon such opinion as if it were addressed to them.</w:t>
      </w:r>
    </w:p>
    <w:p>
      <w:pPr>
        <w:sectPr>
          <w:pgSz w:w="11900" w:h="16838" w:orient="portrait"/>
          <w:cols w:equalWidth="0" w:num="1">
            <w:col w:w="10220"/>
          </w:cols>
          <w:pgMar w:left="1440" w:top="341" w:right="239" w:bottom="0" w:gutter="0" w:footer="0" w:header="0"/>
        </w:sectPr>
      </w:pPr>
    </w:p>
    <w:bookmarkStart w:id="15" w:name="page16"/>
    <w:bookmarkEnd w:id="15"/>
    <w:p>
      <w:pPr>
        <w:ind w:left="1300" w:right="100" w:firstLine="5"/>
        <w:spacing w:after="0" w:line="279" w:lineRule="auto"/>
        <w:tabs>
          <w:tab w:leader="none" w:pos="197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Registration Statement became effective under the Securities Act upon its filing on February 23, 2017;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171" w:lineRule="exact"/>
        <w:rPr>
          <w:rFonts w:ascii="Arial" w:cs="Arial" w:eastAsia="Arial" w:hAnsi="Arial"/>
          <w:sz w:val="17"/>
          <w:szCs w:val="17"/>
          <w:color w:val="auto"/>
        </w:rPr>
      </w:pPr>
    </w:p>
    <w:p>
      <w:pPr>
        <w:ind w:left="1300" w:right="160" w:firstLine="5"/>
        <w:spacing w:after="0" w:line="302" w:lineRule="auto"/>
        <w:tabs>
          <w:tab w:leader="none" w:pos="197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154" w:lineRule="exact"/>
        <w:rPr>
          <w:rFonts w:ascii="Arial" w:cs="Arial" w:eastAsia="Arial" w:hAnsi="Arial"/>
          <w:sz w:val="16"/>
          <w:szCs w:val="16"/>
          <w:color w:val="auto"/>
        </w:rPr>
      </w:pPr>
    </w:p>
    <w:p>
      <w:pPr>
        <w:ind w:left="1300" w:right="100" w:firstLine="5"/>
        <w:spacing w:after="0" w:line="312" w:lineRule="auto"/>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Partnership is not now, and after giving effect to the offering and sale of the Shares and the application of the net proceeds thereof as described in the Pricing Disclosure Package and the Prospectus under the caption “Use of Proceeds,” will not be, an “investment company” as such term is defined in the Investment Company Act and the rules and regulations of the Commission thereunder.</w:t>
      </w:r>
    </w:p>
    <w:p>
      <w:pPr>
        <w:spacing w:after="0" w:line="147"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General Partner, GP LLC and the Partnership, representatives of the independent public accountants of the General Partner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(xv) above), on the basis of the foregoing, no facts have come to the attention of such counsel that lead them to believe that:</w:t>
      </w:r>
    </w:p>
    <w:p>
      <w:pPr>
        <w:spacing w:after="0" w:line="165" w:lineRule="exact"/>
        <w:rPr>
          <w:sz w:val="20"/>
          <w:szCs w:val="20"/>
          <w:color w:val="auto"/>
        </w:rPr>
      </w:pPr>
    </w:p>
    <w:p>
      <w:pPr>
        <w:ind w:firstLine="1305"/>
        <w:spacing w:after="0" w:line="277" w:lineRule="auto"/>
        <w:tabs>
          <w:tab w:leader="none" w:pos="19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305"/>
        <w:spacing w:after="0" w:line="342" w:lineRule="auto"/>
        <w:tabs>
          <w:tab w:leader="none" w:pos="19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jc w:val="both"/>
        <w:ind w:right="140" w:firstLine="1305"/>
        <w:spacing w:after="0" w:line="264" w:lineRule="auto"/>
        <w:tabs>
          <w:tab w:leader="none" w:pos="19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Prospectus, as of its date or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7"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General Partner, the Partnership and certain PAA Subsidiaries, to the extent they deem appropriate, and information obtained from public officials or public records,</w:t>
      </w:r>
    </w:p>
    <w:p>
      <w:pPr>
        <w:ind w:right="220" w:firstLine="8"/>
        <w:spacing w:after="0" w:line="253" w:lineRule="auto"/>
        <w:tabs>
          <w:tab w:leader="none" w:pos="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191" w:lineRule="exact"/>
        <w:rPr>
          <w:rFonts w:ascii="Arial" w:cs="Arial" w:eastAsia="Arial" w:hAnsi="Arial"/>
          <w:sz w:val="18"/>
          <w:szCs w:val="18"/>
          <w:color w:val="auto"/>
        </w:rPr>
      </w:pPr>
    </w:p>
    <w:p>
      <w:pPr>
        <w:ind w:right="20" w:firstLine="1305"/>
        <w:spacing w:after="0" w:line="277" w:lineRule="auto"/>
        <w:tabs>
          <w:tab w:leader="none" w:pos="19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the general counsel for the General Partner, dated the applicable Delivery Date and addressed to the Underwriters, to the effect that:</w:t>
      </w:r>
    </w:p>
    <w:p>
      <w:pPr>
        <w:spacing w:after="0" w:line="170" w:lineRule="exact"/>
        <w:rPr>
          <w:sz w:val="20"/>
          <w:szCs w:val="20"/>
          <w:color w:val="auto"/>
        </w:rPr>
      </w:pPr>
    </w:p>
    <w:p>
      <w:pPr>
        <w:ind w:left="1300" w:right="120" w:firstLine="5"/>
        <w:spacing w:after="0" w:line="290" w:lineRule="auto"/>
        <w:tabs>
          <w:tab w:leader="none" w:pos="19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None of (A) the offering, issuance and sale by the Partnership of the Shares, (B) the execution, delivery and performance by the Partnership of this Agreement, or (C) the consummation of the transactions contemplated by this Agreement, including the related sale of AAP Units and PAA Common Units,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Partnership Entities is a party or by which any one of them may be bound (excluding, for this purpose, (i) any document or agreement filed as an exhibit to the Registration Statement or an Incorporated Document, (ii) the Hedged Inventory Facility, (iii) the Credit Agreement dated as of August 19, 2011, as amended, by and among the Partnership, certain subsidiaries of the Partnership from time to time party thereto and Bank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20"/>
        <w:spacing w:after="0" w:line="273" w:lineRule="auto"/>
        <w:rPr>
          <w:sz w:val="20"/>
          <w:szCs w:val="20"/>
          <w:color w:val="auto"/>
        </w:rPr>
      </w:pPr>
      <w:r>
        <w:rPr>
          <w:rFonts w:ascii="Arial" w:cs="Arial" w:eastAsia="Arial" w:hAnsi="Arial"/>
          <w:sz w:val="17"/>
          <w:szCs w:val="17"/>
          <w:color w:val="auto"/>
        </w:rPr>
        <w:t>America, N.A., as administrative agent, and the other lenders party thereto (the “</w:t>
      </w:r>
      <w:r>
        <w:rPr>
          <w:rFonts w:ascii="Arial" w:cs="Arial" w:eastAsia="Arial" w:hAnsi="Arial"/>
          <w:sz w:val="17"/>
          <w:szCs w:val="17"/>
          <w:b w:val="1"/>
          <w:bCs w:val="1"/>
          <w:u w:val="single" w:color="auto"/>
          <w:color w:val="auto"/>
        </w:rPr>
        <w:t>PAA Facility</w:t>
      </w:r>
      <w:r>
        <w:rPr>
          <w:rFonts w:ascii="Arial" w:cs="Arial" w:eastAsia="Arial" w:hAnsi="Arial"/>
          <w:sz w:val="17"/>
          <w:szCs w:val="17"/>
          <w:color w:val="auto"/>
        </w:rPr>
        <w:t>”) and (iv) the 364-Day Credit Agreement dated January 16, 2015 (the “</w:t>
      </w:r>
      <w:r>
        <w:rPr>
          <w:rFonts w:ascii="Arial" w:cs="Arial" w:eastAsia="Arial" w:hAnsi="Arial"/>
          <w:sz w:val="17"/>
          <w:szCs w:val="17"/>
          <w:b w:val="1"/>
          <w:bCs w:val="1"/>
          <w:u w:val="single" w:color="auto"/>
          <w:color w:val="auto"/>
        </w:rPr>
        <w:t>364-Day Facility</w:t>
      </w:r>
      <w:r>
        <w:rPr>
          <w:rFonts w:ascii="Arial" w:cs="Arial" w:eastAsia="Arial" w:hAnsi="Arial"/>
          <w:sz w:val="17"/>
          <w:szCs w:val="17"/>
          <w:color w:val="auto"/>
        </w:rPr>
        <w:t>”), by and among the Partnership, Bank of America, N.A., as administrative agent, and the lenders party thereto) or (2) violates or will violate any statute, law or regulation or any order, judgment, decree or injunction known to such counsel of any court or governmental agency or body directed to any of the Partnership Entities or any of their respective properties in a proceeding to which any of them is a party, which would, in the case of either (1) or (2), reasonably be expected to have a Material Adverse Effect or materially impair the ability of the Partnership, Plains AAP or PAA to consummate the transactions contemplated by this Agreement, including the related sale of AAP Units and PAA Common Units.</w:t>
      </w:r>
    </w:p>
    <w:p>
      <w:pPr>
        <w:spacing w:after="0" w:line="176" w:lineRule="exact"/>
        <w:rPr>
          <w:sz w:val="20"/>
          <w:szCs w:val="20"/>
          <w:color w:val="auto"/>
        </w:rPr>
      </w:pPr>
    </w:p>
    <w:p>
      <w:pPr>
        <w:jc w:val="both"/>
        <w:ind w:left="1300" w:right="60" w:firstLine="5"/>
        <w:spacing w:after="0" w:line="264" w:lineRule="auto"/>
        <w:tabs>
          <w:tab w:leader="none" w:pos="19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the Partnership or any of the PAA Subsidiaries is a party or to which any of their respective properties is subject that is required to be disclosed in the Pricing Disclosure Package or the Prospectus and is not so disclosed.</w:t>
      </w:r>
    </w:p>
    <w:p>
      <w:pPr>
        <w:sectPr>
          <w:pgSz w:w="11900" w:h="16838" w:orient="portrait"/>
          <w:cols w:equalWidth="0" w:num="1">
            <w:col w:w="11420"/>
          </w:cols>
          <w:pgMar w:left="240" w:top="125" w:right="239" w:bottom="0" w:gutter="0" w:footer="0" w:header="0"/>
        </w:sectPr>
      </w:pPr>
    </w:p>
    <w:bookmarkStart w:id="16" w:name="page17"/>
    <w:bookmarkEnd w:id="16"/>
    <w:p>
      <w:pPr>
        <w:jc w:val="both"/>
        <w:ind w:left="1300" w:right="460" w:firstLine="5"/>
        <w:spacing w:after="0" w:line="264" w:lineRule="auto"/>
        <w:tabs>
          <w:tab w:leader="none" w:pos="19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knowledge of such counsel, except as described in the Pricing Disclosure Package and the Prospectus or as have been issued pursuant to compensation plans adopted or administered by the General Partner, there are no outstanding options or warrants to purchase any Class A Shares or other equity interests in the Partnership.</w:t>
      </w:r>
    </w:p>
    <w:p>
      <w:pPr>
        <w:spacing w:after="0" w:line="181" w:lineRule="exact"/>
        <w:rPr>
          <w:rFonts w:ascii="Arial" w:cs="Arial" w:eastAsia="Arial" w:hAnsi="Arial"/>
          <w:sz w:val="18"/>
          <w:szCs w:val="18"/>
          <w:color w:val="auto"/>
        </w:rPr>
      </w:pPr>
    </w:p>
    <w:p>
      <w:pPr>
        <w:jc w:val="both"/>
        <w:ind w:left="1300" w:right="260" w:firstLine="5"/>
        <w:spacing w:after="0" w:line="259" w:lineRule="auto"/>
        <w:tabs>
          <w:tab w:leader="none" w:pos="19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7"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In addition, such counsel shall state that he has participated in conferences with officers and other representatives of the General Partner and the Partnership, representatives of the independent public accountants of the General Partner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178" w:lineRule="exact"/>
        <w:rPr>
          <w:sz w:val="20"/>
          <w:szCs w:val="20"/>
          <w:color w:val="auto"/>
        </w:rPr>
      </w:pPr>
    </w:p>
    <w:p>
      <w:pPr>
        <w:ind w:firstLine="1305"/>
        <w:spacing w:after="0" w:line="277" w:lineRule="auto"/>
        <w:tabs>
          <w:tab w:leader="none" w:pos="19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305"/>
        <w:spacing w:after="0" w:line="342" w:lineRule="auto"/>
        <w:tabs>
          <w:tab w:leader="none" w:pos="19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jc w:val="both"/>
        <w:ind w:right="140" w:firstLine="1305"/>
        <w:spacing w:after="0" w:line="264" w:lineRule="auto"/>
        <w:tabs>
          <w:tab w:leader="none" w:pos="1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Prospectus, as of its date or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187"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In rendering such opinion, such counsel may rely in respect of matters of fact upon (A) information obtained from public officials or public records and (B) to the extent such counsel deems appropriate, certificates of officers and employees of the General Partner and the Partnership.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(iii) state that he expresses no opinion with respect to (x) either federal or state securities laws in clause (2) of paragraph (i) above or (y) state or local taxes or tax statutes.</w:t>
      </w:r>
    </w:p>
    <w:p>
      <w:pPr>
        <w:spacing w:after="0" w:line="178" w:lineRule="exact"/>
        <w:rPr>
          <w:sz w:val="20"/>
          <w:szCs w:val="20"/>
          <w:color w:val="auto"/>
        </w:rPr>
      </w:pPr>
    </w:p>
    <w:p>
      <w:pPr>
        <w:ind w:right="720" w:firstLine="1305"/>
        <w:spacing w:after="0" w:line="277" w:lineRule="auto"/>
        <w:tabs>
          <w:tab w:leader="none" w:pos="19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internal Canadian counsel for the Partnership, dated the Closing Date and addressed to the Underwriters, to the effect that:</w:t>
      </w:r>
    </w:p>
    <w:p>
      <w:pPr>
        <w:spacing w:after="0" w:line="166" w:lineRule="exact"/>
        <w:rPr>
          <w:sz w:val="20"/>
          <w:szCs w:val="20"/>
          <w:color w:val="auto"/>
        </w:rPr>
      </w:pPr>
    </w:p>
    <w:p>
      <w:pPr>
        <w:ind w:left="1300" w:right="40" w:firstLine="5"/>
        <w:spacing w:after="0" w:line="274" w:lineRule="auto"/>
        <w:tabs>
          <w:tab w:leader="none" w:pos="197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Plains Midstream Canada ULC, a British Columbia unlimited liability company (“</w:t>
      </w:r>
      <w:r>
        <w:rPr>
          <w:rFonts w:ascii="Arial" w:cs="Arial" w:eastAsia="Arial" w:hAnsi="Arial"/>
          <w:sz w:val="17"/>
          <w:szCs w:val="17"/>
          <w:b w:val="1"/>
          <w:bCs w:val="1"/>
          <w:u w:val="single" w:color="auto"/>
          <w:color w:val="auto"/>
        </w:rPr>
        <w:t>Plains Midstream Canada</w:t>
      </w:r>
      <w:r>
        <w:rPr>
          <w:rFonts w:ascii="Arial" w:cs="Arial" w:eastAsia="Arial" w:hAnsi="Arial"/>
          <w:sz w:val="17"/>
          <w:szCs w:val="17"/>
          <w:color w:val="auto"/>
        </w:rPr>
        <w:t>”),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177" w:lineRule="exact"/>
        <w:rPr>
          <w:rFonts w:ascii="Arial" w:cs="Arial" w:eastAsia="Arial" w:hAnsi="Arial"/>
          <w:sz w:val="17"/>
          <w:szCs w:val="17"/>
          <w:color w:val="auto"/>
        </w:rPr>
      </w:pPr>
    </w:p>
    <w:p>
      <w:pPr>
        <w:ind w:left="1300" w:right="20" w:firstLine="5"/>
        <w:spacing w:after="0" w:line="264" w:lineRule="auto"/>
        <w:tabs>
          <w:tab w:leader="none" w:pos="197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limited partnership interests of Plains Midstream Empress Management, L.P., a limited partnership formed under the laws of Alberta (“</w:t>
      </w:r>
      <w:r>
        <w:rPr>
          <w:rFonts w:ascii="Arial" w:cs="Arial" w:eastAsia="Arial" w:hAnsi="Arial"/>
          <w:sz w:val="18"/>
          <w:szCs w:val="18"/>
          <w:b w:val="1"/>
          <w:bCs w:val="1"/>
          <w:u w:val="single" w:color="auto"/>
          <w:color w:val="auto"/>
        </w:rPr>
        <w:t>Plains Midstream Empress L.P.</w:t>
      </w:r>
      <w:r>
        <w:rPr>
          <w:rFonts w:ascii="Arial" w:cs="Arial" w:eastAsia="Arial" w:hAnsi="Arial"/>
          <w:sz w:val="18"/>
          <w:szCs w:val="18"/>
          <w:color w:val="auto"/>
        </w:rPr>
        <w:t>”); Plains Midstream Empress Management ULC (“</w:t>
      </w:r>
      <w:r>
        <w:rPr>
          <w:rFonts w:ascii="Arial" w:cs="Arial" w:eastAsia="Arial" w:hAnsi="Arial"/>
          <w:sz w:val="18"/>
          <w:szCs w:val="18"/>
          <w:b w:val="1"/>
          <w:bCs w:val="1"/>
          <w:u w:val="single" w:color="auto"/>
          <w:color w:val="auto"/>
        </w:rPr>
        <w:t>Plains Midstream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Empress ULC</w:t>
      </w:r>
      <w:r>
        <w:rPr>
          <w:rFonts w:ascii="Arial" w:cs="Arial" w:eastAsia="Arial" w:hAnsi="Arial"/>
          <w:sz w:val="18"/>
          <w:szCs w:val="18"/>
          <w:color w:val="auto"/>
        </w:rPr>
        <w:t>”) is the registered holder of 100% of the general partnership interests of Plains Midstream Empress L.P.</w:t>
      </w:r>
    </w:p>
    <w:p>
      <w:pPr>
        <w:spacing w:after="0" w:line="229"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Plains Midstream Canada is the registered holder of 100% of the issued and outstanding capital stock of Plains Midstream Empress ULC, an unlimited liability company formed under the laws of British Columbia; such share capital has been duly authorized and validly issued in accordance with the Plains Midstream Empress ULC Articles of Continuance, as fully paid and nonassessable shares (except as such nonassessability may be affected by the laws of the Province of British Columbia).</w:t>
      </w:r>
    </w:p>
    <w:p>
      <w:pPr>
        <w:spacing w:after="0" w:line="187" w:lineRule="exact"/>
        <w:rPr>
          <w:sz w:val="20"/>
          <w:szCs w:val="20"/>
          <w:color w:val="auto"/>
        </w:rPr>
      </w:pPr>
    </w:p>
    <w:p>
      <w:pPr>
        <w:jc w:val="both"/>
        <w:ind w:left="1300" w:right="140" w:firstLine="5"/>
        <w:spacing w:after="0" w:line="302" w:lineRule="auto"/>
        <w:tabs>
          <w:tab w:leader="none" w:pos="19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Midstream Canada is the registered holder of 100% of the issued and outstanding capital stock of Plains Petroleum Transmission Company ULC, an unlimited liability company formed under the laws of Canada (“</w:t>
      </w:r>
      <w:r>
        <w:rPr>
          <w:rFonts w:ascii="Arial" w:cs="Arial" w:eastAsia="Arial" w:hAnsi="Arial"/>
          <w:sz w:val="16"/>
          <w:szCs w:val="16"/>
          <w:b w:val="1"/>
          <w:bCs w:val="1"/>
          <w:u w:val="single" w:color="auto"/>
          <w:color w:val="auto"/>
        </w:rPr>
        <w:t>Plains Petroleum Transmission</w:t>
      </w:r>
      <w:r>
        <w:rPr>
          <w:rFonts w:ascii="Arial" w:cs="Arial" w:eastAsia="Arial" w:hAnsi="Arial"/>
          <w:sz w:val="16"/>
          <w:szCs w:val="16"/>
          <w:color w:val="auto"/>
        </w:rPr>
        <w:t>”); such share capital has been duly authorized and validly issued in accordance with the Plains Petroleum Transmission Articles of Continuance, as fully paid and nonassessable shares (except as such nonassessability may be affected by the laws of the Province of British Columbia).</w:t>
      </w:r>
    </w:p>
    <w:p>
      <w:pPr>
        <w:spacing w:after="0" w:line="154" w:lineRule="exact"/>
        <w:rPr>
          <w:rFonts w:ascii="Arial" w:cs="Arial" w:eastAsia="Arial" w:hAnsi="Arial"/>
          <w:sz w:val="16"/>
          <w:szCs w:val="16"/>
          <w:color w:val="auto"/>
        </w:rPr>
      </w:pPr>
    </w:p>
    <w:p>
      <w:pPr>
        <w:ind w:left="1300" w:right="80" w:firstLine="5"/>
        <w:spacing w:after="0" w:line="312" w:lineRule="auto"/>
        <w:tabs>
          <w:tab w:leader="none" w:pos="19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w:t>
      </w:r>
    </w:p>
    <w:p>
      <w:pPr>
        <w:sectPr>
          <w:pgSz w:w="11900" w:h="16838" w:orient="portrait"/>
          <w:cols w:equalWidth="0" w:num="1">
            <w:col w:w="11420"/>
          </w:cols>
          <w:pgMar w:left="240" w:top="125" w:right="239" w:bottom="0" w:gutter="0" w:footer="0" w:header="0"/>
        </w:sectPr>
      </w:pPr>
    </w:p>
    <w:bookmarkStart w:id="17" w:name="page18"/>
    <w:bookmarkEnd w:id="17"/>
    <w:p>
      <w:pPr>
        <w:ind w:left="1300" w:right="140"/>
        <w:spacing w:after="0" w:line="277" w:lineRule="auto"/>
        <w:rPr>
          <w:sz w:val="20"/>
          <w:szCs w:val="20"/>
          <w:color w:val="auto"/>
        </w:rPr>
      </w:pPr>
      <w:r>
        <w:rPr>
          <w:rFonts w:ascii="Arial" w:cs="Arial" w:eastAsia="Arial" w:hAnsi="Arial"/>
          <w:sz w:val="18"/>
          <w:szCs w:val="18"/>
          <w:color w:val="auto"/>
        </w:rPr>
        <w:t>Midstream Canada, as fully paid and nonassessable shares (except as such nonassessability may be affected by the laws of the Province of British Columbia).</w:t>
      </w:r>
    </w:p>
    <w:p>
      <w:pPr>
        <w:spacing w:after="0" w:line="170" w:lineRule="exact"/>
        <w:rPr>
          <w:sz w:val="20"/>
          <w:szCs w:val="20"/>
          <w:color w:val="auto"/>
        </w:rPr>
      </w:pPr>
    </w:p>
    <w:p>
      <w:pPr>
        <w:ind w:left="1300" w:firstLine="5"/>
        <w:spacing w:after="0" w:line="264"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Shares.</w:t>
      </w:r>
    </w:p>
    <w:p>
      <w:pPr>
        <w:spacing w:after="0" w:line="181" w:lineRule="exact"/>
        <w:rPr>
          <w:rFonts w:ascii="Arial" w:cs="Arial" w:eastAsia="Arial" w:hAnsi="Arial"/>
          <w:sz w:val="18"/>
          <w:szCs w:val="18"/>
          <w:color w:val="auto"/>
        </w:rPr>
      </w:pPr>
    </w:p>
    <w:p>
      <w:pPr>
        <w:ind w:left="1300" w:right="40" w:firstLine="5"/>
        <w:spacing w:after="0" w:line="272" w:lineRule="auto"/>
        <w:tabs>
          <w:tab w:leader="none" w:pos="1965"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Shares, the execution, delivery and performance of this Agreement by the Partnership or the consummation of the transactions contemplated hereby, including the related sale of AAP Units and PAA Common Units,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300" w:right="180" w:firstLine="5"/>
        <w:spacing w:after="0" w:line="297" w:lineRule="auto"/>
        <w:tabs>
          <w:tab w:leader="none" w:pos="197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58"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the General Partner and the Partnership,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they express no opinion with respect to state or local taxes or tax statutes to which any of the limited partners of the Partnership or the Plains Entities may be subject.</w:t>
      </w:r>
    </w:p>
    <w:p>
      <w:pPr>
        <w:spacing w:after="0" w:line="178"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6"/>
          <w:szCs w:val="16"/>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w:t>
      </w:r>
    </w:p>
    <w:p>
      <w:pPr>
        <w:jc w:val="both"/>
        <w:ind w:right="860" w:firstLine="8"/>
        <w:spacing w:after="0" w:line="323" w:lineRule="auto"/>
        <w:tabs>
          <w:tab w:leader="none" w:pos="285"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38" w:lineRule="exact"/>
        <w:rPr>
          <w:rFonts w:ascii="Arial" w:cs="Arial" w:eastAsia="Arial" w:hAnsi="Arial"/>
          <w:sz w:val="16"/>
          <w:szCs w:val="16"/>
          <w:color w:val="auto"/>
        </w:rPr>
      </w:pPr>
    </w:p>
    <w:p>
      <w:pPr>
        <w:jc w:val="both"/>
        <w:ind w:right="260" w:firstLine="1305"/>
        <w:spacing w:after="0" w:line="259" w:lineRule="auto"/>
        <w:tabs>
          <w:tab w:leader="none" w:pos="194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Baker Botts L.L.P., counsel for the Underwriters, dated the applicable Delivery Date and addressed to the Underwriters, with respect to the offering, issuance and sale of the Shares, the Registration Statement, the Pricing Disclosure Package, the Prospectus (together with any amendment or supplement thereto) and other related matters the Underwriters may reasonably require.</w:t>
      </w:r>
    </w:p>
    <w:p>
      <w:pPr>
        <w:spacing w:after="0" w:line="186" w:lineRule="exact"/>
        <w:rPr>
          <w:rFonts w:ascii="Arial" w:cs="Arial" w:eastAsia="Arial" w:hAnsi="Arial"/>
          <w:sz w:val="18"/>
          <w:szCs w:val="18"/>
          <w:color w:val="auto"/>
        </w:rPr>
      </w:pPr>
    </w:p>
    <w:p>
      <w:pPr>
        <w:ind w:right="220" w:firstLine="1305"/>
        <w:spacing w:after="0" w:line="276" w:lineRule="auto"/>
        <w:tabs>
          <w:tab w:leader="none" w:pos="1965" w:val="left"/>
        </w:tabs>
        <w:numPr>
          <w:ilvl w:val="1"/>
          <w:numId w:val="60"/>
        </w:numPr>
        <w:rPr>
          <w:rFonts w:ascii="Arial" w:cs="Arial" w:eastAsia="Arial" w:hAnsi="Arial"/>
          <w:sz w:val="17"/>
          <w:szCs w:val="17"/>
          <w:color w:val="auto"/>
        </w:rPr>
      </w:pPr>
      <w:r>
        <w:rPr>
          <w:rFonts w:ascii="Arial" w:cs="Arial" w:eastAsia="Arial" w:hAnsi="Arial"/>
          <w:sz w:val="17"/>
          <w:szCs w:val="17"/>
          <w:color w:val="auto"/>
        </w:rPr>
        <w:t>At the time of the execution of this Agreement, the Representative shall have received from PricewaterhouseCoopers LLP, independent public accountants, a letter dated such date, in form and substance satisfactory to the Representative,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three days prior to the date of such letter.</w:t>
      </w:r>
    </w:p>
    <w:p>
      <w:pPr>
        <w:spacing w:after="0" w:line="172" w:lineRule="exact"/>
        <w:rPr>
          <w:rFonts w:ascii="Arial" w:cs="Arial" w:eastAsia="Arial" w:hAnsi="Arial"/>
          <w:sz w:val="17"/>
          <w:szCs w:val="17"/>
          <w:color w:val="auto"/>
        </w:rPr>
      </w:pPr>
    </w:p>
    <w:p>
      <w:pPr>
        <w:ind w:right="80" w:firstLine="1305"/>
        <w:spacing w:after="0" w:line="277" w:lineRule="auto"/>
        <w:tabs>
          <w:tab w:leader="none" w:pos="19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each applicable the Delivery Date, the Representative shall have received from PricewaterhouseCoopers LLP a letter, dated as of each such Delivery Date,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effect that they reaffirm the statements made in the letter furnished pursuant to paragraph (g)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except that the date referred to in the proviso in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hereof shall be a date not more than three business days prior to each such Delivery Date.</w:t>
      </w:r>
    </w:p>
    <w:p>
      <w:pPr>
        <w:spacing w:after="0" w:line="170" w:lineRule="exact"/>
        <w:rPr>
          <w:sz w:val="20"/>
          <w:szCs w:val="20"/>
          <w:color w:val="auto"/>
        </w:rPr>
      </w:pPr>
    </w:p>
    <w:p>
      <w:pPr>
        <w:jc w:val="both"/>
        <w:ind w:right="20" w:firstLine="1305"/>
        <w:spacing w:after="0" w:line="259" w:lineRule="auto"/>
        <w:tabs>
          <w:tab w:leader="none" w:pos="19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 at each applicable Delivery Date a certificate of the Partnership, signed on behalf of the Partnership by the President or any Vice President and the Chief Financial Officer of the General Partner, dated the applicable Delivery Date, to the effect that the signers of such certificate have examined the Registration Statement, the Pricing Disclosure Package, the Prospectus and any amendment or supplement thereto, and this Agreement and that:</w:t>
      </w:r>
    </w:p>
    <w:p>
      <w:pPr>
        <w:spacing w:after="0" w:line="187" w:lineRule="exact"/>
        <w:rPr>
          <w:sz w:val="20"/>
          <w:szCs w:val="20"/>
          <w:color w:val="auto"/>
        </w:rPr>
      </w:pPr>
    </w:p>
    <w:p>
      <w:pPr>
        <w:jc w:val="both"/>
        <w:ind w:left="1300" w:right="180" w:firstLine="5"/>
        <w:spacing w:after="0" w:line="312" w:lineRule="auto"/>
        <w:tabs>
          <w:tab w:leader="none" w:pos="196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w:t>
      </w:r>
    </w:p>
    <w:p>
      <w:pPr>
        <w:spacing w:after="0" w:line="146" w:lineRule="exact"/>
        <w:rPr>
          <w:rFonts w:ascii="Arial" w:cs="Arial" w:eastAsia="Arial" w:hAnsi="Arial"/>
          <w:sz w:val="16"/>
          <w:szCs w:val="16"/>
          <w:color w:val="auto"/>
        </w:rPr>
      </w:pPr>
    </w:p>
    <w:p>
      <w:pPr>
        <w:ind w:left="1300" w:right="160" w:firstLine="5"/>
        <w:spacing w:after="0" w:line="277" w:lineRule="auto"/>
        <w:tabs>
          <w:tab w:leader="none" w:pos="19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70" w:lineRule="exact"/>
        <w:rPr>
          <w:rFonts w:ascii="Arial" w:cs="Arial" w:eastAsia="Arial" w:hAnsi="Arial"/>
          <w:sz w:val="18"/>
          <w:szCs w:val="18"/>
          <w:color w:val="auto"/>
        </w:rPr>
      </w:pPr>
    </w:p>
    <w:p>
      <w:pPr>
        <w:ind w:left="1300" w:right="140" w:firstLine="5"/>
        <w:spacing w:after="0" w:line="256" w:lineRule="auto"/>
        <w:tabs>
          <w:tab w:leader="none" w:pos="19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w:t>
      </w: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stated therein or necessary to make the statement therein (except in the case of the Registration Statement, in the light of the circumstances under which they were made) not misleading.</w:t>
      </w:r>
    </w:p>
    <w:p>
      <w:pPr>
        <w:sectPr>
          <w:pgSz w:w="11900" w:h="16838" w:orient="portrait"/>
          <w:cols w:equalWidth="0" w:num="1">
            <w:col w:w="11400"/>
          </w:cols>
          <w:pgMar w:left="240" w:top="125" w:right="259" w:bottom="0" w:gutter="0" w:footer="0" w:header="0"/>
        </w:sectPr>
      </w:pPr>
    </w:p>
    <w:bookmarkStart w:id="18" w:name="page19"/>
    <w:bookmarkEnd w:id="18"/>
    <w:p>
      <w:pPr>
        <w:spacing w:after="0" w:line="99" w:lineRule="exact"/>
        <w:rPr>
          <w:sz w:val="20"/>
          <w:szCs w:val="20"/>
          <w:color w:val="auto"/>
        </w:rPr>
      </w:pPr>
    </w:p>
    <w:p>
      <w:pPr>
        <w:ind w:left="1960" w:hanging="655"/>
        <w:spacing w:after="0"/>
        <w:tabs>
          <w:tab w:leader="none" w:pos="1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NYSE shall have approved the Shares for listing, subject only to official notice of issuance and evidence of satisfactory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w:t>
      </w:r>
    </w:p>
    <w:p>
      <w:pPr>
        <w:spacing w:after="0" w:line="211" w:lineRule="exact"/>
        <w:rPr>
          <w:sz w:val="20"/>
          <w:szCs w:val="20"/>
          <w:color w:val="auto"/>
        </w:rPr>
      </w:pPr>
    </w:p>
    <w:p>
      <w:pPr>
        <w:ind w:right="700" w:firstLine="1305"/>
        <w:spacing w:after="0" w:line="277" w:lineRule="auto"/>
        <w:tabs>
          <w:tab w:leader="none" w:pos="19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On or prior to the date hereof, the Partnership shall have furnished to the Underwriters a letter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each person named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820" w:firstLine="1305"/>
        <w:spacing w:after="0" w:line="277" w:lineRule="auto"/>
        <w:tabs>
          <w:tab w:leader="none" w:pos="196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 shall have received from the Partnership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jc w:val="both"/>
        <w:ind w:right="340" w:firstLine="1297"/>
        <w:spacing w:after="0" w:line="312" w:lineRule="auto"/>
        <w:rPr>
          <w:sz w:val="20"/>
          <w:szCs w:val="20"/>
          <w:color w:val="auto"/>
        </w:rPr>
      </w:pPr>
      <w:r>
        <w:rPr>
          <w:rFonts w:ascii="Arial" w:cs="Arial" w:eastAsia="Arial" w:hAnsi="Arial"/>
          <w:sz w:val="16"/>
          <w:szCs w:val="16"/>
          <w:color w:val="auto"/>
        </w:rPr>
        <w:t xml:space="preserve">All such opinions, certificates, letters and other documents referred to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will be in compliance with the provisions hereof only if they are reasonably satisfactory in form and substance to the Representative and counsel for the Underwriters. The Partnership shall furnish to the Underwriters conformed copies of such opinions, certificates, letters and other documents in such number as they shall reasonably request.</w:t>
      </w:r>
    </w:p>
    <w:p>
      <w:pPr>
        <w:spacing w:after="0" w:line="14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The several obligations of the Underwriters to purchase Option Shares hereunder are subject to the satisfaction on and as of any Option Shares Delivery Date of the conditions 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except that, if any Option Shares Delivery Date is other than the Initial Delivery Date, (i) the certificates, opinions and letters referred to in paragraphs (c) through (f), (h) and (i) shall be dated the Option Shares Delivery Date in question, (ii) the opinions called for by paragraphs (c), (d),</w:t>
      </w:r>
    </w:p>
    <w:p>
      <w:pPr>
        <w:ind w:right="400" w:firstLine="8"/>
        <w:spacing w:after="0" w:line="261" w:lineRule="auto"/>
        <w:tabs>
          <w:tab w:leader="none" w:pos="2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and (f), as applicable, shall be revised to reflect the sale of Option Shares and (iii) any references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to the Initial Delivery Date shall be deemed to be such Option Shares Delivery Date.</w:t>
      </w:r>
    </w:p>
    <w:p>
      <w:pPr>
        <w:spacing w:after="0" w:line="184"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w:t>
      </w:r>
    </w:p>
    <w:p>
      <w:pPr>
        <w:spacing w:after="0" w:line="188" w:lineRule="exact"/>
        <w:rPr>
          <w:sz w:val="20"/>
          <w:szCs w:val="20"/>
          <w:color w:val="auto"/>
        </w:rPr>
      </w:pPr>
    </w:p>
    <w:p>
      <w:pPr>
        <w:ind w:right="20" w:firstLine="1305"/>
        <w:spacing w:after="0" w:line="268" w:lineRule="auto"/>
        <w:tabs>
          <w:tab w:leader="none" w:pos="194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Shares; (iii) the preparation, printing, authentication, issuance and delivery of certificates for the Shares, including any stamp taxes in connection with the original issuance and sale of the Shares; (iv) the printing (or reproduction) and delivery of this Agreement, the preliminary and supplemental Blue Sky Memoranda, and all other agreements or documents printed (or reproduced) and delivered in connection with the offering of the Shares; (v) the registration of the Class A Shares under the Exchange Act and the listing of the Shares on the NYSE and any applicable listing or other similar fees; (vi) the registration or qualification of the Shares for offer and sale under the securities or Blue Sky laws of the several states as provided in </w:t>
      </w:r>
      <w:r>
        <w:rPr>
          <w:rFonts w:ascii="Arial" w:cs="Arial" w:eastAsia="Arial" w:hAnsi="Arial"/>
          <w:sz w:val="17"/>
          <w:szCs w:val="17"/>
          <w:u w:val="single" w:color="auto"/>
          <w:color w:val="auto"/>
        </w:rPr>
        <w:t>Section 5(f)</w:t>
      </w:r>
      <w:r>
        <w:rPr>
          <w:rFonts w:ascii="Arial" w:cs="Arial" w:eastAsia="Arial" w:hAnsi="Arial"/>
          <w:sz w:val="17"/>
          <w:szCs w:val="17"/>
          <w:color w:val="auto"/>
        </w:rPr>
        <w:t xml:space="preserve">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the General Partner or the Partnership in connection with presentations to prospective purchasers of the Shares; and (ix) the fees and expenses of the Partnership’s accountants and the fees and expenses of counsel (including local and special counsel) for the Partnership.</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It is understood, however, that except as otherwise provided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hereof, the Underwriters will pay all of their own costs and expenses, including the fees of their counsel, transfer taxes on any resale of the Shares by any Underwriter, any advertising expenses connected with any offers they may make and the transportation and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expenses incurred by the Underwriters on their own behalf in connection with presentations to prospective purchasers of the Shares.</w:t>
      </w:r>
    </w:p>
    <w:p>
      <w:pPr>
        <w:spacing w:after="0" w:line="225" w:lineRule="exact"/>
        <w:rPr>
          <w:sz w:val="20"/>
          <w:szCs w:val="20"/>
          <w:color w:val="auto"/>
        </w:rPr>
      </w:pPr>
    </w:p>
    <w:p>
      <w:pPr>
        <w:ind w:firstLine="1305"/>
        <w:spacing w:after="0" w:line="283" w:lineRule="auto"/>
        <w:tabs>
          <w:tab w:leader="none" w:pos="194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If any one or more of the Underwriters shall fail or refuse to purchase the Shares that it or they are obligated to purchase hereunder on the Initial Delivery Date, and the aggregate number of Shares that such defaulting Underwriter or Underwriters are obligated but fail or refuse to purchase is not more than one-tenth of the aggregate number of the Shares that the Underwriters are obligated to purchase on the Initial Delivery Date, each non-defaulting Underwriter shall be obligated, severally, (i) in the proportion that the number of Firm Shares set forth opposite its name in Schedule I hereto bears to the aggregate number of Firm Shares set forth opposite the names of all non-defaulting Underwriters or (ii) in such other proportion as the Representative may specify in accordance with the Agreement Among Underwriters of Citigroup Global Markets Inc., to purchase the Shares that such defaulting Underwriter or Underwriters are obligated, but fail or refuse, to purchase. If any one or more of the Underwriters shall fail or refuse to purchase Shares that it or they are obligated to purchase on the Initial Delivery Date and the aggregate number of Shares with respect to which such default occurs is more than one-tenth of the aggregate number of Shares that the Underwriters are obligated to purchase on the Initial Delivery Date and arrangements satisfactory to the Representative and the Partnership for the purchase of such Shares by one or more non-defaulting Underwriters or other party or parties approved by the Representative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 or the Partnership shall have the right to postpone the Initial Delivery Date, but in no event for longer than seven days, in order that the required changes, if any, in the Registration Statement and the Prospectus or any other</w:t>
      </w:r>
    </w:p>
    <w:p>
      <w:pPr>
        <w:spacing w:after="0" w:line="2" w:lineRule="exact"/>
        <w:rPr>
          <w:rFonts w:ascii="Arial" w:cs="Arial" w:eastAsia="Arial" w:hAnsi="Arial"/>
          <w:sz w:val="16"/>
          <w:szCs w:val="16"/>
          <w:color w:val="auto"/>
        </w:rPr>
      </w:pPr>
    </w:p>
    <w:p>
      <w:pPr>
        <w:ind w:right="20"/>
        <w:spacing w:after="0" w:line="295" w:lineRule="auto"/>
        <w:rPr>
          <w:rFonts w:ascii="Arial" w:cs="Arial" w:eastAsia="Arial" w:hAnsi="Arial"/>
          <w:sz w:val="16"/>
          <w:szCs w:val="16"/>
          <w:color w:val="auto"/>
        </w:rPr>
      </w:pPr>
      <w:r>
        <w:rPr>
          <w:rFonts w:ascii="Arial" w:cs="Arial" w:eastAsia="Arial" w:hAnsi="Arial"/>
          <w:sz w:val="16"/>
          <w:szCs w:val="16"/>
          <w:color w:val="auto"/>
        </w:rPr>
        <w:t>documents or arrangements may be effected. If any one or more of the Underwriters shall fail or refuse to purchase Option Shares that it or they are obligated to purchase hereunder on the Option Shares Delivery Date, each non-defaulting Underwriter shall be obligated, severally, (i) in the proportion that the number of Firm Shares set forth opposite its name in Schedule I hereto bears to the aggregate number of Firm Shares set forth opposite the names of all non-defaulting Underwriters or (ii) in such other proportion as the Representative may specify in accordance with the Agreement Among Underwriters of</w:t>
      </w:r>
    </w:p>
    <w:p>
      <w:pPr>
        <w:sectPr>
          <w:pgSz w:w="11900" w:h="16938" w:orient="portrait"/>
          <w:cols w:equalWidth="0" w:num="1">
            <w:col w:w="11420"/>
          </w:cols>
          <w:pgMar w:left="240" w:top="125" w:right="239" w:bottom="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Citigroup Global Markets Inc., to purchase the Option Shares that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Schedule I hereto who, with the Representative’s approval and the approval of the Partnership, purchases Shares that a defaulting Underwriter is obligated, but fails or refuses, to purchase.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Any notice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may be given by telegram, telecopy or telephone but shall be subsequently confirmed by letter.</w:t>
      </w:r>
    </w:p>
    <w:p>
      <w:pPr>
        <w:spacing w:after="0" w:line="225" w:lineRule="exact"/>
        <w:rPr>
          <w:sz w:val="20"/>
          <w:szCs w:val="20"/>
          <w:color w:val="auto"/>
        </w:rPr>
      </w:pPr>
    </w:p>
    <w:p>
      <w:pPr>
        <w:ind w:firstLine="1305"/>
        <w:spacing w:after="0" w:line="264" w:lineRule="auto"/>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shall be subject to termination in the Representative’s absolute discretion, without liability on the part of any Underwriter to the Partnership, by notice to the Partnership, if prior to the Initial Delivery Date or any Option Shares Delivery Date (if different from the Initial Delivery Date and then only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the Option Shares), as the case may be, (i) trading in the Class A Shares shall have been suspended by the Commission or the NYSE or trading in securities generally on the New York Stock Exchange, the NYSE MKT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Shares as contemplated by the Prospectus (exclusive of any amendment or supplement thereto). Notice of such termination may be given to the Partnership by telegram, telecopy or telephone and shall be subsequently confirmed by letter.</w:t>
      </w:r>
    </w:p>
    <w:p>
      <w:pPr>
        <w:spacing w:after="0" w:line="182" w:lineRule="exact"/>
        <w:rPr>
          <w:sz w:val="20"/>
          <w:szCs w:val="20"/>
          <w:color w:val="auto"/>
        </w:rPr>
      </w:pPr>
    </w:p>
    <w:p>
      <w:pPr>
        <w:ind w:right="60" w:firstLine="1305"/>
        <w:spacing w:after="0" w:line="279" w:lineRule="auto"/>
        <w:tabs>
          <w:tab w:leader="none" w:pos="1933"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Notice; Successors</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hereof, all communications hereunder will be in writing and effective only on receipt, and, if sent to the Underwriters, will be mailed, delivered or telefaxed to the Representative at Citigroup Global Markets Inc. 388 Greenwich Street, New York, New York 10013, Attention: General Counsel, Fax: (646) 291-1469; or, if sent to the Partnership, will be mailed, delivered or telefaxed to (713) 646-4313 and confirmed to it at 333 Clay St., Suite 1600, Houston, Texas 77002, Attention: General Counsel.</w:t>
      </w:r>
    </w:p>
    <w:p>
      <w:pPr>
        <w:spacing w:after="0" w:line="171"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 xml:space="preserve">This Agreement has been and is made solely for the benefit of the several Underwriters and their directors, officers, employees, agents and other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and the Partnership and the General Partner’s directors and officers who sign the Registration Statement, and other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Shares in his status as such purchaser.</w:t>
      </w:r>
    </w:p>
    <w:p>
      <w:pPr>
        <w:spacing w:after="0" w:line="158" w:lineRule="exact"/>
        <w:rPr>
          <w:sz w:val="20"/>
          <w:szCs w:val="20"/>
          <w:color w:val="auto"/>
        </w:rPr>
      </w:pPr>
    </w:p>
    <w:p>
      <w:pPr>
        <w:ind w:right="60" w:firstLine="1305"/>
        <w:spacing w:after="0" w:line="276" w:lineRule="auto"/>
        <w:tabs>
          <w:tab w:leader="none" w:pos="194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Information Furnished by the Underwriters</w:t>
      </w:r>
      <w:r>
        <w:rPr>
          <w:rFonts w:ascii="Arial" w:cs="Arial" w:eastAsia="Arial" w:hAnsi="Arial"/>
          <w:sz w:val="17"/>
          <w:szCs w:val="17"/>
          <w:color w:val="auto"/>
        </w:rPr>
        <w:t xml:space="preserve">. The Partnership acknowledges that the following statements set forth in the most recent Preliminary Prospectus and the Prospectus constitute the only information furnished by or on behalf of the Underwriters through the Representative as such information is referred to in </w:t>
      </w:r>
      <w:r>
        <w:rPr>
          <w:rFonts w:ascii="Arial" w:cs="Arial" w:eastAsia="Arial" w:hAnsi="Arial"/>
          <w:sz w:val="17"/>
          <w:szCs w:val="17"/>
          <w:u w:val="single" w:color="auto"/>
          <w:color w:val="auto"/>
        </w:rPr>
        <w:t>Sections 1(c)</w:t>
      </w:r>
      <w:r>
        <w:rPr>
          <w:rFonts w:ascii="Arial" w:cs="Arial" w:eastAsia="Arial" w:hAnsi="Arial"/>
          <w:sz w:val="17"/>
          <w:szCs w:val="17"/>
          <w:color w:val="auto"/>
        </w:rPr>
        <w:t xml:space="preserve">, </w:t>
      </w:r>
      <w:r>
        <w:rPr>
          <w:rFonts w:ascii="Arial" w:cs="Arial" w:eastAsia="Arial" w:hAnsi="Arial"/>
          <w:sz w:val="17"/>
          <w:szCs w:val="17"/>
          <w:u w:val="single" w:color="auto"/>
          <w:color w:val="auto"/>
        </w:rPr>
        <w:t>1(d)</w:t>
      </w:r>
      <w:r>
        <w:rPr>
          <w:rFonts w:ascii="Arial" w:cs="Arial" w:eastAsia="Arial" w:hAnsi="Arial"/>
          <w:sz w:val="17"/>
          <w:szCs w:val="17"/>
          <w:color w:val="auto"/>
        </w:rPr>
        <w:t xml:space="preserve">, </w:t>
      </w:r>
      <w:r>
        <w:rPr>
          <w:rFonts w:ascii="Arial" w:cs="Arial" w:eastAsia="Arial" w:hAnsi="Arial"/>
          <w:sz w:val="17"/>
          <w:szCs w:val="17"/>
          <w:u w:val="single" w:color="auto"/>
          <w:color w:val="auto"/>
        </w:rPr>
        <w:t>1(f)</w:t>
      </w:r>
      <w:r>
        <w:rPr>
          <w:rFonts w:ascii="Arial" w:cs="Arial" w:eastAsia="Arial" w:hAnsi="Arial"/>
          <w:sz w:val="17"/>
          <w:szCs w:val="17"/>
          <w:color w:val="auto"/>
        </w:rPr>
        <w:t xml:space="preserve">, </w:t>
      </w:r>
      <w:r>
        <w:rPr>
          <w:rFonts w:ascii="Arial" w:cs="Arial" w:eastAsia="Arial" w:hAnsi="Arial"/>
          <w:sz w:val="17"/>
          <w:szCs w:val="17"/>
          <w:u w:val="single" w:color="auto"/>
          <w:color w:val="auto"/>
        </w:rPr>
        <w:t>1(g)</w:t>
      </w:r>
      <w:r>
        <w:rPr>
          <w:rFonts w:ascii="Arial" w:cs="Arial" w:eastAsia="Arial" w:hAnsi="Arial"/>
          <w:sz w:val="17"/>
          <w:szCs w:val="17"/>
          <w:color w:val="auto"/>
        </w:rPr>
        <w:t xml:space="preserve">, </w:t>
      </w:r>
      <w:r>
        <w:rPr>
          <w:rFonts w:ascii="Arial" w:cs="Arial" w:eastAsia="Arial" w:hAnsi="Arial"/>
          <w:sz w:val="17"/>
          <w:szCs w:val="17"/>
          <w:u w:val="single" w:color="auto"/>
          <w:color w:val="auto"/>
        </w:rPr>
        <w:t>5(q)</w:t>
      </w:r>
      <w:r>
        <w:rPr>
          <w:rFonts w:ascii="Arial" w:cs="Arial" w:eastAsia="Arial" w:hAnsi="Arial"/>
          <w:sz w:val="17"/>
          <w:szCs w:val="17"/>
          <w:color w:val="auto"/>
        </w:rPr>
        <w:t xml:space="preserve">, </w:t>
      </w:r>
      <w:r>
        <w:rPr>
          <w:rFonts w:ascii="Arial" w:cs="Arial" w:eastAsia="Arial" w:hAnsi="Arial"/>
          <w:sz w:val="17"/>
          <w:szCs w:val="17"/>
          <w:u w:val="single" w:color="auto"/>
          <w:color w:val="auto"/>
        </w:rPr>
        <w:t>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6(c)</w:t>
      </w:r>
      <w:r>
        <w:rPr>
          <w:rFonts w:ascii="Arial" w:cs="Arial" w:eastAsia="Arial" w:hAnsi="Arial"/>
          <w:sz w:val="17"/>
          <w:szCs w:val="17"/>
          <w:color w:val="auto"/>
        </w:rPr>
        <w:t xml:space="preserve"> hereof: (A) the names of the Underwriters, (B) the table under the first paragraph under the heading “Underwriting,” (C) the second paragraph under the heading “Underwriting—Commissions and Expenses” related to concessions and (D) the paragraphs under the heading “Underwriting—Price Stabilizations, Short Positions and Penalty Bids.”</w:t>
      </w:r>
    </w:p>
    <w:p>
      <w:pPr>
        <w:spacing w:after="0" w:line="172" w:lineRule="exact"/>
        <w:rPr>
          <w:rFonts w:ascii="Arial" w:cs="Arial" w:eastAsia="Arial" w:hAnsi="Arial"/>
          <w:sz w:val="17"/>
          <w:szCs w:val="17"/>
          <w:color w:val="auto"/>
        </w:rPr>
      </w:pPr>
    </w:p>
    <w:p>
      <w:pPr>
        <w:ind w:right="20" w:firstLine="1305"/>
        <w:spacing w:after="0" w:line="279" w:lineRule="auto"/>
        <w:tabs>
          <w:tab w:leader="none" w:pos="194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Research Analyst Independence</w:t>
      </w:r>
      <w:r>
        <w:rPr>
          <w:rFonts w:ascii="Arial" w:cs="Arial" w:eastAsia="Arial" w:hAnsi="Arial"/>
          <w:sz w:val="17"/>
          <w:szCs w:val="17"/>
          <w:color w:val="auto"/>
        </w:rPr>
        <w:t>. The Partnership acknowledges that the Underwriters’ research analysts and research departments are required to be independent from their respective investment banking divisions and are subject to certain regulations and internal policies, and that the Underwriters’ research analysts may hold views and make statements or investment recommendations and/or publish research reports with respect to the Partnership and/or the offering that differ from the views of their respective investment banking divisions.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by such Underwriter’s investment 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8" w:lineRule="exact"/>
        <w:rPr>
          <w:sz w:val="20"/>
          <w:szCs w:val="20"/>
          <w:color w:val="auto"/>
        </w:rPr>
      </w:pPr>
    </w:p>
    <w:p>
      <w:pPr>
        <w:ind w:right="20" w:firstLine="1305"/>
        <w:spacing w:after="0" w:line="277" w:lineRule="auto"/>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Partnership and the Underwriters, or any Underwriter, with respect to the subject matter hereof.</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Effective Date of Agreement</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rFonts w:ascii="Arial" w:cs="Arial" w:eastAsia="Arial" w:hAnsi="Arial"/>
          <w:sz w:val="16"/>
          <w:szCs w:val="16"/>
          <w:color w:val="auto"/>
        </w:rPr>
      </w:pPr>
    </w:p>
    <w:p>
      <w:pPr>
        <w:ind w:right="40" w:firstLine="1305"/>
        <w:spacing w:after="0" w:line="289" w:lineRule="auto"/>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Partnership acknowledges and agrees that in connection with this offering and sale of the Shares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and any other person, on the one hand, and the Underwriters, on the other hand, exists; (ii) the Underwriters are not acting as advisors, expert or otherwise, to the Partnership, including, without limitation, with respect to the determination of the public offering price of the Shares, and such relationship between the Partnership, on the one hand, and the Underwriters, on the other, is entirely and solely commercial, based on arms-length negotiations; (iii) any duties and obligations that the Underwriters may have to the Partnership shall be limited to those duties and obligations specifically stated herein; and (iv) the Underwriters and their respective affiliates may have interests that differ from those of the Partnership. The Partnership hereby waives any claims that it may have against the Underwriters with respect to any breach of fiduciary duty in connection with this offering.</w:t>
      </w:r>
    </w:p>
    <w:p>
      <w:pPr>
        <w:sectPr>
          <w:pgSz w:w="11900" w:h="16838" w:orient="portrait"/>
          <w:cols w:equalWidth="0" w:num="1">
            <w:col w:w="11400"/>
          </w:cols>
          <w:pgMar w:left="240" w:top="125" w:right="259" w:bottom="0" w:gutter="0" w:footer="0" w:header="0"/>
        </w:sectPr>
      </w:pPr>
    </w:p>
    <w:bookmarkStart w:id="20" w:name="page21"/>
    <w:bookmarkEnd w:id="20"/>
    <w:p>
      <w:pPr>
        <w:ind w:right="240" w:firstLine="1305"/>
        <w:spacing w:after="0" w:line="259" w:lineRule="auto"/>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confirm that the foregoing correctly sets forth the agreement among the Partnership and the Underwriters.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Chris Herbold</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30099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3" w:lineRule="exact"/>
        <w:rPr>
          <w:sz w:val="20"/>
          <w:szCs w:val="20"/>
          <w:color w:val="auto"/>
        </w:rPr>
      </w:pPr>
    </w:p>
    <w:p>
      <w:pPr>
        <w:jc w:val="right"/>
        <w:ind w:right="2020"/>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Accounting</w:t>
      </w:r>
    </w:p>
    <w:p>
      <w:pPr>
        <w:spacing w:after="0" w:line="9"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and Chief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CITIGROUP GLOBAL </w:t>
      </w:r>
      <w:r>
        <w:rPr>
          <w:rFonts w:ascii="Arial" w:cs="Arial" w:eastAsia="Arial" w:hAnsi="Arial"/>
          <w:sz w:val="17"/>
          <w:szCs w:val="17"/>
          <w:b w:val="1"/>
          <w:bCs w:val="1"/>
          <w:color w:val="auto"/>
        </w:rPr>
        <w:t>MARKETS INC.</w:t>
      </w:r>
    </w:p>
    <w:p>
      <w:pPr>
        <w:spacing w:after="0" w:line="22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Jamieson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-130810</wp:posOffset>
            </wp:positionV>
            <wp:extent cx="2992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Title:  Co-Head North America Energy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 of the several Underwriters named in 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7620" w:type="dxa"/>
            <w:vAlign w:val="bottom"/>
            <w:gridSpan w:val="4"/>
          </w:tcPr>
          <w:p>
            <w:pPr>
              <w:jc w:val="center"/>
              <w:ind w:right="3800"/>
              <w:spacing w:after="0"/>
              <w:rPr>
                <w:sz w:val="20"/>
                <w:szCs w:val="20"/>
                <w:color w:val="auto"/>
              </w:rPr>
            </w:pPr>
            <w:r>
              <w:rPr>
                <w:rFonts w:ascii="Arial" w:cs="Arial" w:eastAsia="Arial" w:hAnsi="Arial"/>
                <w:sz w:val="18"/>
                <w:szCs w:val="18"/>
                <w:color w:val="auto"/>
                <w:w w:val="90"/>
              </w:rPr>
              <w:t>Plains GP Holdings, L.P.</w:t>
            </w:r>
          </w:p>
        </w:tc>
        <w:tc>
          <w:tcPr>
            <w:tcW w:w="0" w:type="dxa"/>
            <w:vAlign w:val="bottom"/>
          </w:tcPr>
          <w:p>
            <w:pPr>
              <w:spacing w:after="0"/>
              <w:rPr>
                <w:sz w:val="1"/>
                <w:szCs w:val="1"/>
                <w:color w:val="auto"/>
              </w:rPr>
            </w:pPr>
          </w:p>
        </w:tc>
      </w:tr>
      <w:tr>
        <w:trPr>
          <w:trHeight w:val="342"/>
        </w:trPr>
        <w:tc>
          <w:tcPr>
            <w:tcW w:w="38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38,017,241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BBVA Securities Inc.</w:t>
            </w:r>
          </w:p>
        </w:tc>
        <w:tc>
          <w:tcPr>
            <w:tcW w:w="7620" w:type="dxa"/>
            <w:vAlign w:val="bottom"/>
            <w:gridSpan w:val="4"/>
          </w:tcPr>
          <w:p>
            <w:pPr>
              <w:jc w:val="right"/>
              <w:ind w:right="100"/>
              <w:spacing w:after="0"/>
              <w:rPr>
                <w:sz w:val="20"/>
                <w:szCs w:val="20"/>
                <w:color w:val="auto"/>
              </w:rPr>
            </w:pPr>
            <w:r>
              <w:rPr>
                <w:rFonts w:ascii="Arial" w:cs="Arial" w:eastAsia="Arial" w:hAnsi="Arial"/>
                <w:sz w:val="18"/>
                <w:szCs w:val="18"/>
                <w:color w:val="auto"/>
              </w:rPr>
              <w:t>853,448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7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426,724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7620" w:type="dxa"/>
            <w:vAlign w:val="bottom"/>
            <w:gridSpan w:val="4"/>
          </w:tcPr>
          <w:p>
            <w:pPr>
              <w:jc w:val="right"/>
              <w:ind w:right="100"/>
              <w:spacing w:after="0"/>
              <w:rPr>
                <w:sz w:val="20"/>
                <w:szCs w:val="20"/>
                <w:color w:val="auto"/>
              </w:rPr>
            </w:pPr>
            <w:r>
              <w:rPr>
                <w:rFonts w:ascii="Arial" w:cs="Arial" w:eastAsia="Arial" w:hAnsi="Arial"/>
                <w:sz w:val="18"/>
                <w:szCs w:val="18"/>
                <w:color w:val="auto"/>
              </w:rPr>
              <w:t>426,724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7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426,724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SunTrust Robinson Humphrey, Inc.</w:t>
            </w:r>
          </w:p>
        </w:tc>
        <w:tc>
          <w:tcPr>
            <w:tcW w:w="7620" w:type="dxa"/>
            <w:vAlign w:val="bottom"/>
            <w:gridSpan w:val="4"/>
          </w:tcPr>
          <w:p>
            <w:pPr>
              <w:jc w:val="right"/>
              <w:ind w:right="100"/>
              <w:spacing w:after="0"/>
              <w:rPr>
                <w:sz w:val="20"/>
                <w:szCs w:val="20"/>
                <w:color w:val="auto"/>
              </w:rPr>
            </w:pPr>
            <w:r>
              <w:rPr>
                <w:rFonts w:ascii="Arial" w:cs="Arial" w:eastAsia="Arial" w:hAnsi="Arial"/>
                <w:sz w:val="18"/>
                <w:szCs w:val="18"/>
                <w:color w:val="auto"/>
              </w:rPr>
              <w:t>426,724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7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284,483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Fifth Third Securities, Inc.</w:t>
            </w:r>
          </w:p>
        </w:tc>
        <w:tc>
          <w:tcPr>
            <w:tcW w:w="7620" w:type="dxa"/>
            <w:vAlign w:val="bottom"/>
            <w:gridSpan w:val="4"/>
          </w:tcPr>
          <w:p>
            <w:pPr>
              <w:jc w:val="right"/>
              <w:ind w:right="100"/>
              <w:spacing w:after="0"/>
              <w:rPr>
                <w:sz w:val="20"/>
                <w:szCs w:val="20"/>
                <w:color w:val="auto"/>
              </w:rPr>
            </w:pPr>
            <w:r>
              <w:rPr>
                <w:rFonts w:ascii="Arial" w:cs="Arial" w:eastAsia="Arial" w:hAnsi="Arial"/>
                <w:sz w:val="18"/>
                <w:szCs w:val="18"/>
                <w:color w:val="auto"/>
              </w:rPr>
              <w:t>284,483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7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284,483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7620" w:type="dxa"/>
            <w:vAlign w:val="bottom"/>
            <w:gridSpan w:val="4"/>
          </w:tcPr>
          <w:p>
            <w:pPr>
              <w:jc w:val="right"/>
              <w:ind w:right="100"/>
              <w:spacing w:after="0"/>
              <w:rPr>
                <w:sz w:val="20"/>
                <w:szCs w:val="20"/>
                <w:color w:val="auto"/>
              </w:rPr>
            </w:pPr>
            <w:r>
              <w:rPr>
                <w:rFonts w:ascii="Arial" w:cs="Arial" w:eastAsia="Arial" w:hAnsi="Arial"/>
                <w:sz w:val="18"/>
                <w:szCs w:val="18"/>
                <w:color w:val="auto"/>
              </w:rPr>
              <w:t>284,483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7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284,483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49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vMerge w:val="continue"/>
          </w:tcPr>
          <w:p>
            <w:pPr>
              <w:spacing w:after="0"/>
              <w:rPr>
                <w:sz w:val="18"/>
                <w:szCs w:val="18"/>
                <w:color w:val="auto"/>
              </w:rPr>
            </w:pPr>
          </w:p>
        </w:tc>
        <w:tc>
          <w:tcPr>
            <w:tcW w:w="49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42,000,000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Pricing Disclosure Package</w:t>
      </w:r>
    </w:p>
    <w:p>
      <w:pPr>
        <w:sectPr>
          <w:pgSz w:w="11900" w:h="16838" w:orient="portrait"/>
          <w:cols w:equalWidth="0" w:num="1">
            <w:col w:w="11420"/>
          </w:cols>
          <w:pgMar w:left="240" w:top="125" w:right="239" w:bottom="0" w:gutter="0" w:footer="0" w:header="0"/>
        </w:sectPr>
      </w:pPr>
    </w:p>
    <w:bookmarkStart w:id="21" w:name="page22"/>
    <w:bookmarkEnd w:id="2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for the Shares: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Applicable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42,000,000 Firm Shares or, if the Underwriters exercise in full their option to purchase additional Shares granted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48,300,000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Variable price reoffering.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7:10 p.m., New York City time, on February 23, 2017.</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2580" w:space="640"/>
            <w:col w:w="8200"/>
          </w:cols>
          <w:pgMar w:left="240" w:top="3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540" w:type="dxa"/>
            <w:vAlign w:val="bottom"/>
            <w:gridSpan w:val="3"/>
          </w:tcPr>
          <w:p>
            <w:pPr>
              <w:ind w:left="136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Pr>
          <w:p>
            <w:pPr>
              <w:ind w:left="1440"/>
              <w:spacing w:after="0"/>
              <w:rPr>
                <w:sz w:val="20"/>
                <w:szCs w:val="20"/>
                <w:color w:val="auto"/>
              </w:rPr>
            </w:pPr>
            <w:r>
              <w:rPr>
                <w:rFonts w:ascii="Arial" w:cs="Arial" w:eastAsia="Arial" w:hAnsi="Arial"/>
                <w:sz w:val="14"/>
                <w:szCs w:val="14"/>
                <w:b w:val="1"/>
                <w:bCs w:val="1"/>
                <w:color w:val="auto"/>
              </w:rPr>
              <w:t>Jurisdiction in which registered or qualified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PAA GP LLC</w:t>
            </w:r>
          </w:p>
        </w:tc>
        <w:tc>
          <w:tcPr>
            <w:tcW w:w="17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PAA GP Holdings LLC</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17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17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California, Illinois, Louisiana, Oklahoma, 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Pipeline, L.P.</w:t>
            </w:r>
          </w:p>
        </w:tc>
        <w:tc>
          <w:tcPr>
            <w:tcW w:w="17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Plains GP Holdings, L.P.</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17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 Illinois, Oklahoma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Plains Marketing, L.P.</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California, Illinois, Louisiana, Oklahoma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Plains Midstream Canada ULC</w:t>
            </w:r>
          </w:p>
        </w:tc>
        <w:tc>
          <w:tcPr>
            <w:tcW w:w="17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Alberta, Manitoba, New Brunswick, Nova Scotia, Ontario, Quebec,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Saskatchewan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Plains Pipeline, L.P.</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California, Illinois, Louisiana, Oklahoma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17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174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84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Rocky Mountain Pipeline System LLC</w:t>
            </w:r>
          </w:p>
        </w:tc>
        <w:tc>
          <w:tcPr>
            <w:tcW w:w="840" w:type="dxa"/>
            <w:vAlign w:val="bottom"/>
          </w:tcPr>
          <w:p>
            <w:pPr>
              <w:spacing w:after="0"/>
              <w:rPr>
                <w:sz w:val="18"/>
                <w:szCs w:val="18"/>
                <w:color w:val="auto"/>
              </w:rPr>
            </w:pPr>
          </w:p>
        </w:tc>
        <w:tc>
          <w:tcPr>
            <w:tcW w:w="6920" w:type="dxa"/>
            <w:vAlign w:val="bottom"/>
            <w:gridSpan w:val="2"/>
          </w:tcPr>
          <w:p>
            <w:pPr>
              <w:ind w:left="1340"/>
              <w:spacing w:after="0"/>
              <w:rPr>
                <w:sz w:val="20"/>
                <w:szCs w:val="20"/>
                <w:color w:val="auto"/>
              </w:rPr>
            </w:pPr>
            <w:r>
              <w:rPr>
                <w:rFonts w:ascii="Arial" w:cs="Arial" w:eastAsia="Arial" w:hAnsi="Arial"/>
                <w:sz w:val="18"/>
                <w:szCs w:val="18"/>
                <w:color w:val="auto"/>
              </w:rPr>
              <w:t>Utah</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84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Alabama, Mississippi</w:t>
            </w:r>
          </w:p>
        </w:tc>
        <w:tc>
          <w:tcPr>
            <w:tcW w:w="40" w:type="dxa"/>
            <w:vAlign w:val="bottom"/>
          </w:tcPr>
          <w:p>
            <w:pPr>
              <w:spacing w:after="0"/>
              <w:rPr>
                <w:sz w:val="18"/>
                <w:szCs w:val="18"/>
                <w:color w:val="auto"/>
              </w:rPr>
            </w:pPr>
          </w:p>
        </w:tc>
      </w:tr>
      <w:tr>
        <w:trPr>
          <w:trHeight w:val="432"/>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20" w:type="dxa"/>
            <w:vAlign w:val="bottom"/>
            <w:gridSpan w:val="2"/>
          </w:tcPr>
          <w:p>
            <w:pPr>
              <w:jc w:val="center"/>
              <w:ind w:right="4500"/>
              <w:spacing w:after="0"/>
              <w:rPr>
                <w:sz w:val="20"/>
                <w:szCs w:val="20"/>
                <w:color w:val="auto"/>
              </w:rPr>
            </w:pPr>
            <w:r>
              <w:rPr>
                <w:rFonts w:ascii="Arial" w:cs="Arial" w:eastAsia="Arial" w:hAnsi="Arial"/>
                <w:sz w:val="18"/>
                <w:szCs w:val="18"/>
                <w:color w:val="auto"/>
                <w:w w:val="98"/>
              </w:rPr>
              <w:t>Exhibit A-1</w:t>
            </w: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20" w:type="dxa"/>
            <w:vAlign w:val="bottom"/>
            <w:gridSpan w:val="2"/>
          </w:tcPr>
          <w:p>
            <w:pPr>
              <w:jc w:val="center"/>
              <w:ind w:right="4500"/>
              <w:spacing w:after="0"/>
              <w:rPr>
                <w:sz w:val="20"/>
                <w:szCs w:val="20"/>
                <w:color w:val="auto"/>
              </w:rPr>
            </w:pPr>
            <w:r>
              <w:rPr>
                <w:rFonts w:ascii="Arial" w:cs="Arial" w:eastAsia="Arial" w:hAnsi="Arial"/>
                <w:sz w:val="18"/>
                <w:szCs w:val="18"/>
                <w:b w:val="1"/>
                <w:bCs w:val="1"/>
                <w:color w:val="auto"/>
              </w:rPr>
              <w:t>EXHIBIT B</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20" w:type="dxa"/>
            <w:vAlign w:val="bottom"/>
            <w:gridSpan w:val="2"/>
          </w:tcPr>
          <w:p>
            <w:pPr>
              <w:jc w:val="center"/>
              <w:ind w:right="4480"/>
              <w:spacing w:after="0"/>
              <w:rPr>
                <w:sz w:val="20"/>
                <w:szCs w:val="20"/>
                <w:color w:val="auto"/>
              </w:rPr>
            </w:pPr>
            <w:r>
              <w:rPr>
                <w:rFonts w:ascii="Arial" w:cs="Arial" w:eastAsia="Arial" w:hAnsi="Arial"/>
                <w:sz w:val="18"/>
                <w:szCs w:val="18"/>
                <w:color w:val="auto"/>
                <w:w w:val="89"/>
              </w:rPr>
              <w:t>February 23, 2017</w:t>
            </w:r>
          </w:p>
        </w:tc>
        <w:tc>
          <w:tcPr>
            <w:tcW w:w="4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20" w:type="dxa"/>
            <w:vAlign w:val="bottom"/>
            <w:gridSpan w:val="2"/>
          </w:tcPr>
          <w:p>
            <w:pPr>
              <w:jc w:val="center"/>
              <w:ind w:right="4500"/>
              <w:spacing w:after="0"/>
              <w:rPr>
                <w:sz w:val="20"/>
                <w:szCs w:val="20"/>
                <w:color w:val="auto"/>
              </w:rPr>
            </w:pPr>
            <w:r>
              <w:rPr>
                <w:rFonts w:ascii="Arial" w:cs="Arial" w:eastAsia="Arial" w:hAnsi="Arial"/>
                <w:sz w:val="18"/>
                <w:szCs w:val="18"/>
                <w:color w:val="auto"/>
                <w:w w:val="90"/>
              </w:rPr>
              <w:t>Plains GP Holdings, L.P.</w:t>
            </w:r>
          </w:p>
        </w:tc>
        <w:tc>
          <w:tcPr>
            <w:tcW w:w="4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7760" w:type="dxa"/>
            <w:vAlign w:val="bottom"/>
            <w:gridSpan w:val="3"/>
          </w:tcPr>
          <w:p>
            <w:pPr>
              <w:jc w:val="center"/>
              <w:ind w:right="3640"/>
              <w:spacing w:after="0" w:line="190" w:lineRule="exact"/>
              <w:rPr>
                <w:sz w:val="20"/>
                <w:szCs w:val="20"/>
                <w:color w:val="auto"/>
              </w:rPr>
            </w:pPr>
            <w:r>
              <w:rPr>
                <w:rFonts w:ascii="Arial" w:cs="Arial" w:eastAsia="Arial" w:hAnsi="Arial"/>
                <w:sz w:val="18"/>
                <w:szCs w:val="18"/>
                <w:color w:val="auto"/>
                <w:w w:val="91"/>
              </w:rPr>
              <w:t>Public Offering of Class A Shares</w:t>
            </w:r>
          </w:p>
        </w:tc>
        <w:tc>
          <w:tcPr>
            <w:tcW w:w="40" w:type="dxa"/>
            <w:vAlign w:val="bottom"/>
          </w:tcPr>
          <w:p>
            <w:pPr>
              <w:spacing w:after="0"/>
              <w:rPr>
                <w:sz w:val="16"/>
                <w:szCs w:val="16"/>
                <w:color w:val="auto"/>
              </w:rPr>
            </w:pPr>
          </w:p>
        </w:tc>
      </w:tr>
      <w:tr>
        <w:trPr>
          <w:trHeight w:val="438"/>
        </w:trPr>
        <w:tc>
          <w:tcPr>
            <w:tcW w:w="36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84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388 Greenwich Street</w:t>
            </w:r>
          </w:p>
        </w:tc>
        <w:tc>
          <w:tcPr>
            <w:tcW w:w="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New York, New York 10013</w:t>
            </w: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Ladies and Gentlemen:</w:t>
            </w: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This letter is being delivered to you in connection with the proposed Underwriting Agreement (the “Underwriting Agreement”) between Plains GP Holdings, L.P., a Delaware limited partnership (the “Partnership”) and Citigroup Global Markets Inc. and any other party thereto named therein as an underwriter (the “Underwriters”) relating to an underwritten public offering of Class A shares representing limited partner interests of the Partnership.</w:t>
      </w:r>
    </w:p>
    <w:p>
      <w:pPr>
        <w:spacing w:after="0" w:line="147"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 xml:space="preserve">To induce you and the other underwriters to enter into the Underwriting Agreement, the undersigned agrees that, except for transfers of Class A Shares and PAA Common Units (each as defined in the Underwriting Agreement) in connection with (i) sales to pay tax liabilities associated with the vesting of restricted shares or phantom share awards under the Partnership’s or PAA’s long-term incentive plans or (ii) gifts or charitable donations,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Class A Shares, PAA Common Units or any securities that are convertible into, or exercisable or exchangeable for, or that represent the right to receive, Class A Shares, PAA Common Units or any securities that are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Class A Shares or PAA Common Unis, or publicly announce an intention to effect any such transaction, for a period of 60 days after the date of the Prospectus (as defined in the Underwriting Agreement) (the “Lock-Up Period”) without the prior written consent of Citigroup Global Markets Inc.</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If for any reason the Underwriting Agreement is terminated before the applicable Delivery Date (as defined in the Underwriting Agreement), the agreement set forth above shall likewise be terminated.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 of Parties to Execute Lock 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Oxy Holding Company (Pipeline),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EMG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KAFU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KAFU Holdings (QP),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KAFU Holdings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Lynx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N. Pefanis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Willie Chiang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K. McGee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J. Nerbonne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Herbold</w:t>
      </w:r>
    </w:p>
    <w:p>
      <w:pPr>
        <w:sectPr>
          <w:pgSz w:w="11900" w:h="16838" w:orient="portrait"/>
          <w:cols w:equalWidth="0" w:num="1">
            <w:col w:w="11460"/>
          </w:cols>
          <w:pgMar w:left="240" w:top="140" w:right="19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John vonBerg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V. Sinnott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Bernard (Ben) Figlock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Everardo Goyanes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Taft Symonds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Bobby S. Shackouls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M. Temple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February 23, 2017</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undersigned, in his capacity as the Chief Financial Officer of PAA GP Holdings LLC, a Delaware limited liability company and the general partner of Plains GP Holdings,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December 31, 2016. In addition, as of the date of this certificate, the total debt of the Partnership is approximately $13.0 billion.</w:t>
      </w:r>
    </w:p>
    <w:p>
      <w:pPr>
        <w:spacing w:after="0" w:line="18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Capitalized terms used but not defined herein have the meanings assigned to them in the Underwriting Agreement dated as of the date hereof by and among the Partnership and Citigroup Global Markets Inc., as representative of the Underwriters named therein (the “Underwriters”).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Shares covered by the Registration Statement, the Pricing Disclosure Package and the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for Plains GP Holdings, L.P., a Delaware limited partnership (the “</w:t>
      </w:r>
      <w:r>
        <w:rPr>
          <w:rFonts w:ascii="Arial" w:cs="Arial" w:eastAsia="Arial" w:hAnsi="Arial"/>
          <w:sz w:val="16"/>
          <w:szCs w:val="16"/>
          <w:b w:val="1"/>
          <w:bCs w:val="1"/>
          <w:u w:val="single" w:color="auto"/>
          <w:color w:val="auto"/>
        </w:rPr>
        <w:t>Partnership</w:t>
      </w:r>
      <w:r>
        <w:rPr>
          <w:rFonts w:ascii="Arial" w:cs="Arial" w:eastAsia="Arial" w:hAnsi="Arial"/>
          <w:sz w:val="16"/>
          <w:szCs w:val="16"/>
          <w:color w:val="auto"/>
        </w:rPr>
        <w:t>”), with respect to certain legal matters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registration by the Partnership with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under the Securities Act of 1933,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of the offer and sale by the Partnership of 48,300,000 Class A shares representing limited partner interests in the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u w:val="single" w:color="auto"/>
          <w:color w:val="auto"/>
        </w:rPr>
        <w:t>Class A Shares</w:t>
      </w:r>
      <w:r>
        <w:rPr>
          <w:rFonts w:ascii="Arial" w:cs="Arial" w:eastAsia="Arial" w:hAnsi="Arial"/>
          <w:sz w:val="16"/>
          <w:szCs w:val="16"/>
          <w:color w:val="auto"/>
        </w:rPr>
        <w:t>”). We have participated in the preparation of a Prospectus Supplement dated as of February 23, 2017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Prospectus dated as of the same date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forming part of the Registration Statement on Form S-3 (No. 333-216194)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to which this opinion is an exhibit. The Prospectus Supplement has been filed pursuant to Rule 424(b) promulgated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0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In rendering the opinion set forth below, we have examined and relied upon (i) the Delaware Revised Uniform Partnership Act (the “</w:t>
      </w:r>
      <w:r>
        <w:rPr>
          <w:rFonts w:ascii="Arial" w:cs="Arial" w:eastAsia="Arial" w:hAnsi="Arial"/>
          <w:sz w:val="16"/>
          <w:szCs w:val="16"/>
          <w:b w:val="1"/>
          <w:bCs w:val="1"/>
          <w:u w:val="single" w:color="auto"/>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(ii) the Registration Statement, the Prospectus Supplement and the Prospectus, (iii) the Second Amended and Restated Agreement of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of the Partnership, dated as of November 15, 2016 (the “</w:t>
      </w:r>
      <w:r>
        <w:rPr>
          <w:rFonts w:ascii="Arial" w:cs="Arial" w:eastAsia="Arial" w:hAnsi="Arial"/>
          <w:sz w:val="16"/>
          <w:szCs w:val="16"/>
          <w:b w:val="1"/>
          <w:bCs w:val="1"/>
          <w:u w:val="single" w:color="auto"/>
          <w:color w:val="auto"/>
        </w:rPr>
        <w:t>Partnership Agreement</w:t>
      </w:r>
      <w:r>
        <w:rPr>
          <w:rFonts w:ascii="Arial" w:cs="Arial" w:eastAsia="Arial" w:hAnsi="Arial"/>
          <w:sz w:val="16"/>
          <w:szCs w:val="16"/>
          <w:color w:val="auto"/>
        </w:rPr>
        <w:t>”), (iv) the Certificate of Limited Partnership of the Partnership filed with the Secretary of State of the State of Delaware pursuant to the Delaware LP Act in connection with the formation of the Partnership, (v) an Underwriting Agreement, dated February 23, 2017 relating to the offering and sale of the Class A Shares (the “</w:t>
      </w:r>
      <w:r>
        <w:rPr>
          <w:rFonts w:ascii="Arial" w:cs="Arial" w:eastAsia="Arial" w:hAnsi="Arial"/>
          <w:sz w:val="16"/>
          <w:szCs w:val="16"/>
          <w:b w:val="1"/>
          <w:bCs w:val="1"/>
          <w:u w:val="single" w:color="auto"/>
          <w:color w:val="auto"/>
        </w:rPr>
        <w:t>Underwriting Agreement</w:t>
      </w:r>
      <w:r>
        <w:rPr>
          <w:rFonts w:ascii="Arial" w:cs="Arial" w:eastAsia="Arial" w:hAnsi="Arial"/>
          <w:sz w:val="16"/>
          <w:szCs w:val="16"/>
          <w:color w:val="auto"/>
        </w:rPr>
        <w:t>”), a copy of which is being filed with the Commission as an exhibit to the Partnership’s Current Report on Form 8-K on or about the date hereof, (vi) copies of certain resolutions duly adopted by the board of directors PAA GP Holdings LLC, A Delaware limited liability company and the general partner of the Partnership (the “</w:t>
      </w:r>
      <w:r>
        <w:rPr>
          <w:rFonts w:ascii="Arial" w:cs="Arial" w:eastAsia="Arial" w:hAnsi="Arial"/>
          <w:sz w:val="16"/>
          <w:szCs w:val="16"/>
          <w:b w:val="1"/>
          <w:bCs w:val="1"/>
          <w:u w:val="single" w:color="auto"/>
          <w:color w:val="auto"/>
        </w:rPr>
        <w:t>General Partner</w:t>
      </w:r>
      <w:r>
        <w:rPr>
          <w:rFonts w:ascii="Arial" w:cs="Arial" w:eastAsia="Arial" w:hAnsi="Arial"/>
          <w:sz w:val="16"/>
          <w:szCs w:val="16"/>
          <w:color w:val="auto"/>
        </w:rPr>
        <w:t>”), approving and authorizing, among other things, the Registration Statement and other matters relating to the offering of the Class A Shares, (vii) copies resolutions duly adopted by the Pricing Committee of the General Partner relating to the offering of the Class A Shares, (viii) the Partnership’s records and documents, (ix) certificates of the Partnership and public officials and (x) such other certificates, statutes and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4880" w:type="dxa"/>
            <w:vAlign w:val="bottom"/>
          </w:tcPr>
          <w:p>
            <w:pPr>
              <w:ind w:left="96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6580" w:type="dxa"/>
            <w:vAlign w:val="bottom"/>
          </w:tcPr>
          <w:p>
            <w:pPr>
              <w:spacing w:after="0"/>
              <w:rPr>
                <w:sz w:val="20"/>
                <w:szCs w:val="20"/>
                <w:color w:val="auto"/>
              </w:rPr>
            </w:pPr>
            <w:r>
              <w:rPr>
                <w:rFonts w:ascii="Arial" w:cs="Arial" w:eastAsia="Arial" w:hAnsi="Arial"/>
                <w:sz w:val="18"/>
                <w:szCs w:val="18"/>
                <w:color w:val="auto"/>
              </w:rPr>
              <w:t>Austin Beijing Dallas Dubai Hong Kong Houston London Moscow New York</w:t>
            </w:r>
          </w:p>
        </w:tc>
        <w:tc>
          <w:tcPr>
            <w:tcW w:w="4880" w:type="dxa"/>
            <w:vAlign w:val="bottom"/>
          </w:tcPr>
          <w:p>
            <w:pPr>
              <w:ind w:left="960"/>
              <w:spacing w:after="0"/>
              <w:rPr>
                <w:sz w:val="20"/>
                <w:szCs w:val="20"/>
                <w:color w:val="auto"/>
              </w:rPr>
            </w:pPr>
            <w:r>
              <w:rPr>
                <w:rFonts w:ascii="Arial" w:cs="Arial" w:eastAsia="Arial" w:hAnsi="Arial"/>
                <w:sz w:val="18"/>
                <w:szCs w:val="18"/>
                <w:color w:val="auto"/>
              </w:rPr>
              <w:t>Houston, TX 77002-6760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Palo Alto Richmond Riyadh San Francisco Taipei Tokyo Washington</w:t>
            </w:r>
          </w:p>
        </w:tc>
        <w:tc>
          <w:tcPr>
            <w:tcW w:w="4880" w:type="dxa"/>
            <w:vAlign w:val="bottom"/>
          </w:tcPr>
          <w:p>
            <w:pPr>
              <w:ind w:left="96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p>
        </w:tc>
      </w:tr>
      <w:tr>
        <w:trPr>
          <w:trHeight w:val="234"/>
        </w:trPr>
        <w:tc>
          <w:tcPr>
            <w:tcW w:w="6580" w:type="dxa"/>
            <w:vAlign w:val="bottom"/>
          </w:tcPr>
          <w:p>
            <w:pPr>
              <w:spacing w:after="0"/>
              <w:rPr>
                <w:sz w:val="20"/>
                <w:szCs w:val="20"/>
                <w:color w:val="auto"/>
              </w:rPr>
            </w:pPr>
          </w:p>
        </w:tc>
        <w:tc>
          <w:tcPr>
            <w:tcW w:w="4880" w:type="dxa"/>
            <w:vAlign w:val="bottom"/>
          </w:tcPr>
          <w:p>
            <w:pPr>
              <w:ind w:left="960"/>
              <w:spacing w:after="0"/>
              <w:rPr>
                <w:sz w:val="20"/>
                <w:szCs w:val="20"/>
                <w:color w:val="auto"/>
              </w:rPr>
            </w:pPr>
            <w:r>
              <w:rPr>
                <w:rFonts w:ascii="Arial" w:cs="Arial" w:eastAsia="Arial" w:hAnsi="Arial"/>
                <w:sz w:val="18"/>
                <w:szCs w:val="18"/>
                <w:b w:val="1"/>
                <w:bCs w:val="1"/>
                <w:color w:val="auto"/>
              </w:rPr>
              <w:t>www.velaw.com</w:t>
            </w:r>
          </w:p>
        </w:tc>
      </w:tr>
      <w:tr>
        <w:trPr>
          <w:trHeight w:val="348"/>
        </w:trPr>
        <w:tc>
          <w:tcPr>
            <w:tcW w:w="658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9500"/>
        <w:spacing w:after="0"/>
        <w:rPr>
          <w:sz w:val="20"/>
          <w:szCs w:val="20"/>
          <w:color w:val="auto"/>
        </w:rPr>
      </w:pPr>
      <w:r>
        <w:rPr>
          <w:rFonts w:ascii="Arial" w:cs="Arial" w:eastAsia="Arial" w:hAnsi="Arial"/>
          <w:sz w:val="18"/>
          <w:szCs w:val="18"/>
          <w:color w:val="auto"/>
        </w:rPr>
        <w:t xml:space="preserve">March 1, 2017 </w:t>
      </w:r>
      <w:r>
        <w:rPr>
          <w:rFonts w:ascii="Arial" w:cs="Arial" w:eastAsia="Arial" w:hAnsi="Arial"/>
          <w:sz w:val="17"/>
          <w:szCs w:val="17"/>
          <w:color w:val="auto"/>
        </w:rPr>
        <w:t>Page</w:t>
      </w:r>
      <w:r>
        <w:rPr>
          <w:rFonts w:ascii="Arial" w:cs="Arial" w:eastAsia="Arial" w:hAnsi="Arial"/>
          <w:sz w:val="18"/>
          <w:szCs w:val="18"/>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751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other instruments and documents as we consider appropriate for purposes of the opinions hereafter expressed.</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Based upon and subject to the foregoing and the assumptions, limitations and qualifications set forth herein, we are of the opinion that the Class A Shares are duly and validly authorized for issuance and, upon payment and delivery of the Class A Shares in accordance with the Underwriting Agreement, the Prospectus Supplement and the Prospectus, will be validly issued, fully paid (to the extent required under the Partnership Agreement) and non-assessable (except as such nonassessability may be affected by Sections 17-303, 17-607 and 17-804 of the Delaware LP 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100" w:firstLine="656"/>
        <w:spacing w:after="0" w:line="257" w:lineRule="auto"/>
        <w:tabs>
          <w:tab w:leader="none" w:pos="1309"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assumed that (i) each document submitted to us for review is accurate and complete, (ii) each such document that is an original is authentic, (iii) each such document that is a copy conforms to an authentic original, (iv) all signatures on each such document are genuine, (v) each certificate from governmental officials reviewed by us is accurate, complete and authentic, and all official public records are accurate and complete and (vi) all Class A Shares will be issued and sold in the manner described in the Prospectus and the Prospectus Supplement, and in accordance with the terms of the Underwriting Agreement.</w:t>
      </w:r>
    </w:p>
    <w:p>
      <w:pPr>
        <w:spacing w:after="0" w:line="188" w:lineRule="exact"/>
        <w:rPr>
          <w:rFonts w:ascii="Arial" w:cs="Arial" w:eastAsia="Arial" w:hAnsi="Arial"/>
          <w:sz w:val="18"/>
          <w:szCs w:val="18"/>
          <w:color w:val="auto"/>
        </w:rPr>
      </w:pPr>
    </w:p>
    <w:p>
      <w:pPr>
        <w:ind w:right="180" w:firstLine="656"/>
        <w:spacing w:after="0" w:line="277" w:lineRule="auto"/>
        <w:tabs>
          <w:tab w:leader="none" w:pos="129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91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for 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a Delaware limited partnership that has elected to be treated as a corporation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federal income tax purposes, with respect to certain legal matters in connection with the preparation of a Prospectus Supplement dated February 23,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the Prospectus with an effective date of February 23, 2017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each forming part of the Registration Statement on Form S-3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Registration Statement relates to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A shares representing limited partner interests in PAGP.</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opinion is based on various facts and assumptions, including factual representations of PAGP concerning its business, properties and governing documents as set forth in the Registration Statement.</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4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4920" w:type="dxa"/>
            <w:vAlign w:val="bottom"/>
          </w:tcPr>
          <w:p>
            <w:pPr>
              <w:ind w:left="90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6540" w:type="dxa"/>
            <w:vAlign w:val="bottom"/>
          </w:tcPr>
          <w:p>
            <w:pPr>
              <w:spacing w:after="0"/>
              <w:rPr>
                <w:sz w:val="20"/>
                <w:szCs w:val="20"/>
                <w:color w:val="auto"/>
              </w:rPr>
            </w:pPr>
            <w:r>
              <w:rPr>
                <w:rFonts w:ascii="Arial" w:cs="Arial" w:eastAsia="Arial" w:hAnsi="Arial"/>
                <w:sz w:val="18"/>
                <w:szCs w:val="18"/>
                <w:color w:val="auto"/>
              </w:rPr>
              <w:t>Austin Beijing Dallas Dubai Hong Kong Houston London Moscow New York</w:t>
            </w:r>
          </w:p>
        </w:tc>
        <w:tc>
          <w:tcPr>
            <w:tcW w:w="4920" w:type="dxa"/>
            <w:vAlign w:val="bottom"/>
          </w:tcPr>
          <w:p>
            <w:pPr>
              <w:ind w:left="900"/>
              <w:spacing w:after="0"/>
              <w:rPr>
                <w:sz w:val="20"/>
                <w:szCs w:val="20"/>
                <w:color w:val="auto"/>
              </w:rPr>
            </w:pPr>
            <w:r>
              <w:rPr>
                <w:rFonts w:ascii="Arial" w:cs="Arial" w:eastAsia="Arial" w:hAnsi="Arial"/>
                <w:sz w:val="18"/>
                <w:szCs w:val="18"/>
                <w:color w:val="auto"/>
              </w:rPr>
              <w:t>Houston, TX 77002-6760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Palo Alto Richmond Riyadh San Francisco Taipei Tokyo Washington</w:t>
            </w:r>
          </w:p>
        </w:tc>
        <w:tc>
          <w:tcPr>
            <w:tcW w:w="4920" w:type="dxa"/>
            <w:vAlign w:val="bottom"/>
          </w:tcPr>
          <w:p>
            <w:pPr>
              <w:ind w:left="90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p>
        </w:tc>
      </w:tr>
      <w:tr>
        <w:trPr>
          <w:trHeight w:val="234"/>
        </w:trPr>
        <w:tc>
          <w:tcPr>
            <w:tcW w:w="6540" w:type="dxa"/>
            <w:vAlign w:val="bottom"/>
          </w:tcPr>
          <w:p>
            <w:pPr>
              <w:spacing w:after="0"/>
              <w:rPr>
                <w:sz w:val="20"/>
                <w:szCs w:val="20"/>
                <w:color w:val="auto"/>
              </w:rPr>
            </w:pPr>
          </w:p>
        </w:tc>
        <w:tc>
          <w:tcPr>
            <w:tcW w:w="4920" w:type="dxa"/>
            <w:vAlign w:val="bottom"/>
          </w:tcPr>
          <w:p>
            <w:pPr>
              <w:ind w:left="900"/>
              <w:spacing w:after="0"/>
              <w:rPr>
                <w:sz w:val="20"/>
                <w:szCs w:val="20"/>
                <w:color w:val="auto"/>
              </w:rPr>
            </w:pPr>
            <w:r>
              <w:rPr>
                <w:rFonts w:ascii="Arial" w:cs="Arial" w:eastAsia="Arial" w:hAnsi="Arial"/>
                <w:sz w:val="18"/>
                <w:szCs w:val="18"/>
                <w:b w:val="1"/>
                <w:bCs w:val="1"/>
                <w:color w:val="auto"/>
              </w:rPr>
              <w:t>www.velaw.com</w:t>
            </w:r>
          </w:p>
        </w:tc>
      </w:tr>
      <w:tr>
        <w:trPr>
          <w:trHeight w:val="348"/>
        </w:trPr>
        <w:tc>
          <w:tcPr>
            <w:tcW w:w="654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43751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No opinion is expressed as to any matter not discussed in the Prospectus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PAGP dated on or about the date hereof and to the incorporation by reference of this opinion of counsel into the Registration Statement. In giving such consent, we do not admit that we are within the category of persons whose consent is required under Section 7 of the Securities Act.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85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o"/>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lowerLetter"/>
      <w:start w:val="1"/>
    </w:lvl>
    <w:lvl w:ilvl="1">
      <w:lvlJc w:val="left"/>
      <w:lvlText w:val="(%2)"/>
      <w:numFmt w:val="lowerRoman"/>
      <w:start w:val="1"/>
    </w:lvl>
  </w:abstractNum>
  <w:abstractNum w:abstractNumId="3">
    <w:nsid w:val="2463B9EA"/>
    <w:multiLevelType w:val="hybridMultilevel"/>
    <w:lvl w:ilvl="0">
      <w:lvlJc w:val="left"/>
      <w:lvlText w:val="(%1)"/>
      <w:numFmt w:val="lowerLetter"/>
      <w:start w:val="2"/>
    </w:lvl>
  </w:abstractNum>
  <w:abstractNum w:abstractNumId="4">
    <w:nsid w:val="5E884ADC"/>
    <w:multiLevelType w:val="hybridMultilevel"/>
    <w:lvl w:ilvl="0">
      <w:lvlJc w:val="left"/>
      <w:lvlText w:val="(%1)"/>
      <w:numFmt w:val="lowerLetter"/>
      <w:start w:val="4"/>
    </w:lvl>
  </w:abstractNum>
  <w:abstractNum w:abstractNumId="5">
    <w:nsid w:val="51EAD36B"/>
    <w:multiLevelType w:val="hybridMultilevel"/>
    <w:lvl w:ilvl="0">
      <w:lvlJc w:val="left"/>
      <w:lvlText w:val="(%1)"/>
      <w:numFmt w:val="lowerLetter"/>
      <w:start w:val="9"/>
    </w:lvl>
  </w:abstractNum>
  <w:abstractNum w:abstractNumId="6">
    <w:nsid w:val="2D517796"/>
    <w:multiLevelType w:val="hybridMultilevel"/>
    <w:lvl w:ilvl="0">
      <w:lvlJc w:val="left"/>
      <w:lvlText w:val="(%1)"/>
      <w:numFmt w:val="lowerLetter"/>
      <w:start w:val="13"/>
    </w:lvl>
  </w:abstractNum>
  <w:abstractNum w:abstractNumId="7">
    <w:nsid w:val="580BD78F"/>
    <w:multiLevelType w:val="hybridMultilevel"/>
    <w:lvl w:ilvl="0">
      <w:lvlJc w:val="left"/>
      <w:lvlText w:val="(%1)"/>
      <w:numFmt w:val="lowerLetter"/>
      <w:start w:val="16"/>
    </w:lvl>
  </w:abstractNum>
  <w:abstractNum w:abstractNumId="8">
    <w:nsid w:val="153EA438"/>
    <w:multiLevelType w:val="hybridMultilevel"/>
    <w:lvl w:ilvl="0">
      <w:lvlJc w:val="left"/>
      <w:lvlText w:val="(%1)"/>
      <w:numFmt w:val="lowerLetter"/>
      <w:start w:val="20"/>
    </w:lvl>
  </w:abstractNum>
  <w:abstractNum w:abstractNumId="9">
    <w:nsid w:val="3855585C"/>
    <w:multiLevelType w:val="hybridMultilevel"/>
    <w:lvl w:ilvl="0">
      <w:lvlJc w:val="left"/>
      <w:lvlText w:val="(%1)"/>
      <w:numFmt w:val="lowerLetter"/>
      <w:start w:val="25"/>
    </w:lvl>
  </w:abstractNum>
  <w:abstractNum w:abstractNumId="10">
    <w:nsid w:val="70A64E2A"/>
    <w:multiLevelType w:val="hybridMultilevel"/>
    <w:lvl w:ilvl="0">
      <w:lvlJc w:val="left"/>
      <w:lvlText w:val="(%1)"/>
      <w:numFmt w:val="lowerLetter"/>
      <w:start w:val="27"/>
    </w:lvl>
  </w:abstractNum>
  <w:abstractNum w:abstractNumId="11">
    <w:nsid w:val="6A2342EC"/>
    <w:multiLevelType w:val="hybridMultilevel"/>
    <w:lvl w:ilvl="0">
      <w:lvlJc w:val="left"/>
      <w:lvlText w:val="(%1)"/>
      <w:numFmt w:val="lowerLetter"/>
      <w:start w:val="28"/>
    </w:lvl>
  </w:abstractNum>
  <w:abstractNum w:abstractNumId="12">
    <w:nsid w:val="2A487CB0"/>
    <w:multiLevelType w:val="hybridMultilevel"/>
    <w:lvl w:ilvl="0">
      <w:lvlJc w:val="left"/>
      <w:lvlText w:val="(%1)"/>
      <w:numFmt w:val="lowerLetter"/>
      <w:start w:val="31"/>
    </w:lvl>
  </w:abstractNum>
  <w:abstractNum w:abstractNumId="13">
    <w:nsid w:val="1D4ED43B"/>
    <w:multiLevelType w:val="hybridMultilevel"/>
    <w:lvl w:ilvl="0">
      <w:lvlJc w:val="left"/>
      <w:lvlText w:val="(%1)"/>
      <w:numFmt w:val="lowerLetter"/>
      <w:start w:val="32"/>
    </w:lvl>
  </w:abstractNum>
  <w:abstractNum w:abstractNumId="14">
    <w:nsid w:val="725A06FB"/>
    <w:multiLevelType w:val="hybridMultilevel"/>
    <w:lvl w:ilvl="0">
      <w:lvlJc w:val="left"/>
      <w:lvlText w:val="(%1)"/>
      <w:numFmt w:val="lowerLetter"/>
      <w:start w:val="34"/>
    </w:lvl>
  </w:abstractNum>
  <w:abstractNum w:abstractNumId="15">
    <w:nsid w:val="2CD89A32"/>
    <w:multiLevelType w:val="hybridMultilevel"/>
    <w:lvl w:ilvl="0">
      <w:lvlJc w:val="left"/>
      <w:lvlText w:val="(%1)"/>
      <w:numFmt w:val="lowerLetter"/>
      <w:start w:val="40"/>
    </w:lvl>
  </w:abstractNum>
  <w:abstractNum w:abstractNumId="16">
    <w:nsid w:val="57E4CCAF"/>
    <w:multiLevelType w:val="hybridMultilevel"/>
    <w:lvl w:ilvl="0">
      <w:lvlJc w:val="left"/>
      <w:lvlText w:val="%1"/>
      <w:numFmt w:val="lowerLetter"/>
      <w:start w:val="1"/>
    </w:lvl>
    <w:lvl w:ilvl="1">
      <w:lvlJc w:val="left"/>
      <w:lvlText w:val="(%2)"/>
      <w:numFmt w:val="lowerLetter"/>
      <w:start w:val="42"/>
    </w:lvl>
  </w:abstractNum>
  <w:abstractNum w:abstractNumId="17">
    <w:nsid w:val="7A6D8D3C"/>
    <w:multiLevelType w:val="hybridMultilevel"/>
    <w:lvl w:ilvl="0">
      <w:lvlJc w:val="left"/>
      <w:lvlText w:val="(%1)"/>
      <w:numFmt w:val="lowerLetter"/>
      <w:start w:val="61"/>
    </w:lvl>
    <w:lvl w:ilvl="1">
      <w:lvlJc w:val="left"/>
      <w:lvlText w:val="(%2)"/>
      <w:numFmt w:val="lowerLetter"/>
      <w:start w:val="43"/>
    </w:lvl>
  </w:abstractNum>
  <w:abstractNum w:abstractNumId="18">
    <w:nsid w:val="4B588F54"/>
    <w:multiLevelType w:val="hybridMultilevel"/>
    <w:lvl w:ilvl="0">
      <w:lvlJc w:val="left"/>
      <w:lvlText w:val="(%1)"/>
      <w:numFmt w:val="lowerLetter"/>
      <w:start w:val="45"/>
    </w:lvl>
  </w:abstractNum>
  <w:abstractNum w:abstractNumId="19">
    <w:nsid w:val="542289EC"/>
    <w:multiLevelType w:val="hybridMultilevel"/>
    <w:lvl w:ilvl="0">
      <w:lvlJc w:val="left"/>
      <w:lvlText w:val="%1."/>
      <w:numFmt w:val="decimal"/>
      <w:start w:val="2"/>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decimal"/>
      <w:start w:val="3"/>
    </w:lvl>
  </w:abstractNum>
  <w:abstractNum w:abstractNumId="22">
    <w:nsid w:val="7644A45C"/>
    <w:multiLevelType w:val="hybridMultilevel"/>
    <w:lvl w:ilvl="0">
      <w:lvlJc w:val="left"/>
      <w:lvlText w:val="%1."/>
      <w:numFmt w:val="decimal"/>
      <w:start w:val="4"/>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1)"/>
      <w:numFmt w:val="lowerLetter"/>
      <w:start w:val="2"/>
    </w:lvl>
  </w:abstractNum>
  <w:abstractNum w:abstractNumId="25">
    <w:nsid w:val="579478FE"/>
    <w:multiLevelType w:val="hybridMultilevel"/>
    <w:lvl w:ilvl="0">
      <w:lvlJc w:val="left"/>
      <w:lvlText w:val="(%1)"/>
      <w:numFmt w:val="lowerLetter"/>
      <w:start w:val="5"/>
    </w:lvl>
  </w:abstractNum>
  <w:abstractNum w:abstractNumId="26">
    <w:nsid w:val="749ABB43"/>
    <w:multiLevelType w:val="hybridMultilevel"/>
    <w:lvl w:ilvl="0">
      <w:lvlJc w:val="left"/>
      <w:lvlText w:val="(%1)"/>
      <w:numFmt w:val="lowerLetter"/>
      <w:start w:val="6"/>
    </w:lvl>
  </w:abstractNum>
  <w:abstractNum w:abstractNumId="27">
    <w:nsid w:val="3DC240FB"/>
    <w:multiLevelType w:val="hybridMultilevel"/>
    <w:lvl w:ilvl="0">
      <w:lvlJc w:val="left"/>
      <w:lvlText w:val="(%1)"/>
      <w:numFmt w:val="lowerLetter"/>
      <w:start w:val="7"/>
    </w:lvl>
  </w:abstractNum>
  <w:abstractNum w:abstractNumId="28">
    <w:nsid w:val="1BA026FA"/>
    <w:multiLevelType w:val="hybridMultilevel"/>
    <w:lvl w:ilvl="0">
      <w:lvlJc w:val="left"/>
      <w:lvlText w:val="(%1)"/>
      <w:numFmt w:val="lowerLetter"/>
      <w:start w:val="12"/>
    </w:lvl>
  </w:abstractNum>
  <w:abstractNum w:abstractNumId="29">
    <w:nsid w:val="79A1DEAA"/>
    <w:multiLevelType w:val="hybridMultilevel"/>
    <w:lvl w:ilvl="0">
      <w:lvlJc w:val="left"/>
      <w:lvlText w:val="(%1)"/>
      <w:numFmt w:val="lowerLetter"/>
      <w:start w:val="13"/>
    </w:lvl>
  </w:abstractNum>
  <w:abstractNum w:abstractNumId="30">
    <w:nsid w:val="75C6C33A"/>
    <w:multiLevelType w:val="hybridMultilevel"/>
    <w:lvl w:ilvl="0">
      <w:lvlJc w:val="left"/>
      <w:lvlText w:val="(%1)"/>
      <w:numFmt w:val="lowerLetter"/>
      <w:start w:val="15"/>
    </w:lvl>
  </w:abstractNum>
  <w:abstractNum w:abstractNumId="31">
    <w:nsid w:val="12E685FB"/>
    <w:multiLevelType w:val="hybridMultilevel"/>
    <w:lvl w:ilvl="0">
      <w:lvlJc w:val="left"/>
      <w:lvlText w:val="%1."/>
      <w:numFmt w:val="decimal"/>
      <w:start w:val="6"/>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2"/>
    </w:lvl>
  </w:abstractNum>
  <w:abstractNum w:abstractNumId="34">
    <w:nsid w:val="374A3FE6"/>
    <w:multiLevelType w:val="hybridMultilevel"/>
    <w:lvl w:ilvl="0">
      <w:lvlJc w:val="left"/>
      <w:lvlText w:val="(%1)"/>
      <w:numFmt w:val="lowerLetter"/>
      <w:start w:val="4"/>
    </w:lvl>
  </w:abstractNum>
  <w:abstractNum w:abstractNumId="35">
    <w:nsid w:val="4F4EF005"/>
    <w:multiLevelType w:val="hybridMultilevel"/>
    <w:lvl w:ilvl="0">
      <w:lvlJc w:val="left"/>
      <w:lvlText w:val="(%1)"/>
      <w:numFmt w:val="lowerLetter"/>
      <w:start w:val="7"/>
    </w:lvl>
  </w:abstractNum>
  <w:abstractNum w:abstractNumId="36">
    <w:nsid w:val="23F9C13C"/>
    <w:multiLevelType w:val="hybridMultilevel"/>
    <w:lvl w:ilvl="0">
      <w:lvlJc w:val="left"/>
      <w:lvlText w:val="%1."/>
      <w:numFmt w:val="decimal"/>
      <w:start w:val="7"/>
    </w:lvl>
  </w:abstractNum>
  <w:abstractNum w:abstractNumId="37">
    <w:nsid w:val="649BB77C"/>
    <w:multiLevelType w:val="hybridMultilevel"/>
    <w:lvl w:ilvl="0">
      <w:lvlJc w:val="left"/>
      <w:lvlText w:val="%1"/>
      <w:numFmt w:val="lowerLetter"/>
      <w:start w:val="1"/>
    </w:lvl>
    <w:lvl w:ilvl="1">
      <w:lvlJc w:val="left"/>
      <w:lvlText w:val="(%2)"/>
      <w:numFmt w:val="lowerLetter"/>
      <w:start w:val="1"/>
    </w:lvl>
  </w:abstractNum>
  <w:abstractNum w:abstractNumId="38">
    <w:nsid w:val="275AC794"/>
    <w:multiLevelType w:val="hybridMultilevel"/>
    <w:lvl w:ilvl="0">
      <w:lvlJc w:val="left"/>
      <w:lvlText w:val="(%1)"/>
      <w:numFmt w:val="lowerLetter"/>
      <w:start w:val="35"/>
    </w:lvl>
    <w:lvl w:ilvl="1">
      <w:lvlJc w:val="left"/>
      <w:lvlText w:val="(%2)"/>
      <w:numFmt w:val="lowerLetter"/>
      <w:start w:val="2"/>
    </w:lvl>
  </w:abstractNum>
  <w:abstractNum w:abstractNumId="39">
    <w:nsid w:val="39386575"/>
    <w:multiLevelType w:val="hybridMultilevel"/>
    <w:lvl w:ilvl="0">
      <w:lvlJc w:val="left"/>
      <w:lvlText w:val="(%1)"/>
      <w:numFmt w:val="lowerLetter"/>
      <w:start w:val="3"/>
    </w:lvl>
  </w:abstractNum>
  <w:abstractNum w:abstractNumId="40">
    <w:nsid w:val="1CF10FD8"/>
    <w:multiLevelType w:val="hybridMultilevel"/>
    <w:lvl w:ilvl="0">
      <w:lvlJc w:val="left"/>
      <w:lvlText w:val="(%1)"/>
      <w:numFmt w:val="lowerRoman"/>
      <w:start w:val="1"/>
    </w:lvl>
  </w:abstractNum>
  <w:abstractNum w:abstractNumId="41">
    <w:nsid w:val="180115BE"/>
    <w:multiLevelType w:val="hybridMultilevel"/>
    <w:lvl w:ilvl="0">
      <w:lvlJc w:val="left"/>
      <w:lvlText w:val="(%1)"/>
      <w:numFmt w:val="lowerRoman"/>
      <w:start w:val="5"/>
    </w:lvl>
  </w:abstractNum>
  <w:abstractNum w:abstractNumId="42">
    <w:nsid w:val="235BA861"/>
    <w:multiLevelType w:val="hybridMultilevel"/>
    <w:lvl w:ilvl="0">
      <w:lvlJc w:val="left"/>
      <w:lvlText w:val="(%1)"/>
      <w:numFmt w:val="lowerRoman"/>
      <w:start w:val="8"/>
    </w:lvl>
  </w:abstractNum>
  <w:abstractNum w:abstractNumId="43">
    <w:nsid w:val="47398C89"/>
    <w:multiLevelType w:val="hybridMultilevel"/>
    <w:lvl w:ilvl="0">
      <w:lvlJc w:val="left"/>
      <w:lvlText w:val="(%1)"/>
      <w:numFmt w:val="lowerRoman"/>
      <w:start w:val="13"/>
    </w:lvl>
  </w:abstractNum>
  <w:abstractNum w:abstractNumId="44">
    <w:nsid w:val="354FE9F9"/>
    <w:multiLevelType w:val="hybridMultilevel"/>
    <w:lvl w:ilvl="0">
      <w:lvlJc w:val="left"/>
      <w:lvlText w:val="(%1)"/>
      <w:numFmt w:val="lowerRoman"/>
      <w:start w:val="16"/>
    </w:lvl>
  </w:abstractNum>
  <w:abstractNum w:abstractNumId="45">
    <w:nsid w:val="15B5AF5C"/>
    <w:multiLevelType w:val="hybridMultilevel"/>
    <w:lvl w:ilvl="0">
      <w:lvlJc w:val="left"/>
      <w:lvlText w:val="(%1)"/>
      <w:numFmt w:val="lowerRoman"/>
      <w:start w:val="17"/>
    </w:lvl>
  </w:abstractNum>
  <w:abstractNum w:abstractNumId="46">
    <w:nsid w:val="741226BB"/>
    <w:multiLevelType w:val="hybridMultilevel"/>
    <w:lvl w:ilvl="0">
      <w:lvlJc w:val="left"/>
      <w:lvlText w:val="(%1)"/>
      <w:numFmt w:val="upperLetter"/>
      <w:start w:val="1"/>
    </w:lvl>
  </w:abstractNum>
  <w:abstractNum w:abstractNumId="47">
    <w:nsid w:val="D34B6A8"/>
    <w:multiLevelType w:val="hybridMultilevel"/>
    <w:lvl w:ilvl="0">
      <w:lvlJc w:val="left"/>
      <w:lvlText w:val="(%1)"/>
      <w:numFmt w:val="upperLetter"/>
      <w:start w:val="2"/>
    </w:lvl>
  </w:abstractNum>
  <w:abstractNum w:abstractNumId="48">
    <w:nsid w:val="10233C99"/>
    <w:multiLevelType w:val="hybridMultilevel"/>
    <w:lvl w:ilvl="0">
      <w:lvlJc w:val="left"/>
      <w:lvlText w:val="(%1)"/>
      <w:numFmt w:val="upperLetter"/>
      <w:start w:val="2"/>
    </w:lvl>
    <w:lvl w:ilvl="1">
      <w:lvlJc w:val="left"/>
      <w:lvlText w:val="(%2)"/>
      <w:numFmt w:val="lowerLetter"/>
      <w:start w:val="4"/>
    </w:lvl>
  </w:abstractNum>
  <w:abstractNum w:abstractNumId="49">
    <w:nsid w:val="3F6AB60F"/>
    <w:multiLevelType w:val="hybridMultilevel"/>
    <w:lvl w:ilvl="0">
      <w:lvlJc w:val="left"/>
      <w:lvlText w:val="(%1)"/>
      <w:numFmt w:val="lowerRoman"/>
      <w:start w:val="1"/>
    </w:lvl>
  </w:abstractNum>
  <w:abstractNum w:abstractNumId="50">
    <w:nsid w:val="61574095"/>
    <w:multiLevelType w:val="hybridMultilevel"/>
    <w:lvl w:ilvl="0">
      <w:lvlJc w:val="left"/>
      <w:lvlText w:val="(%1)"/>
      <w:numFmt w:val="lowerRoman"/>
      <w:start w:val="2"/>
    </w:lvl>
  </w:abstractNum>
  <w:abstractNum w:abstractNumId="51">
    <w:nsid w:val="7E0C57B1"/>
    <w:multiLevelType w:val="hybridMultilevel"/>
    <w:lvl w:ilvl="0">
      <w:lvlJc w:val="left"/>
      <w:lvlText w:val="(%1)"/>
      <w:numFmt w:val="lowerRoman"/>
      <w:start w:val="3"/>
    </w:lvl>
  </w:abstractNum>
  <w:abstractNum w:abstractNumId="52">
    <w:nsid w:val="77AE35EB"/>
    <w:multiLevelType w:val="hybridMultilevel"/>
    <w:lvl w:ilvl="0">
      <w:lvlJc w:val="left"/>
      <w:lvlText w:val="(%1)"/>
      <w:numFmt w:val="upperLetter"/>
      <w:start w:val="1"/>
    </w:lvl>
  </w:abstractNum>
  <w:abstractNum w:abstractNumId="53">
    <w:nsid w:val="579BE4F1"/>
    <w:multiLevelType w:val="hybridMultilevel"/>
    <w:lvl w:ilvl="0">
      <w:lvlJc w:val="left"/>
      <w:lvlText w:val="(%1)"/>
      <w:numFmt w:val="upperLetter"/>
      <w:start w:val="2"/>
    </w:lvl>
  </w:abstractNum>
  <w:abstractNum w:abstractNumId="54">
    <w:nsid w:val="310C50B3"/>
    <w:multiLevelType w:val="hybridMultilevel"/>
    <w:lvl w:ilvl="0">
      <w:lvlJc w:val="left"/>
      <w:lvlText w:val="(%1)"/>
      <w:numFmt w:val="lowerLetter"/>
      <w:start w:val="5"/>
    </w:lvl>
  </w:abstractNum>
  <w:abstractNum w:abstractNumId="55">
    <w:nsid w:val="5FF87E05"/>
    <w:multiLevelType w:val="hybridMultilevel"/>
    <w:lvl w:ilvl="0">
      <w:lvlJc w:val="left"/>
      <w:lvlText w:val="(%1)"/>
      <w:numFmt w:val="lowerRoman"/>
      <w:start w:val="1"/>
    </w:lvl>
  </w:abstractNum>
  <w:abstractNum w:abstractNumId="56">
    <w:nsid w:val="2F305DEF"/>
    <w:multiLevelType w:val="hybridMultilevel"/>
    <w:lvl w:ilvl="0">
      <w:lvlJc w:val="left"/>
      <w:lvlText w:val="(%1)"/>
      <w:numFmt w:val="lowerRoman"/>
      <w:start w:val="3"/>
    </w:lvl>
  </w:abstractNum>
  <w:abstractNum w:abstractNumId="57">
    <w:nsid w:val="25A70BF7"/>
    <w:multiLevelType w:val="hybridMultilevel"/>
    <w:lvl w:ilvl="0">
      <w:lvlJc w:val="left"/>
      <w:lvlText w:val="(%1)"/>
      <w:numFmt w:val="lowerRoman"/>
      <w:start w:val="5"/>
    </w:lvl>
  </w:abstractNum>
  <w:abstractNum w:abstractNumId="58">
    <w:nsid w:val="1DBABF00"/>
    <w:multiLevelType w:val="hybridMultilevel"/>
    <w:lvl w:ilvl="0">
      <w:lvlJc w:val="left"/>
      <w:lvlText w:val="(%1)"/>
      <w:numFmt w:val="lowerRoman"/>
      <w:start w:val="7"/>
    </w:lvl>
  </w:abstractNum>
  <w:abstractNum w:abstractNumId="59">
    <w:nsid w:val="4AD084E9"/>
    <w:multiLevelType w:val="hybridMultilevel"/>
    <w:lvl w:ilvl="0">
      <w:lvlJc w:val="left"/>
      <w:lvlText w:val="(%1)"/>
      <w:numFmt w:val="upperLetter"/>
      <w:start w:val="2"/>
    </w:lvl>
    <w:lvl w:ilvl="1">
      <w:lvlJc w:val="left"/>
      <w:lvlText w:val="(%2)"/>
      <w:numFmt w:val="lowerLetter"/>
      <w:start w:val="6"/>
    </w:lvl>
  </w:abstractNum>
  <w:abstractNum w:abstractNumId="60">
    <w:nsid w:val="1F48EAA1"/>
    <w:multiLevelType w:val="hybridMultilevel"/>
    <w:lvl w:ilvl="0">
      <w:lvlJc w:val="left"/>
      <w:lvlText w:val="(%1)"/>
      <w:numFmt w:val="lowerRoman"/>
      <w:start w:val="1"/>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lowerLetter"/>
      <w:start w:val="10"/>
    </w:lvl>
  </w:abstractNum>
  <w:abstractNum w:abstractNumId="63">
    <w:nsid w:val="100F8FCA"/>
    <w:multiLevelType w:val="hybridMultilevel"/>
    <w:lvl w:ilvl="0">
      <w:lvlJc w:val="left"/>
      <w:lvlText w:val="(%1)"/>
      <w:numFmt w:val="lowerLetter"/>
      <w:start w:val="11"/>
    </w:lvl>
  </w:abstractNum>
  <w:abstractNum w:abstractNumId="64">
    <w:nsid w:val="6590700B"/>
    <w:multiLevelType w:val="hybridMultilevel"/>
    <w:lvl w:ilvl="0">
      <w:lvlJc w:val="left"/>
      <w:lvlText w:val="(%1)"/>
      <w:numFmt w:val="lowerLetter"/>
      <w:start w:val="5"/>
    </w:lvl>
  </w:abstractNum>
  <w:abstractNum w:abstractNumId="65">
    <w:nsid w:val="15014ACB"/>
    <w:multiLevelType w:val="hybridMultilevel"/>
    <w:lvl w:ilvl="0">
      <w:lvlJc w:val="left"/>
      <w:lvlText w:val="%1."/>
      <w:numFmt w:val="decimal"/>
      <w:start w:val="8"/>
    </w:lvl>
  </w:abstractNum>
  <w:abstractNum w:abstractNumId="66">
    <w:nsid w:val="5F5E7FD0"/>
    <w:multiLevelType w:val="hybridMultilevel"/>
    <w:lvl w:ilvl="0">
      <w:lvlJc w:val="left"/>
      <w:lvlText w:val="%1."/>
      <w:numFmt w:val="decimal"/>
      <w:start w:val="9"/>
    </w:lvl>
  </w:abstractNum>
  <w:abstractNum w:abstractNumId="67">
    <w:nsid w:val="98A3148"/>
    <w:multiLevelType w:val="hybridMultilevel"/>
    <w:lvl w:ilvl="0">
      <w:lvlJc w:val="left"/>
      <w:lvlText w:val="%1."/>
      <w:numFmt w:val="decimal"/>
      <w:start w:val="10"/>
    </w:lvl>
  </w:abstractNum>
  <w:abstractNum w:abstractNumId="68">
    <w:nsid w:val="799D0247"/>
    <w:multiLevelType w:val="hybridMultilevel"/>
    <w:lvl w:ilvl="0">
      <w:lvlJc w:val="left"/>
      <w:lvlText w:val="%1."/>
      <w:numFmt w:val="decimal"/>
      <w:start w:val="11"/>
    </w:lvl>
  </w:abstractNum>
  <w:abstractNum w:abstractNumId="69">
    <w:nsid w:val="6B94764"/>
    <w:multiLevelType w:val="hybridMultilevel"/>
    <w:lvl w:ilvl="0">
      <w:lvlJc w:val="left"/>
      <w:lvlText w:val="%1."/>
      <w:numFmt w:val="decimal"/>
      <w:start w:val="12"/>
    </w:lvl>
  </w:abstractNum>
  <w:abstractNum w:abstractNumId="70">
    <w:nsid w:val="42C296BD"/>
    <w:multiLevelType w:val="hybridMultilevel"/>
    <w:lvl w:ilvl="0">
      <w:lvlJc w:val="left"/>
      <w:lvlText w:val="%1."/>
      <w:numFmt w:val="decimal"/>
      <w:start w:val="14"/>
    </w:lvl>
  </w:abstractNum>
  <w:abstractNum w:abstractNumId="71">
    <w:nsid w:val="168E121F"/>
    <w:multiLevelType w:val="hybridMultilevel"/>
    <w:lvl w:ilvl="0">
      <w:lvlJc w:val="left"/>
      <w:lvlText w:val="%1."/>
      <w:numFmt w:val="decimal"/>
      <w:start w:val="18"/>
    </w:lvl>
  </w:abstractNum>
  <w:abstractNum w:abstractNumId="72">
    <w:nsid w:val="1EBA5D2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2020-01-16T12:36:39Z</dcterms:created>
  <dcterms:modified xsi:type="dcterms:W3CDTF">2020-01-16T12:36:39Z</dcterms:modified>
</cp:coreProperties>
</file>