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h41942e8vk.htm"/>
      <w:bookmarkStart w:id="1" w:name="ksh41942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w:t>
        <w:br/>
        <w:t>The Securities Exchange Act of 1934</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Date of Report (Date of earliest event reported)  December 8, 2006</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t xml:space="preserve">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t xml:space="preserve">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b/>
              </w:rPr>
            </w:pPr>
            <w:r>
              <w:rPr>
                <w:b/>
              </w:rPr>
              <w:t>76-0582150</w:t>
            </w:r>
          </w:p>
        </w:tc>
      </w:tr>
      <w:tr>
        <w:trPr/>
        <w:tc>
          <w:tcPr>
            <w:tcW w:w="3196" w:type="dxa"/>
            <w:tcBorders/>
            <w:shd w:fill="auto" w:val="clear"/>
          </w:tcPr>
          <w:p>
            <w:pPr>
              <w:pStyle w:val="TableContents"/>
              <w:spacing w:before="0" w:after="283"/>
              <w:jc w:val="center"/>
              <w:rPr/>
            </w:pPr>
            <w:r>
              <w:rPr/>
              <w:t xml:space="preserve">(State or other jurisdiction of </w:t>
              <w:br/>
              <w:t xml:space="preserve">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t>(IRS Employer 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 xml:space="preserve">(Address of principal executive offices) (Zip Code)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713-646-4100</w:t>
      </w:r>
      <w:r>
        <w:rPr>
          <w:rFonts w:ascii="Times New Roman;Times;serif" w:hAnsi="Times New Roman;Times;serif"/>
          <w:sz w:val="17"/>
        </w:rPr>
        <w:br/>
        <w:t xml:space="preserve">(Registrants telephone number, including area code)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(Former name or former address, if changed since last report.)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172"/>
        <w:gridCol w:w="120"/>
        <w:gridCol w:w="9913"/>
      </w:tblGrid>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Written communications pursuant to Rule 425 under the Securities Act (17 CFR 230.425)</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Soliciting material pursuant to Rule 14a-12 under the Exchange Act (17 CFR 240.14a-12)</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14d-2(b) under the Exchange Act (17 CFR 240.14d-2(b))</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271"/>
        <w:gridCol w:w="307"/>
        <w:gridCol w:w="307"/>
        <w:gridCol w:w="307"/>
        <w:gridCol w:w="294"/>
        <w:gridCol w:w="284"/>
        <w:gridCol w:w="284"/>
        <w:gridCol w:w="284"/>
        <w:gridCol w:w="6846"/>
      </w:tblGrid>
      <w:tr>
        <w:trPr/>
        <w:tc>
          <w:tcPr>
            <w:tcW w:w="271"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6846" w:type="dxa"/>
            <w:tcBorders/>
            <w:shd w:fill="auto" w:val="clear"/>
            <w:vAlign w:val="center"/>
          </w:tcPr>
          <w:p>
            <w:pPr>
              <w:pStyle w:val="TableContents"/>
              <w:spacing w:before="0" w:after="283"/>
              <w:rPr>
                <w:sz w:val="4"/>
                <w:szCs w:val="4"/>
              </w:rPr>
            </w:pPr>
            <w:r>
              <w:rPr>
                <w:sz w:val="4"/>
                <w:szCs w:val="4"/>
              </w:rPr>
            </w:r>
          </w:p>
        </w:tc>
      </w:tr>
      <w:tr>
        <w:trPr/>
        <w:tc>
          <w:tcPr>
            <w:tcW w:w="271" w:type="dxa"/>
            <w:tcBorders/>
            <w:shd w:fill="auto" w:val="clear"/>
            <w:vAlign w:val="center"/>
          </w:tcPr>
          <w:p>
            <w:pPr>
              <w:pStyle w:val="TableContents"/>
              <w:spacing w:before="0" w:after="283"/>
              <w:rPr>
                <w:sz w:val="4"/>
                <w:szCs w:val="4"/>
              </w:rPr>
            </w:pPr>
            <w:r>
              <w:rPr>
                <w:sz w:val="4"/>
                <w:szCs w:val="4"/>
              </w:rPr>
            </w:r>
          </w:p>
        </w:tc>
        <w:tc>
          <w:tcPr>
            <w:tcW w:w="8913" w:type="dxa"/>
            <w:gridSpan w:val="8"/>
            <w:tcBorders/>
            <w:shd w:fill="auto" w:val="clear"/>
            <w:vAlign w:val="center"/>
          </w:tcPr>
          <w:p>
            <w:pPr>
              <w:pStyle w:val="TableContents"/>
              <w:spacing w:before="0" w:after="283"/>
              <w:rPr/>
            </w:pPr>
            <w:hyperlink w:anchor="000">
              <w:r>
                <w:rPr>
                  <w:rStyle w:val="InternetLink"/>
                </w:rPr>
                <w:t>Item 8.01. Other Events.</w:t>
              </w:r>
            </w:hyperlink>
          </w:p>
        </w:tc>
      </w:tr>
      <w:tr>
        <w:trPr/>
        <w:tc>
          <w:tcPr>
            <w:tcW w:w="9184" w:type="dxa"/>
            <w:gridSpan w:val="9"/>
            <w:tcBorders/>
            <w:shd w:fill="auto" w:val="clear"/>
            <w:vAlign w:val="center"/>
          </w:tcPr>
          <w:p>
            <w:pPr>
              <w:pStyle w:val="TableContents"/>
              <w:spacing w:before="0" w:after="283"/>
              <w:rPr/>
            </w:pPr>
            <w:hyperlink w:anchor="001">
              <w:r>
                <w:rPr>
                  <w:rStyle w:val="InternetLink"/>
                </w:rPr>
                <w:t>SIGNATURES</w:t>
              </w:r>
            </w:hyperlink>
          </w:p>
        </w:tc>
      </w:tr>
    </w:tbl>
    <w:p>
      <w:pPr>
        <w:pStyle w:val="TextBody"/>
        <w:spacing w:before="240" w:after="283"/>
        <w:jc w:val="left"/>
        <w:rPr>
          <w:rFonts w:ascii="Times New Roman;Times;serif" w:hAnsi="Times New Roman;Times;serif"/>
          <w:sz w:val="17"/>
        </w:rPr>
      </w:pPr>
      <w:bookmarkStart w:id="3" w:name="000"/>
      <w:bookmarkEnd w:id="3"/>
      <w:r>
        <w:rPr>
          <w:rFonts w:ascii="Times New Roman;Times;serif" w:hAnsi="Times New Roman;Times;serif"/>
          <w:b/>
          <w:sz w:val="17"/>
        </w:rPr>
        <w:t>Item 8.01. Other Events.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As previously disclosed by Pacific Energy Partners, L.P. (Pacific), one of its subsidiaries, Pacific Pipeline System, LLC, experienced a pipeline rupture, caused by a landslide, a natural occurrence, in the Pyramid Lake area of Los Angeles County, which allowed a release of crude oil in 2005. Plains All American Pipeline, L.P. (PAA) now owns Pacific Pipeline System, LLC as a result of the recent merger of Pacific with and into PAA. PAA has been informed that the U.S. Environmental Protection Agency may be intending to initiate proceedings to assess civil penalties against Pacific Pipeline System, LLC. PAA is filing this Current Report on Form 8-K because applicable securities regulations require disclosure of any governmental proceeding involving environmental laws unless there is a reasonable belief that resulting penalties would be less than $100,000. PAA understands that the maximum permissible penalty that the EPA could assess under relevant statutes would be approximately $3.7 million. PAA believes that several mitigating circumstances and factors exist that could substantially reduce the penalty, and intends to pursue discussions with the EPA regarding such mitigating circumstances and factors.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bookmarkStart w:id="4" w:name="001"/>
      <w:bookmarkEnd w:id="4"/>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36"/>
        <w:gridCol w:w="345"/>
        <w:gridCol w:w="592"/>
        <w:gridCol w:w="3665"/>
        <w:gridCol w:w="1267"/>
      </w:tblGrid>
      <w:tr>
        <w:trPr/>
        <w:tc>
          <w:tcPr>
            <w:tcW w:w="4336"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vAlign w:val="center"/>
          </w:tcPr>
          <w:p>
            <w:pPr>
              <w:pStyle w:val="TableContents"/>
              <w:spacing w:before="0" w:after="283"/>
              <w:rPr/>
            </w:pPr>
            <w:r>
              <w:rPr/>
              <w:t> </w:t>
            </w:r>
          </w:p>
        </w:tc>
        <w:tc>
          <w:tcPr>
            <w:tcW w:w="3665" w:type="dxa"/>
            <w:tcBorders/>
            <w:shd w:fill="auto" w:val="clear"/>
            <w:vAlign w:val="center"/>
          </w:tcPr>
          <w:p>
            <w:pPr>
              <w:pStyle w:val="TableContents"/>
              <w:spacing w:before="0" w:after="283"/>
              <w:rPr/>
            </w:pPr>
            <w:r>
              <w:rPr/>
              <w:t> </w:t>
            </w:r>
          </w:p>
        </w:tc>
        <w:tc>
          <w:tcPr>
            <w:tcW w:w="1267" w:type="dxa"/>
            <w:tcBorders/>
            <w:shd w:fill="auto" w:val="clear"/>
            <w:vAlign w:val="center"/>
          </w:tcPr>
          <w:p>
            <w:pPr>
              <w:pStyle w:val="TableContents"/>
              <w:spacing w:before="0" w:after="283"/>
              <w:rPr/>
            </w:pPr>
            <w:r>
              <w:rPr/>
              <w:t> </w:t>
            </w:r>
          </w:p>
        </w:tc>
      </w:tr>
      <w:tr>
        <w:trPr/>
        <w:tc>
          <w:tcPr>
            <w:tcW w:w="4336" w:type="dxa"/>
            <w:tcBorders/>
            <w:shd w:fill="auto" w:val="clear"/>
          </w:tcPr>
          <w:p>
            <w:pPr>
              <w:pStyle w:val="TableContents"/>
              <w:spacing w:before="0" w:after="283"/>
              <w:jc w:val="left"/>
              <w:rPr/>
            </w:pPr>
            <w:r>
              <w:rPr/>
              <w:t> </w:t>
            </w:r>
          </w:p>
        </w:tc>
        <w:tc>
          <w:tcPr>
            <w:tcW w:w="4602" w:type="dxa"/>
            <w:gridSpan w:val="3"/>
            <w:tcBorders/>
            <w:shd w:fill="auto" w:val="clear"/>
            <w:vAlign w:val="center"/>
          </w:tcPr>
          <w:p>
            <w:pPr>
              <w:pStyle w:val="TableContents"/>
              <w:spacing w:before="0" w:after="283"/>
              <w:jc w:val="left"/>
              <w:rPr/>
            </w:pPr>
            <w:r>
              <w:rPr/>
              <w:t>PLAINS ALL AMERICAN PIPELINE, L.P.</w:t>
              <w:br/>
              <w:t> </w:t>
            </w:r>
          </w:p>
        </w:tc>
        <w:tc>
          <w:tcPr>
            <w:tcW w:w="1267" w:type="dxa"/>
            <w:tcBorders/>
            <w:shd w:fill="auto" w:val="clear"/>
            <w:vAlign w:val="center"/>
          </w:tcPr>
          <w:p>
            <w:pPr>
              <w:pStyle w:val="TableContents"/>
              <w:spacing w:before="0" w:after="283"/>
              <w:rPr/>
            </w:pPr>
            <w:r>
              <w:rPr/>
              <w:t> </w:t>
            </w:r>
          </w:p>
        </w:tc>
      </w:tr>
      <w:tr>
        <w:trPr/>
        <w:tc>
          <w:tcPr>
            <w:tcW w:w="4336" w:type="dxa"/>
            <w:tcBorders/>
            <w:shd w:fill="auto" w:val="clear"/>
            <w:vAlign w:val="center"/>
          </w:tcPr>
          <w:p>
            <w:pPr>
              <w:pStyle w:val="TableContents"/>
              <w:spacing w:before="0" w:after="283"/>
              <w:jc w:val="left"/>
              <w:rPr/>
            </w:pPr>
            <w:r>
              <w:rPr/>
              <w:t>Date: December 8, 2006 </w:t>
            </w:r>
          </w:p>
        </w:tc>
        <w:tc>
          <w:tcPr>
            <w:tcW w:w="345" w:type="dxa"/>
            <w:tcBorders/>
            <w:shd w:fill="auto" w:val="clear"/>
          </w:tcPr>
          <w:p>
            <w:pPr>
              <w:pStyle w:val="TableContents"/>
              <w:spacing w:before="0" w:after="283"/>
              <w:rPr/>
            </w:pPr>
            <w:r>
              <w:rPr/>
              <w:t>By:  </w:t>
            </w:r>
          </w:p>
        </w:tc>
        <w:tc>
          <w:tcPr>
            <w:tcW w:w="4257" w:type="dxa"/>
            <w:gridSpan w:val="2"/>
            <w:tcBorders/>
            <w:shd w:fill="auto" w:val="clear"/>
            <w:vAlign w:val="center"/>
          </w:tcPr>
          <w:p>
            <w:pPr>
              <w:pStyle w:val="TableContents"/>
              <w:spacing w:before="0" w:after="283"/>
              <w:jc w:val="left"/>
              <w:rPr/>
            </w:pPr>
            <w:r>
              <w:rPr/>
              <w:t>Plains AAP, L.P., its general partner  </w:t>
            </w:r>
          </w:p>
        </w:tc>
        <w:tc>
          <w:tcPr>
            <w:tcW w:w="1267" w:type="dxa"/>
            <w:tcBorders/>
            <w:shd w:fill="auto" w:val="clear"/>
            <w:vAlign w:val="center"/>
          </w:tcPr>
          <w:p>
            <w:pPr>
              <w:pStyle w:val="TableContents"/>
              <w:spacing w:before="0" w:after="283"/>
              <w:rPr/>
            </w:pPr>
            <w:r>
              <w:rPr/>
              <w:t> </w:t>
            </w:r>
          </w:p>
        </w:tc>
      </w:tr>
      <w:tr>
        <w:trPr/>
        <w:tc>
          <w:tcPr>
            <w:tcW w:w="4336" w:type="dxa"/>
            <w:tcBorders/>
            <w:shd w:fill="auto" w:val="clear"/>
          </w:tcPr>
          <w:p>
            <w:pPr>
              <w:pStyle w:val="TableContents"/>
              <w:spacing w:before="0" w:after="283"/>
              <w:jc w:val="left"/>
              <w:rPr/>
            </w:pPr>
            <w:r>
              <w:rPr/>
              <w:t> </w:t>
            </w:r>
          </w:p>
        </w:tc>
        <w:tc>
          <w:tcPr>
            <w:tcW w:w="4602" w:type="dxa"/>
            <w:gridSpan w:val="3"/>
            <w:tcBorders/>
            <w:shd w:fill="auto" w:val="clear"/>
            <w:vAlign w:val="center"/>
          </w:tcPr>
          <w:p>
            <w:pPr>
              <w:pStyle w:val="TableContents"/>
              <w:spacing w:before="0" w:after="283"/>
              <w:jc w:val="left"/>
              <w:rPr/>
            </w:pPr>
            <w:r>
              <w:rPr/>
              <w:t> </w:t>
            </w:r>
          </w:p>
        </w:tc>
        <w:tc>
          <w:tcPr>
            <w:tcW w:w="1267" w:type="dxa"/>
            <w:tcBorders/>
            <w:shd w:fill="auto" w:val="clear"/>
            <w:vAlign w:val="center"/>
          </w:tcPr>
          <w:p>
            <w:pPr>
              <w:pStyle w:val="TableContents"/>
              <w:spacing w:before="0" w:after="283"/>
              <w:rPr/>
            </w:pPr>
            <w:r>
              <w:rPr/>
              <w:t> </w:t>
            </w:r>
          </w:p>
        </w:tc>
      </w:tr>
      <w:tr>
        <w:trPr/>
        <w:tc>
          <w:tcPr>
            <w:tcW w:w="4336"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57" w:type="dxa"/>
            <w:gridSpan w:val="2"/>
            <w:tcBorders/>
            <w:shd w:fill="auto" w:val="clear"/>
            <w:vAlign w:val="center"/>
          </w:tcPr>
          <w:p>
            <w:pPr>
              <w:pStyle w:val="TableContents"/>
              <w:spacing w:before="0" w:after="283"/>
              <w:jc w:val="left"/>
              <w:rPr/>
            </w:pPr>
            <w:r>
              <w:rPr/>
              <w:t>Plains All American GP LLC, its general partner  </w:t>
            </w:r>
          </w:p>
        </w:tc>
        <w:tc>
          <w:tcPr>
            <w:tcW w:w="1267" w:type="dxa"/>
            <w:tcBorders/>
            <w:shd w:fill="auto" w:val="clear"/>
            <w:vAlign w:val="center"/>
          </w:tcPr>
          <w:p>
            <w:pPr>
              <w:pStyle w:val="TableContents"/>
              <w:spacing w:before="0" w:after="283"/>
              <w:rPr/>
            </w:pPr>
            <w:r>
              <w:rPr/>
              <w:t> </w:t>
            </w:r>
          </w:p>
        </w:tc>
      </w:tr>
      <w:tr>
        <w:trPr/>
        <w:tc>
          <w:tcPr>
            <w:tcW w:w="4336" w:type="dxa"/>
            <w:tcBorders/>
            <w:shd w:fill="auto" w:val="clear"/>
          </w:tcPr>
          <w:p>
            <w:pPr>
              <w:pStyle w:val="TableContents"/>
              <w:spacing w:before="0" w:after="283"/>
              <w:jc w:val="left"/>
              <w:rPr/>
            </w:pPr>
            <w:r>
              <w:rPr/>
              <w:t> </w:t>
            </w:r>
          </w:p>
        </w:tc>
        <w:tc>
          <w:tcPr>
            <w:tcW w:w="4602" w:type="dxa"/>
            <w:gridSpan w:val="3"/>
            <w:tcBorders/>
            <w:shd w:fill="auto" w:val="clear"/>
            <w:vAlign w:val="center"/>
          </w:tcPr>
          <w:p>
            <w:pPr>
              <w:pStyle w:val="TableContents"/>
              <w:spacing w:before="0" w:after="283"/>
              <w:jc w:val="left"/>
              <w:rPr/>
            </w:pPr>
            <w:r>
              <w:rPr/>
              <w:t> </w:t>
            </w:r>
          </w:p>
        </w:tc>
        <w:tc>
          <w:tcPr>
            <w:tcW w:w="1267" w:type="dxa"/>
            <w:tcBorders/>
            <w:shd w:fill="auto" w:val="clear"/>
            <w:vAlign w:val="center"/>
          </w:tcPr>
          <w:p>
            <w:pPr>
              <w:pStyle w:val="TableContents"/>
              <w:spacing w:before="0" w:after="283"/>
              <w:rPr/>
            </w:pPr>
            <w:r>
              <w:rPr/>
              <w:t> </w:t>
            </w:r>
          </w:p>
        </w:tc>
      </w:tr>
      <w:tr>
        <w:trPr/>
        <w:tc>
          <w:tcPr>
            <w:tcW w:w="4336"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57"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  </w:t>
            </w:r>
          </w:p>
        </w:tc>
        <w:tc>
          <w:tcPr>
            <w:tcW w:w="1267" w:type="dxa"/>
            <w:tcBorders/>
            <w:shd w:fill="auto" w:val="clear"/>
            <w:vAlign w:val="center"/>
          </w:tcPr>
          <w:p>
            <w:pPr>
              <w:pStyle w:val="TableContents"/>
              <w:spacing w:before="0" w:after="283"/>
              <w:rPr/>
            </w:pPr>
            <w:r>
              <w:rPr/>
              <w:t> </w:t>
            </w:r>
          </w:p>
        </w:tc>
      </w:tr>
      <w:tr>
        <w:trPr/>
        <w:tc>
          <w:tcPr>
            <w:tcW w:w="4336"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Name:  </w:t>
            </w:r>
          </w:p>
        </w:tc>
        <w:tc>
          <w:tcPr>
            <w:tcW w:w="3665" w:type="dxa"/>
            <w:tcBorders/>
            <w:shd w:fill="auto" w:val="clear"/>
            <w:vAlign w:val="center"/>
          </w:tcPr>
          <w:p>
            <w:pPr>
              <w:pStyle w:val="TableContents"/>
              <w:spacing w:before="0" w:after="283"/>
              <w:jc w:val="left"/>
              <w:rPr/>
            </w:pPr>
            <w:r>
              <w:rPr/>
              <w:t>Phil Kramer </w:t>
            </w:r>
          </w:p>
        </w:tc>
        <w:tc>
          <w:tcPr>
            <w:tcW w:w="1267" w:type="dxa"/>
            <w:tcBorders/>
            <w:shd w:fill="auto" w:val="clear"/>
            <w:vAlign w:val="center"/>
          </w:tcPr>
          <w:p>
            <w:pPr>
              <w:pStyle w:val="TableContents"/>
              <w:spacing w:before="0" w:after="283"/>
              <w:rPr/>
            </w:pPr>
            <w:r>
              <w:rPr/>
              <w:t> </w:t>
            </w:r>
          </w:p>
        </w:tc>
      </w:tr>
      <w:tr>
        <w:trPr/>
        <w:tc>
          <w:tcPr>
            <w:tcW w:w="4336"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Title:  </w:t>
            </w:r>
          </w:p>
        </w:tc>
        <w:tc>
          <w:tcPr>
            <w:tcW w:w="3665" w:type="dxa"/>
            <w:tcBorders/>
            <w:shd w:fill="auto" w:val="clear"/>
            <w:vAlign w:val="center"/>
          </w:tcPr>
          <w:p>
            <w:pPr>
              <w:pStyle w:val="TableContents"/>
              <w:spacing w:before="0" w:after="283"/>
              <w:jc w:val="left"/>
              <w:rPr/>
            </w:pPr>
            <w:r>
              <w:rPr/>
              <w:t>Executive Vice President and</w:t>
              <w:br/>
              <w:t>Chief Financial Officer </w:t>
            </w:r>
          </w:p>
        </w:tc>
        <w:tc>
          <w:tcPr>
            <w:tcW w:w="126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451</Words>
  <CharactersWithSpaces>3053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