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200660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center"/>
        <w:ind w:right="260"/>
        <w:spacing w:after="0" w:line="342" w:lineRule="auto"/>
        <w:rPr>
          <w:sz w:val="20"/>
          <w:szCs w:val="20"/>
          <w:color w:val="auto"/>
        </w:rPr>
      </w:pPr>
      <w:r>
        <w:rPr>
          <w:rFonts w:ascii="Arial" w:cs="Arial" w:eastAsia="Arial" w:hAnsi="Arial"/>
          <w:sz w:val="16"/>
          <w:szCs w:val="16"/>
          <w:color w:val="auto"/>
        </w:rPr>
        <w:t>On June 11, 2020, Plains All American Pipeline, L.P. (the “Partnership”) and PAA Finance Corp. (together with the Partnership, the “Issuers”) completed the public offering (the “Offering”) of $750 million aggregate principal amount of the Issuers’ 3.800% Senior Notes due 2030 (the “Notes”).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Thirty-Second Supplemental Indenture dated as of June 11, 2020 by and among the Issuers and the Trustee (the “Supplemental Indenture”).</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Notes will mature on September 15, 2030. Interest is payable on the Notes on each March 15 and September 15, commencing on September 15, 2020. The Issuers may redeem some or all of the Notes at any time and from time to time prior to maturity at the redemption prices specified in the Indenture.</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Partnership to comply with its obligations under the Indenture, in certain cases subject to notice and grace periods;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Partnership and its Subsidiaries (as defined in the Indenture) in the aggregate principal amount of $25.0 million or more;</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Partnership or, if and so long as the Notes of that series are guaranteed by a subsidiary guarantor, by such subsidiary guarantor;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4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Other material terms of the Notes, the Base Indenture and the Supplemental Indenture are described in the prospectus supplement, dated June 8, 2020, as described below.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On June 8, 2020, the Issuers entered into an underwriting agreement (the “Underwriting Agreement”) with J.P. Morgan Securities LLC, Barclays Capital Inc., BofA Securities, Inc. and RBC Capital Markets, LLC, as representatives of the several underwriters named therein, relating to the Offering.</w:t>
      </w:r>
    </w:p>
    <w:p>
      <w:pPr>
        <w:spacing w:after="0" w:line="12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Notes were offered and sold under the Issuers’ shelf registration statement on Form S-3 (Registration No. 333-227358) filed with the Securities and Exchange Commission on September 14, 2018 (the “Registration Statement”) and are described in a prospectus supplement dated June 8, 2020 to the prospectus dated September 14, 2018, which is included in the Registration Statement.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Underwriting Agreement is filed as Exhibit 1.1 to this Current Report on Form 8-K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20" w:hanging="720"/>
        <w:spacing w:after="0" w:line="255" w:lineRule="auto"/>
        <w:tabs>
          <w:tab w:leader="none" w:pos="110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Underwriting Agreement, dated June 8, 2020, by and among Plains All American Pipeline, L.P., PAA Finance Corp. and J.P. Morgan</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Securities LLC, Barclays Capital Inc., BofA Securities, Inc. and RBC Capital Markets, LLC, as representatives of the several underwriters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named therein.</w:t>
        </w:r>
      </w:hyperlink>
    </w:p>
    <w:p>
      <w:pPr>
        <w:spacing w:after="0" w:line="2" w:lineRule="exact"/>
        <w:rPr>
          <w:rFonts w:ascii="Arial" w:cs="Arial" w:eastAsia="Arial" w:hAnsi="Arial"/>
          <w:sz w:val="18"/>
          <w:szCs w:val="18"/>
          <w:u w:val="single" w:color="auto"/>
          <w:color w:val="0000EE"/>
        </w:rPr>
      </w:pPr>
    </w:p>
    <w:p>
      <w:pPr>
        <w:ind w:left="1120" w:right="260" w:hanging="720"/>
        <w:spacing w:after="0" w:line="250" w:lineRule="auto"/>
        <w:tabs>
          <w:tab w:leader="none" w:pos="1100" w:val="left"/>
        </w:tabs>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50">
        <w:r>
          <w:rPr>
            <w:rFonts w:ascii="Arial" w:cs="Arial" w:eastAsia="Arial" w:hAnsi="Arial"/>
            <w:sz w:val="18"/>
            <w:szCs w:val="18"/>
            <w:u w:val="single" w:color="auto"/>
            <w:color w:val="0000EE"/>
          </w:rPr>
          <w:t>Thirty-Second Supplemental Indenture, dated June 11, 2020, by and among Plains All American Pipeline, L.P., PAA Finance Corp. and</w:t>
        </w:r>
      </w:hyperlink>
      <w:r>
        <w:rPr>
          <w:rFonts w:ascii="Arial" w:cs="Arial" w:eastAsia="Arial" w:hAnsi="Arial"/>
          <w:sz w:val="18"/>
          <w:szCs w:val="18"/>
          <w:u w:val="single" w:color="auto"/>
          <w:color w:val="0000EE"/>
        </w:rPr>
        <w:t xml:space="preserve"> </w:t>
      </w:r>
      <w:hyperlink w:anchor="page50">
        <w:r>
          <w:rPr>
            <w:rFonts w:ascii="Arial" w:cs="Arial" w:eastAsia="Arial" w:hAnsi="Arial"/>
            <w:sz w:val="18"/>
            <w:szCs w:val="18"/>
            <w:u w:val="single" w:color="auto"/>
            <w:color w:val="0000EE"/>
          </w:rPr>
          <w:t>U.S. Bank National Association, as trustee.</w:t>
        </w:r>
      </w:hyperlink>
    </w:p>
    <w:p>
      <w:pPr>
        <w:spacing w:after="0" w:line="1" w:lineRule="exact"/>
        <w:rPr>
          <w:rFonts w:ascii="Arial" w:cs="Arial" w:eastAsia="Arial" w:hAnsi="Arial"/>
          <w:sz w:val="18"/>
          <w:szCs w:val="18"/>
          <w:u w:val="single" w:color="auto"/>
          <w:color w:val="0000EE"/>
        </w:rPr>
      </w:pPr>
    </w:p>
    <w:p>
      <w:pPr>
        <w:ind w:left="400"/>
        <w:spacing w:after="0"/>
        <w:tabs>
          <w:tab w:leader="none" w:pos="1100" w:val="left"/>
        </w:tabs>
        <w:rPr>
          <w:rFonts w:ascii="Arial" w:cs="Arial" w:eastAsia="Arial" w:hAnsi="Arial"/>
          <w:sz w:val="16"/>
          <w:szCs w:val="16"/>
          <w:u w:val="single" w:color="auto"/>
          <w:color w:val="0000EE"/>
        </w:rPr>
      </w:pPr>
      <w:hyperlink w:anchor="page50">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50">
        <w:r>
          <w:rPr>
            <w:rFonts w:ascii="Arial" w:cs="Arial" w:eastAsia="Arial" w:hAnsi="Arial"/>
            <w:sz w:val="16"/>
            <w:szCs w:val="16"/>
            <w:u w:val="single" w:color="auto"/>
            <w:color w:val="0000EE"/>
          </w:rPr>
          <w:t>Form of 3.800% Senior Notes due 2030 (included in Exhibit 4.1).</w:t>
        </w:r>
      </w:hyperlink>
    </w:p>
    <w:p>
      <w:pPr>
        <w:spacing w:after="0" w:line="9" w:lineRule="exact"/>
        <w:rPr>
          <w:sz w:val="20"/>
          <w:szCs w:val="20"/>
          <w:color w:val="auto"/>
        </w:rPr>
      </w:pPr>
    </w:p>
    <w:p>
      <w:pPr>
        <w:ind w:left="400"/>
        <w:spacing w:after="0"/>
        <w:tabs>
          <w:tab w:leader="none" w:pos="1100" w:val="left"/>
        </w:tabs>
        <w:rPr>
          <w:rFonts w:ascii="Arial" w:cs="Arial" w:eastAsia="Arial" w:hAnsi="Arial"/>
          <w:sz w:val="17"/>
          <w:szCs w:val="17"/>
          <w:u w:val="single" w:color="auto"/>
          <w:color w:val="0000EE"/>
        </w:rPr>
      </w:pPr>
      <w:hyperlink w:anchor="page88">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88">
        <w:r>
          <w:rPr>
            <w:rFonts w:ascii="Arial" w:cs="Arial" w:eastAsia="Arial" w:hAnsi="Arial"/>
            <w:sz w:val="17"/>
            <w:szCs w:val="17"/>
            <w:u w:val="single" w:color="auto"/>
            <w:color w:val="0000EE"/>
          </w:rPr>
          <w:t>Opinion of Vinson &amp; Elkins L.L.P.</w:t>
        </w:r>
      </w:hyperlink>
    </w:p>
    <w:p>
      <w:pPr>
        <w:spacing w:after="0" w:line="9" w:lineRule="exact"/>
        <w:rPr>
          <w:sz w:val="20"/>
          <w:szCs w:val="20"/>
          <w:color w:val="auto"/>
        </w:rPr>
      </w:pPr>
    </w:p>
    <w:p>
      <w:pPr>
        <w:ind w:left="400"/>
        <w:spacing w:after="0"/>
        <w:tabs>
          <w:tab w:leader="none" w:pos="1100" w:val="left"/>
        </w:tabs>
        <w:rPr>
          <w:rFonts w:ascii="Arial" w:cs="Arial" w:eastAsia="Arial" w:hAnsi="Arial"/>
          <w:sz w:val="16"/>
          <w:szCs w:val="16"/>
          <w:u w:val="single" w:color="auto"/>
          <w:color w:val="0000EE"/>
        </w:rPr>
      </w:pPr>
      <w:hyperlink w:anchor="page88">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88">
        <w:r>
          <w:rPr>
            <w:rFonts w:ascii="Arial" w:cs="Arial" w:eastAsia="Arial" w:hAnsi="Arial"/>
            <w:sz w:val="16"/>
            <w:szCs w:val="16"/>
            <w:u w:val="single" w:color="auto"/>
            <w:color w:val="0000EE"/>
          </w:rPr>
          <w:t>Consent of Vinson &amp; Elkins L.L.P. (included in Exhibit 5.1).</w:t>
        </w:r>
      </w:hyperlink>
    </w:p>
    <w:p>
      <w:pPr>
        <w:spacing w:after="0" w:line="9" w:lineRule="exact"/>
        <w:rPr>
          <w:sz w:val="20"/>
          <w:szCs w:val="20"/>
          <w:color w:val="auto"/>
        </w:rPr>
      </w:pPr>
    </w:p>
    <w:p>
      <w:pPr>
        <w:ind w:left="5580" w:right="4200" w:hanging="5183"/>
        <w:spacing w:after="0" w:line="761" w:lineRule="auto"/>
        <w:tabs>
          <w:tab w:leader="none" w:pos="111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June 11,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48"/>
        </w:trPr>
        <w:tc>
          <w:tcPr>
            <w:tcW w:w="62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i w:val="1"/>
          <w:iCs w:val="1"/>
          <w:color w:val="auto"/>
        </w:rPr>
        <w:t>Exhibit 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$750,000,000 3.800% Senior Notes due 2030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Plains All American Pipeline, L.P., a Delaware limited partnership (the “</w:t>
      </w:r>
      <w:r>
        <w:rPr>
          <w:rFonts w:ascii="Arial" w:cs="Arial" w:eastAsia="Arial" w:hAnsi="Arial"/>
          <w:sz w:val="17"/>
          <w:szCs w:val="17"/>
          <w:b w:val="1"/>
          <w:bCs w:val="1"/>
          <w:u w:val="single" w:color="auto"/>
          <w:color w:val="auto"/>
        </w:rPr>
        <w:t>Partnership</w:t>
      </w:r>
      <w:r>
        <w:rPr>
          <w:rFonts w:ascii="Arial" w:cs="Arial" w:eastAsia="Arial" w:hAnsi="Arial"/>
          <w:sz w:val="17"/>
          <w:szCs w:val="17"/>
          <w:color w:val="auto"/>
        </w:rPr>
        <w:t>”), and PAA Finance Corp., a Delaware corporation (“</w:t>
      </w:r>
      <w:r>
        <w:rPr>
          <w:rFonts w:ascii="Arial" w:cs="Arial" w:eastAsia="Arial" w:hAnsi="Arial"/>
          <w:sz w:val="17"/>
          <w:szCs w:val="17"/>
          <w:b w:val="1"/>
          <w:bCs w:val="1"/>
          <w:u w:val="single" w:color="auto"/>
          <w:color w:val="auto"/>
        </w:rPr>
        <w:t>PAA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Finance</w:t>
      </w:r>
      <w:r>
        <w:rPr>
          <w:rFonts w:ascii="Arial" w:cs="Arial" w:eastAsia="Arial" w:hAnsi="Arial"/>
          <w:sz w:val="17"/>
          <w:szCs w:val="17"/>
          <w:color w:val="auto"/>
        </w:rPr>
        <w:t>” and, together with the Partnership, the “</w:t>
      </w:r>
      <w:r>
        <w:rPr>
          <w:rFonts w:ascii="Arial" w:cs="Arial" w:eastAsia="Arial" w:hAnsi="Arial"/>
          <w:sz w:val="17"/>
          <w:szCs w:val="17"/>
          <w:b w:val="1"/>
          <w:bCs w:val="1"/>
          <w:u w:val="single" w:color="auto"/>
          <w:color w:val="auto"/>
        </w:rPr>
        <w:t>Issuers</w:t>
      </w:r>
      <w:r>
        <w:rPr>
          <w:rFonts w:ascii="Arial" w:cs="Arial" w:eastAsia="Arial" w:hAnsi="Arial"/>
          <w:sz w:val="17"/>
          <w:szCs w:val="17"/>
          <w:color w:val="auto"/>
        </w:rPr>
        <w:t>”), propose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Underwriters</w:t>
      </w:r>
      <w:r>
        <w:rPr>
          <w:rFonts w:ascii="Arial" w:cs="Arial" w:eastAsia="Arial" w:hAnsi="Arial"/>
          <w:sz w:val="17"/>
          <w:szCs w:val="17"/>
          <w:color w:val="auto"/>
        </w:rPr>
        <w:t>”), for whom J.P. Morgan Securities LLC, Barclays Capital Inc., BofA Securities, Inc. and RBC Capital Markets, LLC are acting as the representatives (the “</w:t>
      </w:r>
      <w:r>
        <w:rPr>
          <w:rFonts w:ascii="Arial" w:cs="Arial" w:eastAsia="Arial" w:hAnsi="Arial"/>
          <w:sz w:val="17"/>
          <w:szCs w:val="17"/>
          <w:b w:val="1"/>
          <w:bCs w:val="1"/>
          <w:u w:val="single" w:color="auto"/>
          <w:color w:val="auto"/>
        </w:rPr>
        <w:t>Representatives</w:t>
      </w:r>
      <w:r>
        <w:rPr>
          <w:rFonts w:ascii="Arial" w:cs="Arial" w:eastAsia="Arial" w:hAnsi="Arial"/>
          <w:sz w:val="17"/>
          <w:szCs w:val="17"/>
          <w:color w:val="auto"/>
        </w:rPr>
        <w:t>”), $750,000,000 aggregate principal amount of 3.800% Senior Notes due 2030 (the “</w:t>
      </w:r>
      <w:r>
        <w:rPr>
          <w:rFonts w:ascii="Arial" w:cs="Arial" w:eastAsia="Arial" w:hAnsi="Arial"/>
          <w:sz w:val="17"/>
          <w:szCs w:val="17"/>
          <w:b w:val="1"/>
          <w:bCs w:val="1"/>
          <w:u w:val="single" w:color="auto"/>
          <w:color w:val="auto"/>
        </w:rPr>
        <w:t>Notes</w:t>
      </w:r>
      <w:r>
        <w:rPr>
          <w:rFonts w:ascii="Arial" w:cs="Arial" w:eastAsia="Arial" w:hAnsi="Arial"/>
          <w:sz w:val="17"/>
          <w:szCs w:val="17"/>
          <w:color w:val="auto"/>
        </w:rPr>
        <w:t>”). The Notes are to be issued under an indenture dated as of September 25, 2002 (the “</w:t>
      </w:r>
      <w:r>
        <w:rPr>
          <w:rFonts w:ascii="Arial" w:cs="Arial" w:eastAsia="Arial" w:hAnsi="Arial"/>
          <w:sz w:val="17"/>
          <w:szCs w:val="17"/>
          <w:b w:val="1"/>
          <w:bCs w:val="1"/>
          <w:u w:val="single" w:color="auto"/>
          <w:color w:val="auto"/>
        </w:rPr>
        <w:t>Base Indenture</w:t>
      </w:r>
      <w:r>
        <w:rPr>
          <w:rFonts w:ascii="Arial" w:cs="Arial" w:eastAsia="Arial" w:hAnsi="Arial"/>
          <w:sz w:val="17"/>
          <w:szCs w:val="17"/>
          <w:color w:val="auto"/>
        </w:rPr>
        <w:t>”), among the Issuers and U.S. Bank National Association, as successor trustee (the “</w:t>
      </w:r>
      <w:r>
        <w:rPr>
          <w:rFonts w:ascii="Arial" w:cs="Arial" w:eastAsia="Arial" w:hAnsi="Arial"/>
          <w:sz w:val="17"/>
          <w:szCs w:val="17"/>
          <w:b w:val="1"/>
          <w:bCs w:val="1"/>
          <w:u w:val="single" w:color="auto"/>
          <w:color w:val="auto"/>
        </w:rPr>
        <w:t>Trustee</w:t>
      </w:r>
      <w:r>
        <w:rPr>
          <w:rFonts w:ascii="Arial" w:cs="Arial" w:eastAsia="Arial" w:hAnsi="Arial"/>
          <w:sz w:val="17"/>
          <w:szCs w:val="17"/>
          <w:color w:val="auto"/>
        </w:rPr>
        <w:t>”), as supplemented by the Thirty-Second Supplemental Indenture to be dated as of June 11, 2020, among the Issuers and the Trustee (the “</w:t>
      </w:r>
      <w:r>
        <w:rPr>
          <w:rFonts w:ascii="Arial" w:cs="Arial" w:eastAsia="Arial" w:hAnsi="Arial"/>
          <w:sz w:val="17"/>
          <w:szCs w:val="17"/>
          <w:b w:val="1"/>
          <w:bCs w:val="1"/>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u w:val="single" w:color="auto"/>
          <w:color w:val="auto"/>
        </w:rPr>
        <w:t>Indenture</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is the general partner of the Partnership.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owns a 100% membership interest in the General Partner.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is the general partner of Plains AAP. Plains GP Holdings, L.P., a Delaware limited partnership (“</w:t>
      </w:r>
      <w:r>
        <w:rPr>
          <w:rFonts w:ascii="Arial" w:cs="Arial" w:eastAsia="Arial" w:hAnsi="Arial"/>
          <w:sz w:val="18"/>
          <w:szCs w:val="18"/>
          <w:b w:val="1"/>
          <w:bCs w:val="1"/>
          <w:u w:val="single" w:color="auto"/>
          <w:color w:val="auto"/>
        </w:rPr>
        <w:t>PAGP</w:t>
      </w:r>
      <w:r>
        <w:rPr>
          <w:rFonts w:ascii="Arial" w:cs="Arial" w:eastAsia="Arial" w:hAnsi="Arial"/>
          <w:sz w:val="18"/>
          <w:szCs w:val="18"/>
          <w:color w:val="auto"/>
        </w:rPr>
        <w:t>”), owns a 100% membership interest in GP LLC. PAA GP Holdings LLC, a Delaware limited liability company (“</w:t>
      </w:r>
      <w:r>
        <w:rPr>
          <w:rFonts w:ascii="Arial" w:cs="Arial" w:eastAsia="Arial" w:hAnsi="Arial"/>
          <w:sz w:val="18"/>
          <w:szCs w:val="18"/>
          <w:b w:val="1"/>
          <w:bCs w:val="1"/>
          <w:u w:val="single" w:color="auto"/>
          <w:color w:val="auto"/>
        </w:rPr>
        <w:t>PAGP GP</w:t>
      </w:r>
      <w:r>
        <w:rPr>
          <w:rFonts w:ascii="Arial" w:cs="Arial" w:eastAsia="Arial" w:hAnsi="Arial"/>
          <w:sz w:val="18"/>
          <w:szCs w:val="18"/>
          <w:color w:val="auto"/>
        </w:rPr>
        <w:t>” and, collectively with the General Partner, Plains AAP, GP LLC and PAGP, the “</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is the general partner of PAGP.</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u w:val="single" w:color="auto"/>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u w:val="single" w:color="auto"/>
          <w:color w:val="auto"/>
        </w:rPr>
        <w:t>Domestic Subsidiaries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color w:val="auto"/>
        </w:rPr>
        <w:t>This is to confirm the agreement among the Issuers and the Underwriters concerning the several purchases of the Notes by the Underwriters.</w:t>
      </w:r>
    </w:p>
    <w:p>
      <w:pPr>
        <w:spacing w:after="0" w:line="244" w:lineRule="exact"/>
        <w:rPr>
          <w:sz w:val="20"/>
          <w:szCs w:val="20"/>
          <w:color w:val="auto"/>
        </w:rPr>
      </w:pPr>
    </w:p>
    <w:p>
      <w:pPr>
        <w:ind w:left="944" w:hanging="944"/>
        <w:spacing w:after="0"/>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of the Issuers</w:t>
      </w:r>
      <w:r>
        <w:rPr>
          <w:rFonts w:ascii="Arial" w:cs="Arial" w:eastAsia="Arial" w:hAnsi="Arial"/>
          <w:sz w:val="16"/>
          <w:szCs w:val="16"/>
          <w:color w:val="auto"/>
        </w:rPr>
        <w:t>. The Issuers, jointly and severally, represent and warrant to the Underwriters that:</w:t>
      </w:r>
    </w:p>
    <w:p>
      <w:pPr>
        <w:spacing w:after="0" w:line="252" w:lineRule="exact"/>
        <w:rPr>
          <w:rFonts w:ascii="Arial" w:cs="Arial" w:eastAsia="Arial" w:hAnsi="Arial"/>
          <w:sz w:val="16"/>
          <w:szCs w:val="16"/>
          <w:color w:val="auto"/>
        </w:rPr>
      </w:pPr>
    </w:p>
    <w:p>
      <w:pPr>
        <w:jc w:val="both"/>
        <w:ind w:left="4" w:firstLine="644"/>
        <w:spacing w:after="0" w:line="275" w:lineRule="auto"/>
        <w:tabs>
          <w:tab w:leader="none" w:pos="1594"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 A registration statement on Form S-3 relating to the Notes (File No. 333-227358) (i) has been prepared by the Issuers in conformity with the requirements of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and the rules and regulations (the “</w:t>
      </w:r>
      <w:r>
        <w:rPr>
          <w:rFonts w:ascii="Arial" w:cs="Arial" w:eastAsia="Arial" w:hAnsi="Arial"/>
          <w:sz w:val="17"/>
          <w:szCs w:val="17"/>
          <w:b w:val="1"/>
          <w:bCs w:val="1"/>
          <w:u w:val="single" w:color="auto"/>
          <w:color w:val="auto"/>
        </w:rPr>
        <w:t>Rules and Regulations</w:t>
      </w:r>
      <w:r>
        <w:rPr>
          <w:rFonts w:ascii="Arial" w:cs="Arial" w:eastAsia="Arial" w:hAnsi="Arial"/>
          <w:sz w:val="17"/>
          <w:szCs w:val="17"/>
          <w:color w:val="auto"/>
        </w:rPr>
        <w:t>”) of the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172" w:lineRule="exact"/>
        <w:rPr>
          <w:rFonts w:ascii="Arial" w:cs="Arial" w:eastAsia="Arial" w:hAnsi="Arial"/>
          <w:sz w:val="17"/>
          <w:szCs w:val="17"/>
          <w:color w:val="auto"/>
        </w:rPr>
      </w:pPr>
    </w:p>
    <w:p>
      <w:pPr>
        <w:ind w:left="644" w:right="20" w:firstLine="652"/>
        <w:spacing w:after="0" w:line="282" w:lineRule="auto"/>
        <w:tabs>
          <w:tab w:leader="none" w:pos="2159"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3:15 p.m., New York City time, on June 8, 2020, which the Underwriters have informed the Issuers and their counsel is a time prior to the first sale of the Notes;</w:t>
      </w:r>
    </w:p>
    <w:p>
      <w:pPr>
        <w:spacing w:after="0" w:line="161" w:lineRule="exact"/>
        <w:rPr>
          <w:rFonts w:ascii="Arial" w:cs="Arial" w:eastAsia="Arial" w:hAnsi="Arial"/>
          <w:sz w:val="18"/>
          <w:szCs w:val="18"/>
          <w:color w:val="auto"/>
        </w:rPr>
      </w:pPr>
    </w:p>
    <w:p>
      <w:pPr>
        <w:ind w:left="2144" w:hanging="848"/>
        <w:spacing w:after="0"/>
        <w:tabs>
          <w:tab w:leader="none" w:pos="2144" w:val="left"/>
        </w:tabs>
        <w:numPr>
          <w:ilvl w:val="2"/>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Base Prospectus</w:t>
      </w:r>
      <w:r>
        <w:rPr>
          <w:rFonts w:ascii="Arial" w:cs="Arial" w:eastAsia="Arial" w:hAnsi="Arial"/>
          <w:sz w:val="17"/>
          <w:szCs w:val="17"/>
          <w:color w:val="auto"/>
        </w:rPr>
        <w:t>” means the base prospectus included in the Registration Statement at the Applicable Time;</w:t>
      </w:r>
    </w:p>
    <w:p>
      <w:pPr>
        <w:spacing w:after="0" w:line="236" w:lineRule="exact"/>
        <w:rPr>
          <w:rFonts w:ascii="Arial" w:cs="Arial" w:eastAsia="Arial" w:hAnsi="Arial"/>
          <w:sz w:val="17"/>
          <w:szCs w:val="17"/>
          <w:color w:val="auto"/>
        </w:rPr>
      </w:pPr>
    </w:p>
    <w:p>
      <w:pPr>
        <w:ind w:left="644" w:firstLine="652"/>
        <w:spacing w:after="0" w:line="282" w:lineRule="auto"/>
        <w:tabs>
          <w:tab w:leader="none" w:pos="2129"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61" w:lineRule="exact"/>
        <w:rPr>
          <w:rFonts w:ascii="Arial" w:cs="Arial" w:eastAsia="Arial" w:hAnsi="Arial"/>
          <w:sz w:val="18"/>
          <w:szCs w:val="18"/>
          <w:color w:val="auto"/>
        </w:rPr>
      </w:pPr>
    </w:p>
    <w:p>
      <w:pPr>
        <w:jc w:val="both"/>
        <w:ind w:left="644" w:firstLine="652"/>
        <w:spacing w:after="0" w:line="266" w:lineRule="auto"/>
        <w:tabs>
          <w:tab w:leader="none" w:pos="2186"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75" w:lineRule="exact"/>
        <w:rPr>
          <w:rFonts w:ascii="Arial" w:cs="Arial" w:eastAsia="Arial" w:hAnsi="Arial"/>
          <w:sz w:val="18"/>
          <w:szCs w:val="18"/>
          <w:color w:val="auto"/>
        </w:rPr>
      </w:pPr>
    </w:p>
    <w:p>
      <w:pPr>
        <w:jc w:val="both"/>
        <w:ind w:left="644" w:firstLine="652"/>
        <w:spacing w:after="0" w:line="266" w:lineRule="auto"/>
        <w:tabs>
          <w:tab w:leader="none" w:pos="2316"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Preliminary Prospectus</w:t>
      </w:r>
      <w:r>
        <w:rPr>
          <w:rFonts w:ascii="Arial" w:cs="Arial" w:eastAsia="Arial" w:hAnsi="Arial"/>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75" w:lineRule="exact"/>
        <w:rPr>
          <w:rFonts w:ascii="Arial" w:cs="Arial" w:eastAsia="Arial" w:hAnsi="Arial"/>
          <w:sz w:val="18"/>
          <w:szCs w:val="18"/>
          <w:color w:val="auto"/>
        </w:rPr>
      </w:pPr>
    </w:p>
    <w:p>
      <w:pPr>
        <w:ind w:left="2344" w:hanging="1048"/>
        <w:spacing w:after="0"/>
        <w:tabs>
          <w:tab w:leader="none" w:pos="2344" w:val="left"/>
        </w:tabs>
        <w:numPr>
          <w:ilvl w:val="2"/>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Pricing Disclosure Package</w:t>
      </w:r>
      <w:r>
        <w:rPr>
          <w:rFonts w:ascii="Arial" w:cs="Arial" w:eastAsia="Arial" w:hAnsi="Arial"/>
          <w:sz w:val="16"/>
          <w:szCs w:val="16"/>
          <w:color w:val="auto"/>
        </w:rPr>
        <w:t>” means, as of the Applicable Time, (A) the most recent Preliminary Prospectus,</w:t>
      </w:r>
    </w:p>
    <w:p>
      <w:pPr>
        <w:spacing w:after="0" w:line="50" w:lineRule="exact"/>
        <w:rPr>
          <w:rFonts w:ascii="Arial" w:cs="Arial" w:eastAsia="Arial" w:hAnsi="Arial"/>
          <w:sz w:val="16"/>
          <w:szCs w:val="16"/>
          <w:color w:val="auto"/>
        </w:rPr>
      </w:pPr>
    </w:p>
    <w:p>
      <w:pPr>
        <w:jc w:val="both"/>
        <w:ind w:left="644"/>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(B) the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(C) each other Issuer Free Writing Prospectus filed or used by the Issuers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under Rule 433 of the Rules and Regulations;</w:t>
      </w:r>
    </w:p>
    <w:p>
      <w:pPr>
        <w:spacing w:after="0" w:line="185" w:lineRule="exact"/>
        <w:rPr>
          <w:rFonts w:ascii="Arial" w:cs="Arial" w:eastAsia="Arial" w:hAnsi="Arial"/>
          <w:sz w:val="16"/>
          <w:szCs w:val="16"/>
          <w:color w:val="auto"/>
        </w:rPr>
      </w:pPr>
    </w:p>
    <w:p>
      <w:pPr>
        <w:ind w:left="644" w:firstLine="652"/>
        <w:spacing w:after="0" w:line="347" w:lineRule="auto"/>
        <w:tabs>
          <w:tab w:leader="none" w:pos="2231" w:val="left"/>
        </w:tabs>
        <w:numPr>
          <w:ilvl w:val="2"/>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33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 w:name="page7"/>
    <w:bookmarkEnd w:id="6"/>
    <w:p>
      <w:pPr>
        <w:ind w:left="640" w:firstLine="652"/>
        <w:spacing w:after="0" w:line="312" w:lineRule="auto"/>
        <w:tabs>
          <w:tab w:leader="none" w:pos="2021"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the registration statement on Form S-3 (File No. 333-227358), as amended as of the Effective Date, including any Preliminary Prospectus or the Prospectus and all exhibits to such registration statement.</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Arial" w:cs="Arial" w:eastAsia="Arial" w:hAnsi="Arial"/>
          <w:sz w:val="16"/>
          <w:szCs w:val="16"/>
          <w:b w:val="1"/>
          <w:bCs w:val="1"/>
          <w:u w:val="single" w:color="auto"/>
          <w:color w:val="auto"/>
        </w:rPr>
        <w:t>most recent Preliminary Prospectus</w:t>
      </w:r>
      <w:r>
        <w:rPr>
          <w:rFonts w:ascii="Arial" w:cs="Arial" w:eastAsia="Arial" w:hAnsi="Arial"/>
          <w:sz w:val="16"/>
          <w:szCs w:val="16"/>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172" w:lineRule="exact"/>
        <w:rPr>
          <w:sz w:val="20"/>
          <w:szCs w:val="20"/>
          <w:color w:val="auto"/>
        </w:rPr>
      </w:pPr>
    </w:p>
    <w:p>
      <w:pPr>
        <w:jc w:val="both"/>
        <w:ind w:firstLine="644"/>
        <w:spacing w:after="0" w:line="291" w:lineRule="auto"/>
        <w:tabs>
          <w:tab w:leader="none" w:pos="1802"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Form of Documents</w:t>
      </w:r>
      <w:r>
        <w:rPr>
          <w:rFonts w:ascii="Arial" w:cs="Arial" w:eastAsia="Arial" w:hAnsi="Arial"/>
          <w:sz w:val="16"/>
          <w:szCs w:val="16"/>
          <w:color w:val="auto"/>
        </w:rPr>
        <w:t>. The Registration Statement conformed in all material respects on the Effective Date and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Arial" w:cs="Arial" w:eastAsia="Arial" w:hAnsi="Arial"/>
          <w:sz w:val="16"/>
          <w:szCs w:val="16"/>
          <w:b w:val="1"/>
          <w:bCs w:val="1"/>
          <w:u w:val="single" w:color="auto"/>
          <w:color w:val="auto"/>
        </w:rPr>
        <w:t>Trust Indenture Act</w:t>
      </w:r>
      <w:r>
        <w:rPr>
          <w:rFonts w:ascii="Arial" w:cs="Arial" w:eastAsia="Arial" w:hAnsi="Arial"/>
          <w:sz w:val="16"/>
          <w:szCs w:val="16"/>
          <w:color w:val="auto"/>
        </w:rPr>
        <w:t>”).</w:t>
      </w:r>
    </w:p>
    <w:p>
      <w:pPr>
        <w:spacing w:after="0" w:line="37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jc w:val="both"/>
        <w:ind w:left="-460" w:firstLine="644"/>
        <w:spacing w:after="0" w:line="277" w:lineRule="auto"/>
        <w:tabs>
          <w:tab w:leader="none" w:pos="1184"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Registration Statement</w:t>
      </w:r>
      <w:r>
        <w:rPr>
          <w:rFonts w:ascii="Arial" w:cs="Arial" w:eastAsia="Arial" w:hAnsi="Arial"/>
          <w:sz w:val="17"/>
          <w:szCs w:val="17"/>
          <w:color w:val="auto"/>
        </w:rPr>
        <w:t>. The Registration Statement did not, as of its most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recent 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jc w:val="both"/>
        <w:ind w:left="-460" w:firstLine="644"/>
        <w:spacing w:after="0" w:line="277" w:lineRule="auto"/>
        <w:tabs>
          <w:tab w:leader="none" w:pos="1126"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Prospectus</w:t>
      </w:r>
      <w:r>
        <w:rPr>
          <w:rFonts w:ascii="Arial" w:cs="Arial" w:eastAsia="Arial" w:hAnsi="Arial"/>
          <w:sz w:val="17"/>
          <w:szCs w:val="17"/>
          <w:color w:val="auto"/>
        </w:rPr>
        <w:t>. The Prospectus will not, as of its date and on the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jc w:val="both"/>
        <w:ind w:left="-460" w:firstLine="644"/>
        <w:spacing w:after="0" w:line="289" w:lineRule="auto"/>
        <w:tabs>
          <w:tab w:leader="none" w:pos="1076"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Documents Incorporated by Reference</w:t>
      </w:r>
      <w:r>
        <w:rPr>
          <w:rFonts w:ascii="Arial" w:cs="Arial" w:eastAsia="Arial" w:hAnsi="Arial"/>
          <w:sz w:val="17"/>
          <w:szCs w:val="17"/>
          <w:color w:val="auto"/>
        </w:rPr>
        <w:t>. The Incorporated Documents, when</w:t>
      </w:r>
      <w:r>
        <w:rPr>
          <w:rFonts w:ascii="Arial" w:cs="Arial" w:eastAsia="Arial" w:hAnsi="Arial"/>
          <w:sz w:val="17"/>
          <w:szCs w:val="17"/>
          <w:b w:val="1"/>
          <w:bCs w:val="1"/>
          <w:color w:val="auto"/>
        </w:rPr>
        <w:t xml:space="preserve"> </w:t>
      </w:r>
      <w:r>
        <w:rPr>
          <w:rFonts w:ascii="Arial" w:cs="Arial" w:eastAsia="Arial" w:hAnsi="Arial"/>
          <w:sz w:val="17"/>
          <w:szCs w:val="17"/>
          <w:color w:val="auto"/>
        </w:rPr>
        <w:t>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57" w:lineRule="exact"/>
        <w:rPr>
          <w:rFonts w:ascii="Arial" w:cs="Arial" w:eastAsia="Arial" w:hAnsi="Arial"/>
          <w:sz w:val="17"/>
          <w:szCs w:val="17"/>
          <w:color w:val="auto"/>
        </w:rPr>
      </w:pPr>
    </w:p>
    <w:p>
      <w:pPr>
        <w:jc w:val="both"/>
        <w:ind w:left="-460" w:firstLine="644"/>
        <w:spacing w:after="0" w:line="256" w:lineRule="auto"/>
        <w:tabs>
          <w:tab w:leader="none" w:pos="118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No Material Misstatements or Omissions in Pricing Disclosure Package</w:t>
      </w:r>
      <w:r>
        <w:rPr>
          <w:rFonts w:ascii="Arial" w:cs="Arial" w:eastAsia="Arial" w:hAnsi="Arial"/>
          <w:sz w:val="18"/>
          <w:szCs w:val="18"/>
          <w:color w:val="auto"/>
        </w:rPr>
        <w:t>. The Pricing Disclosure Package did not, as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460" w:firstLine="644"/>
        <w:spacing w:after="0" w:line="292" w:lineRule="auto"/>
        <w:tabs>
          <w:tab w:leader="none" w:pos="1248"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Misstatements or Omissions in Issuer Free Writing Prospectus and Pricing Disclosure Package</w:t>
      </w:r>
      <w:r>
        <w:rPr>
          <w:rFonts w:ascii="Arial" w:cs="Arial" w:eastAsia="Arial" w:hAnsi="Arial"/>
          <w:sz w:val="16"/>
          <w:szCs w:val="16"/>
          <w:color w:val="auto"/>
        </w:rPr>
        <w:t>.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jc w:val="both"/>
        <w:ind w:left="-460" w:firstLine="644"/>
        <w:spacing w:after="0" w:line="254" w:lineRule="auto"/>
        <w:tabs>
          <w:tab w:leader="none" w:pos="141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Issuer Free Writing Prospectuses Conform to the Requirements of the Securities Act</w:t>
      </w:r>
      <w:r>
        <w:rPr>
          <w:rFonts w:ascii="Arial" w:cs="Arial" w:eastAsia="Arial" w:hAnsi="Arial"/>
          <w:sz w:val="18"/>
          <w:szCs w:val="18"/>
          <w:color w:val="auto"/>
        </w:rPr>
        <w:t>. Each Issuer Free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191" w:lineRule="exact"/>
        <w:rPr>
          <w:rFonts w:ascii="Arial" w:cs="Arial" w:eastAsia="Arial" w:hAnsi="Arial"/>
          <w:sz w:val="18"/>
          <w:szCs w:val="18"/>
          <w:color w:val="auto"/>
        </w:rPr>
      </w:pPr>
    </w:p>
    <w:p>
      <w:pPr>
        <w:jc w:val="both"/>
        <w:ind w:left="-460" w:firstLine="644"/>
        <w:spacing w:after="0" w:line="258" w:lineRule="auto"/>
        <w:tabs>
          <w:tab w:leader="none" w:pos="1298"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Well-Known Seasoned Issuer and Not an Ineligible Issuer</w:t>
      </w:r>
      <w:r>
        <w:rPr>
          <w:rFonts w:ascii="Arial" w:cs="Arial" w:eastAsia="Arial" w:hAnsi="Arial"/>
          <w:sz w:val="18"/>
          <w:szCs w:val="18"/>
          <w:color w:val="auto"/>
        </w:rPr>
        <w:t>. Each of the Issuers is a “well-known seasoned issuer”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183" w:lineRule="exact"/>
        <w:rPr>
          <w:rFonts w:ascii="Arial" w:cs="Arial" w:eastAsia="Arial" w:hAnsi="Arial"/>
          <w:sz w:val="18"/>
          <w:szCs w:val="18"/>
          <w:color w:val="auto"/>
        </w:rPr>
      </w:pPr>
    </w:p>
    <w:p>
      <w:pPr>
        <w:jc w:val="both"/>
        <w:ind w:left="-460" w:firstLine="644"/>
        <w:spacing w:after="0" w:line="269" w:lineRule="auto"/>
        <w:tabs>
          <w:tab w:leader="none" w:pos="1244"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Formation and Qualification of Certain Entities</w:t>
      </w:r>
      <w:r>
        <w:rPr>
          <w:rFonts w:ascii="Arial" w:cs="Arial" w:eastAsia="Arial" w:hAnsi="Arial"/>
          <w:sz w:val="17"/>
          <w:szCs w:val="17"/>
          <w:color w:val="auto"/>
        </w:rPr>
        <w:t>. Each of the Issuers, the GP Entities and the Material Subsidiaries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and the Partnership (collectively, the “</w:t>
      </w:r>
      <w:r>
        <w:rPr>
          <w:rFonts w:ascii="Arial" w:cs="Arial" w:eastAsia="Arial" w:hAnsi="Arial"/>
          <w:sz w:val="17"/>
          <w:szCs w:val="17"/>
          <w:b w:val="1"/>
          <w:bCs w:val="1"/>
          <w:u w:val="single" w:color="auto"/>
          <w:color w:val="auto"/>
        </w:rPr>
        <w:t>Plains Entities</w:t>
      </w:r>
      <w:r>
        <w:rPr>
          <w:rFonts w:ascii="Arial" w:cs="Arial" w:eastAsia="Arial" w:hAnsi="Arial"/>
          <w:sz w:val="17"/>
          <w:szCs w:val="17"/>
          <w:color w:val="auto"/>
        </w:rPr>
        <w:t>”), taken as a whole (a “</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or (ii) subject the limited partners of the Partnership to any material liability or disability.</w:t>
      </w:r>
    </w:p>
    <w:p>
      <w:pPr>
        <w:spacing w:after="0" w:line="3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460" w:firstLine="644"/>
        <w:spacing w:after="0" w:line="314" w:lineRule="auto"/>
        <w:tabs>
          <w:tab w:leader="none" w:pos="1113"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Partners</w:t>
      </w:r>
      <w:r>
        <w:rPr>
          <w:rFonts w:ascii="Arial" w:cs="Arial" w:eastAsia="Arial" w:hAnsi="Arial"/>
          <w:sz w:val="16"/>
          <w:szCs w:val="16"/>
          <w:color w:val="auto"/>
        </w:rPr>
        <w:t>. Each Plains Entity or GP Entity that serves as a general partner of another Plains Entity or GP Entity has</w:t>
      </w:r>
      <w:r>
        <w:rPr>
          <w:rFonts w:ascii="Arial" w:cs="Arial" w:eastAsia="Arial" w:hAnsi="Arial"/>
          <w:sz w:val="16"/>
          <w:szCs w:val="16"/>
          <w:b w:val="1"/>
          <w:bCs w:val="1"/>
          <w:color w:val="auto"/>
        </w:rPr>
        <w:t xml:space="preserve"> </w:t>
      </w:r>
      <w:r>
        <w:rPr>
          <w:rFonts w:ascii="Arial" w:cs="Arial" w:eastAsia="Arial" w:hAnsi="Arial"/>
          <w:sz w:val="16"/>
          <w:szCs w:val="16"/>
          <w:color w:val="auto"/>
        </w:rPr>
        <w:t>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141" w:lineRule="exact"/>
        <w:rPr>
          <w:rFonts w:ascii="Arial" w:cs="Arial" w:eastAsia="Arial" w:hAnsi="Arial"/>
          <w:sz w:val="16"/>
          <w:szCs w:val="16"/>
          <w:color w:val="auto"/>
        </w:rPr>
      </w:pPr>
    </w:p>
    <w:p>
      <w:pPr>
        <w:jc w:val="both"/>
        <w:ind w:left="-460" w:firstLine="644"/>
        <w:spacing w:after="0" w:line="285" w:lineRule="auto"/>
        <w:tabs>
          <w:tab w:leader="none" w:pos="1352"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Ownership of Interests in the Partnership, the General Partner, Plains AAP, GP LLC and PAGP</w:t>
      </w:r>
      <w:r>
        <w:rPr>
          <w:rFonts w:ascii="Arial" w:cs="Arial" w:eastAsia="Arial" w:hAnsi="Arial"/>
          <w:sz w:val="16"/>
          <w:szCs w:val="16"/>
          <w:color w:val="auto"/>
        </w:rPr>
        <w:t>. The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Arial" w:cs="Arial" w:eastAsia="Arial" w:hAnsi="Arial"/>
          <w:sz w:val="16"/>
          <w:szCs w:val="16"/>
          <w:b w:val="1"/>
          <w:bCs w:val="1"/>
          <w:u w:val="single" w:color="auto"/>
          <w:color w:val="auto"/>
        </w:rPr>
        <w:t>Organizational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Document</w:t>
      </w:r>
      <w:r>
        <w:rPr>
          <w:rFonts w:ascii="Arial" w:cs="Arial" w:eastAsia="Arial" w:hAnsi="Arial"/>
          <w:sz w:val="16"/>
          <w:szCs w:val="16"/>
          <w:color w:val="auto"/>
        </w:rPr>
        <w:t>”) of the Partnership and the GP Entities, and such membership interests and limited partner interests are fully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Arial" w:cs="Arial" w:eastAsia="Arial" w:hAnsi="Arial"/>
          <w:sz w:val="16"/>
          <w:szCs w:val="16"/>
          <w:b w:val="1"/>
          <w:bCs w:val="1"/>
          <w:u w:val="single" w:color="auto"/>
          <w:color w:val="auto"/>
        </w:rPr>
        <w:t>Delaware LP Act</w:t>
      </w:r>
      <w:r>
        <w:rPr>
          <w:rFonts w:ascii="Arial" w:cs="Arial" w:eastAsia="Arial" w:hAnsi="Arial"/>
          <w:sz w:val="16"/>
          <w:szCs w:val="16"/>
          <w:color w:val="auto"/>
        </w:rPr>
        <w:t>”) or Sections 18-607 and 18-804 of the Delaware Limited Liability Company Act (the “</w:t>
      </w:r>
      <w:r>
        <w:rPr>
          <w:rFonts w:ascii="Arial" w:cs="Arial" w:eastAsia="Arial" w:hAnsi="Arial"/>
          <w:sz w:val="16"/>
          <w:szCs w:val="16"/>
          <w:b w:val="1"/>
          <w:bCs w:val="1"/>
          <w:u w:val="single" w:color="auto"/>
          <w:color w:val="auto"/>
        </w:rPr>
        <w:t>Delaware LLC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as applicable, or (B) with respect to the general partner interest of any such entity); and such general partner, limited partner and</w:t>
      </w:r>
      <w:r>
        <w:rPr>
          <w:rFonts w:ascii="Arial" w:cs="Arial" w:eastAsia="Arial" w:hAnsi="Arial"/>
          <w:sz w:val="16"/>
          <w:szCs w:val="16"/>
          <w:b w:val="1"/>
          <w:bCs w:val="1"/>
          <w:color w:val="auto"/>
        </w:rPr>
        <w:t xml:space="preserve"> </w:t>
      </w:r>
      <w:r>
        <w:rPr>
          <w:rFonts w:ascii="Arial" w:cs="Arial" w:eastAsia="Arial" w:hAnsi="Arial"/>
          <w:sz w:val="16"/>
          <w:szCs w:val="16"/>
          <w:color w:val="auto"/>
        </w:rPr>
        <w:t>membership interests held by the GP Entities are owned by the applicable GP Entity free and clear of all liens, encumbrances, security interests, equities, charges or claims (“</w:t>
      </w:r>
      <w:r>
        <w:rPr>
          <w:rFonts w:ascii="Arial" w:cs="Arial" w:eastAsia="Arial" w:hAnsi="Arial"/>
          <w:sz w:val="16"/>
          <w:szCs w:val="16"/>
          <w:b w:val="1"/>
          <w:bCs w:val="1"/>
          <w:u w:val="single" w:color="auto"/>
          <w:color w:val="auto"/>
        </w:rPr>
        <w:t>Liens</w:t>
      </w:r>
      <w:r>
        <w:rPr>
          <w:rFonts w:ascii="Arial" w:cs="Arial" w:eastAsia="Arial" w:hAnsi="Arial"/>
          <w:sz w:val="16"/>
          <w:szCs w:val="16"/>
          <w:color w:val="auto"/>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173" w:lineRule="exact"/>
        <w:rPr>
          <w:rFonts w:ascii="Arial" w:cs="Arial" w:eastAsia="Arial" w:hAnsi="Arial"/>
          <w:sz w:val="16"/>
          <w:szCs w:val="16"/>
          <w:color w:val="auto"/>
        </w:rPr>
      </w:pPr>
    </w:p>
    <w:p>
      <w:pPr>
        <w:jc w:val="both"/>
        <w:ind w:left="-460" w:firstLine="644"/>
        <w:spacing w:after="0" w:line="287" w:lineRule="auto"/>
        <w:tabs>
          <w:tab w:leader="none" w:pos="1271"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Ownership of the Material Subsidiaries</w:t>
      </w:r>
      <w:r>
        <w:rPr>
          <w:rFonts w:ascii="Arial" w:cs="Arial" w:eastAsia="Arial" w:hAnsi="Arial"/>
          <w:sz w:val="16"/>
          <w:szCs w:val="16"/>
          <w:color w:val="auto"/>
        </w:rPr>
        <w:t>. All of the outstanding shares of capital stock or other equity interests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Subsidiary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directly or indirectly, by the Partnership,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0" w:right="339" w:bottom="1440" w:gutter="0" w:footer="0" w:header="0"/>
        </w:sectPr>
      </w:pPr>
    </w:p>
    <w:bookmarkStart w:id="10" w:name="page11"/>
    <w:bookmarkEnd w:id="10"/>
    <w:p>
      <w:pPr>
        <w:ind w:left="-460" w:firstLine="644"/>
        <w:spacing w:after="0" w:line="312" w:lineRule="auto"/>
        <w:tabs>
          <w:tab w:leader="none" w:pos="1117"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No Registration Rights</w:t>
      </w:r>
      <w:r>
        <w:rPr>
          <w:rFonts w:ascii="Arial" w:cs="Arial" w:eastAsia="Arial" w:hAnsi="Arial"/>
          <w:sz w:val="17"/>
          <w:szCs w:val="17"/>
          <w:color w:val="auto"/>
        </w:rPr>
        <w:t>. The offering and sale of the Notes as contemplated by this Agreement do not give rise to any rights</w:t>
      </w:r>
      <w:r>
        <w:rPr>
          <w:rFonts w:ascii="Arial" w:cs="Arial" w:eastAsia="Arial" w:hAnsi="Arial"/>
          <w:sz w:val="17"/>
          <w:szCs w:val="17"/>
          <w:b w:val="1"/>
          <w:bCs w:val="1"/>
          <w:color w:val="auto"/>
        </w:rPr>
        <w:t xml:space="preserve"> </w:t>
      </w:r>
      <w:r>
        <w:rPr>
          <w:rFonts w:ascii="Arial" w:cs="Arial" w:eastAsia="Arial" w:hAnsi="Arial"/>
          <w:sz w:val="17"/>
          <w:szCs w:val="17"/>
          <w:color w:val="auto"/>
        </w:rPr>
        <w:t>for or relating to the registration of any other securities of the Issuers, except such rights as have been waived or satisfied.</w:t>
      </w:r>
    </w:p>
    <w:p>
      <w:pPr>
        <w:spacing w:after="0" w:line="139" w:lineRule="exact"/>
        <w:rPr>
          <w:rFonts w:ascii="Arial" w:cs="Arial" w:eastAsia="Arial" w:hAnsi="Arial"/>
          <w:sz w:val="17"/>
          <w:szCs w:val="17"/>
          <w:color w:val="auto"/>
        </w:rPr>
      </w:pPr>
    </w:p>
    <w:p>
      <w:pPr>
        <w:jc w:val="both"/>
        <w:ind w:left="-460" w:firstLine="644"/>
        <w:spacing w:after="0" w:line="266" w:lineRule="auto"/>
        <w:tabs>
          <w:tab w:leader="none" w:pos="1252"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Conformity to Description of Notes</w:t>
      </w:r>
      <w:r>
        <w:rPr>
          <w:rFonts w:ascii="Arial" w:cs="Arial" w:eastAsia="Arial" w:hAnsi="Arial"/>
          <w:sz w:val="18"/>
          <w:szCs w:val="18"/>
          <w:color w:val="auto"/>
        </w:rPr>
        <w:t>. The Notes, when issued and delivered against payment therefor as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Indenture, and the Indenture will conform in all material respects to the descriptions thereof contained in the Pricing Disclosure Package and the Prospectus (and any amendment or supplement thereto).</w:t>
      </w:r>
    </w:p>
    <w:p>
      <w:pPr>
        <w:spacing w:after="0" w:line="175" w:lineRule="exact"/>
        <w:rPr>
          <w:rFonts w:ascii="Arial" w:cs="Arial" w:eastAsia="Arial" w:hAnsi="Arial"/>
          <w:sz w:val="18"/>
          <w:szCs w:val="18"/>
          <w:color w:val="auto"/>
        </w:rPr>
      </w:pPr>
    </w:p>
    <w:p>
      <w:pPr>
        <w:jc w:val="both"/>
        <w:ind w:left="-460" w:firstLine="644"/>
        <w:spacing w:after="0" w:line="256" w:lineRule="auto"/>
        <w:tabs>
          <w:tab w:leader="none" w:pos="1131"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Each of the Issuers has all requisite partnership or corporate, as applicable, power and authority to issue, sell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187" w:lineRule="exact"/>
        <w:rPr>
          <w:rFonts w:ascii="Arial" w:cs="Arial" w:eastAsia="Arial" w:hAnsi="Arial"/>
          <w:sz w:val="18"/>
          <w:szCs w:val="18"/>
          <w:color w:val="auto"/>
        </w:rPr>
      </w:pPr>
    </w:p>
    <w:p>
      <w:pPr>
        <w:ind w:left="-460" w:firstLine="644"/>
        <w:spacing w:after="0" w:line="282" w:lineRule="auto"/>
        <w:tabs>
          <w:tab w:leader="none" w:pos="1455"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 Execution and Delivery of this Agreement</w:t>
      </w:r>
      <w:r>
        <w:rPr>
          <w:rFonts w:ascii="Arial" w:cs="Arial" w:eastAsia="Arial" w:hAnsi="Arial"/>
          <w:sz w:val="18"/>
          <w:szCs w:val="18"/>
          <w:color w:val="auto"/>
        </w:rPr>
        <w:t>. This Agreement has been duly and validly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by or on behalf of the Issuers.</w:t>
      </w:r>
    </w:p>
    <w:p>
      <w:pPr>
        <w:spacing w:after="0" w:line="161" w:lineRule="exact"/>
        <w:rPr>
          <w:rFonts w:ascii="Arial" w:cs="Arial" w:eastAsia="Arial" w:hAnsi="Arial"/>
          <w:sz w:val="18"/>
          <w:szCs w:val="18"/>
          <w:color w:val="auto"/>
        </w:rPr>
      </w:pPr>
    </w:p>
    <w:p>
      <w:pPr>
        <w:jc w:val="both"/>
        <w:ind w:left="-460" w:firstLine="644"/>
        <w:spacing w:after="0" w:line="291" w:lineRule="auto"/>
        <w:tabs>
          <w:tab w:leader="none" w:pos="1132"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Enforceability of the Indenture</w:t>
      </w:r>
      <w:r>
        <w:rPr>
          <w:rFonts w:ascii="Arial" w:cs="Arial" w:eastAsia="Arial" w:hAnsi="Arial"/>
          <w:sz w:val="16"/>
          <w:szCs w:val="16"/>
          <w:color w:val="auto"/>
        </w:rPr>
        <w:t>. The execution and delivery of the Supplemental Indenture and the performance by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 w:firstLine="644"/>
        <w:spacing w:after="0" w:line="255" w:lineRule="auto"/>
        <w:tabs>
          <w:tab w:leader="none" w:pos="1710" w:val="left"/>
        </w:tabs>
        <w:numPr>
          <w:ilvl w:val="1"/>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 Issuance of the Notes</w:t>
      </w:r>
      <w:r>
        <w:rPr>
          <w:rFonts w:ascii="Arial" w:cs="Arial" w:eastAsia="Arial" w:hAnsi="Arial"/>
          <w:sz w:val="18"/>
          <w:szCs w:val="18"/>
          <w:color w:val="auto"/>
        </w:rPr>
        <w:t>. The Notes have been duly authorized, and, when executed and authenticated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88" w:lineRule="exact"/>
        <w:rPr>
          <w:rFonts w:ascii="Arial" w:cs="Arial" w:eastAsia="Arial" w:hAnsi="Arial"/>
          <w:sz w:val="18"/>
          <w:szCs w:val="18"/>
          <w:color w:val="auto"/>
        </w:rPr>
      </w:pPr>
    </w:p>
    <w:p>
      <w:pPr>
        <w:jc w:val="both"/>
        <w:ind w:left="4" w:firstLine="644"/>
        <w:spacing w:after="0" w:line="274" w:lineRule="auto"/>
        <w:tabs>
          <w:tab w:leader="none" w:pos="1627" w:val="left"/>
        </w:tabs>
        <w:numPr>
          <w:ilvl w:val="1"/>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Authorization, Execution and Enforceability of the Organizational Documents</w:t>
      </w:r>
      <w:r>
        <w:rPr>
          <w:rFonts w:ascii="Arial" w:cs="Arial" w:eastAsia="Arial" w:hAnsi="Arial"/>
          <w:sz w:val="17"/>
          <w:szCs w:val="17"/>
          <w:color w:val="auto"/>
        </w:rPr>
        <w:t>. The Organizational Documents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3" w:lineRule="exact"/>
        <w:rPr>
          <w:rFonts w:ascii="Arial" w:cs="Arial" w:eastAsia="Arial" w:hAnsi="Arial"/>
          <w:sz w:val="17"/>
          <w:szCs w:val="17"/>
          <w:color w:val="auto"/>
        </w:rPr>
      </w:pPr>
    </w:p>
    <w:p>
      <w:pPr>
        <w:jc w:val="both"/>
        <w:ind w:left="4" w:firstLine="644"/>
        <w:spacing w:after="0" w:line="293" w:lineRule="auto"/>
        <w:tabs>
          <w:tab w:leader="none" w:pos="1838" w:val="left"/>
        </w:tabs>
        <w:numPr>
          <w:ilvl w:val="1"/>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No Conflicts or Violations</w:t>
      </w:r>
      <w:r>
        <w:rPr>
          <w:rFonts w:ascii="Arial" w:cs="Arial" w:eastAsia="Arial" w:hAnsi="Arial"/>
          <w:sz w:val="16"/>
          <w:szCs w:val="16"/>
          <w:color w:val="auto"/>
        </w:rPr>
        <w:t>. None of (i) the offering, issuance and sale by the Issuers of the Notes, (ii)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performance of this Agreement by each of the Issuers, (iii) the consummation of the transactions contemplated by this Agreement or</w:t>
      </w:r>
    </w:p>
    <w:p>
      <w:pPr>
        <w:spacing w:after="0" w:line="1" w:lineRule="exact"/>
        <w:rPr>
          <w:rFonts w:ascii="Arial" w:cs="Arial" w:eastAsia="Arial" w:hAnsi="Arial"/>
          <w:sz w:val="16"/>
          <w:szCs w:val="16"/>
          <w:color w:val="auto"/>
        </w:rPr>
      </w:pPr>
    </w:p>
    <w:p>
      <w:pPr>
        <w:jc w:val="both"/>
        <w:ind w:left="4" w:hanging="4"/>
        <w:spacing w:after="0" w:line="281" w:lineRule="auto"/>
        <w:tabs>
          <w:tab w:leader="none" w:pos="3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execution and delivery of the Supplemental Indenture,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w:t>
      </w:r>
    </w:p>
    <w:p>
      <w:pPr>
        <w:spacing w:after="0" w:line="5" w:lineRule="exact"/>
        <w:rPr>
          <w:rFonts w:ascii="Arial" w:cs="Arial" w:eastAsia="Arial" w:hAnsi="Arial"/>
          <w:sz w:val="16"/>
          <w:szCs w:val="16"/>
          <w:color w:val="auto"/>
        </w:rPr>
      </w:pPr>
    </w:p>
    <w:p>
      <w:pPr>
        <w:ind w:left="4"/>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would reasonably be expected to have a Material Adverse Effect or materially impair the ability of the Issuers to consummate the transactions contemplated by this Agreement.</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jc w:val="both"/>
        <w:ind w:left="-460" w:firstLine="644"/>
        <w:spacing w:after="0" w:line="270" w:lineRule="auto"/>
        <w:tabs>
          <w:tab w:leader="none" w:pos="1225" w:val="left"/>
        </w:tabs>
        <w:numPr>
          <w:ilvl w:val="0"/>
          <w:numId w:val="14"/>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Consents</w:t>
      </w:r>
      <w:r>
        <w:rPr>
          <w:rFonts w:ascii="Arial" w:cs="Arial" w:eastAsia="Arial" w:hAnsi="Arial"/>
          <w:sz w:val="17"/>
          <w:szCs w:val="17"/>
          <w:color w:val="auto"/>
        </w:rPr>
        <w:t>. No consent, approval, authorization, filing with or order of any court, governmental agency or body having</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Arial" w:cs="Arial" w:eastAsia="Arial" w:hAnsi="Arial"/>
          <w:sz w:val="17"/>
          <w:szCs w:val="17"/>
          <w:b w:val="1"/>
          <w:bCs w:val="1"/>
          <w:u w:val="single" w:color="auto"/>
          <w:color w:val="auto"/>
        </w:rPr>
        <w:t>FINRA</w:t>
      </w:r>
      <w:r>
        <w:rPr>
          <w:rFonts w:ascii="Arial" w:cs="Arial" w:eastAsia="Arial" w:hAnsi="Arial"/>
          <w:sz w:val="17"/>
          <w:szCs w:val="17"/>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176" w:lineRule="exact"/>
        <w:rPr>
          <w:rFonts w:ascii="Arial" w:cs="Arial" w:eastAsia="Arial" w:hAnsi="Arial"/>
          <w:sz w:val="17"/>
          <w:szCs w:val="17"/>
          <w:color w:val="auto"/>
        </w:rPr>
      </w:pPr>
    </w:p>
    <w:p>
      <w:pPr>
        <w:jc w:val="both"/>
        <w:ind w:left="-460" w:firstLine="644"/>
        <w:spacing w:after="0" w:line="254"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Default</w:t>
      </w:r>
      <w:r>
        <w:rPr>
          <w:rFonts w:ascii="Arial" w:cs="Arial" w:eastAsia="Arial" w:hAnsi="Arial"/>
          <w:sz w:val="18"/>
          <w:szCs w:val="18"/>
          <w:color w:val="auto"/>
        </w:rPr>
        <w:t>. (i) None of the Issuers or the GP Entities or the Material Subsidiaries is in violation of its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would, if continued, reasonably be expected to have a Material Adverse Effect or materially impair the ability of either of the Issuers to perform its obligations under this Agreement.</w:t>
      </w:r>
    </w:p>
    <w:p>
      <w:pPr>
        <w:spacing w:after="0" w:line="188" w:lineRule="exact"/>
        <w:rPr>
          <w:rFonts w:ascii="Arial" w:cs="Arial" w:eastAsia="Arial" w:hAnsi="Arial"/>
          <w:sz w:val="18"/>
          <w:szCs w:val="18"/>
          <w:color w:val="auto"/>
        </w:rPr>
      </w:pPr>
    </w:p>
    <w:p>
      <w:pPr>
        <w:jc w:val="both"/>
        <w:ind w:left="-460" w:firstLine="644"/>
        <w:spacing w:after="0" w:line="303" w:lineRule="auto"/>
        <w:tabs>
          <w:tab w:leader="none" w:pos="1176"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Independent Registered Public Accounting Firm</w:t>
      </w:r>
      <w:r>
        <w:rPr>
          <w:rFonts w:ascii="Arial" w:cs="Arial" w:eastAsia="Arial" w:hAnsi="Arial"/>
          <w:sz w:val="16"/>
          <w:szCs w:val="16"/>
          <w:color w:val="auto"/>
        </w:rPr>
        <w:t>. PricewaterhouseCoopers LLP, which has certified the audited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50" w:lineRule="exact"/>
        <w:rPr>
          <w:rFonts w:ascii="Arial" w:cs="Arial" w:eastAsia="Arial" w:hAnsi="Arial"/>
          <w:sz w:val="16"/>
          <w:szCs w:val="16"/>
          <w:color w:val="auto"/>
        </w:rPr>
      </w:pPr>
    </w:p>
    <w:p>
      <w:pPr>
        <w:jc w:val="both"/>
        <w:ind w:left="-460" w:firstLine="644"/>
        <w:spacing w:after="0" w:line="288" w:lineRule="auto"/>
        <w:tabs>
          <w:tab w:leader="none" w:pos="1198"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 At March 31, 2020, the Partnership had, on an as adjusted basis as indicated in the Prospectus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Issuers are required by the Securities Act or the Exchange Act to be included in the Registration Statement, the most recent Preliminary Prospectus or the Prospectus.</w:t>
      </w: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86" w:lineRule="auto"/>
        <w:tabs>
          <w:tab w:leader="none" w:pos="1341"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Adverse Change</w:t>
      </w:r>
      <w:r>
        <w:rPr>
          <w:rFonts w:ascii="Arial" w:cs="Arial" w:eastAsia="Arial" w:hAnsi="Arial"/>
          <w:sz w:val="16"/>
          <w:szCs w:val="16"/>
          <w:color w:val="auto"/>
        </w:rPr>
        <w:t>. None of the Plains Entities or the GP Entities has sustained, since the date of the latest</w:t>
      </w:r>
      <w:r>
        <w:rPr>
          <w:rFonts w:ascii="Arial" w:cs="Arial" w:eastAsia="Arial" w:hAnsi="Arial"/>
          <w:sz w:val="16"/>
          <w:szCs w:val="16"/>
          <w:b w:val="1"/>
          <w:bCs w:val="1"/>
          <w:color w:val="auto"/>
        </w:rPr>
        <w:t xml:space="preserve"> </w:t>
      </w:r>
      <w:r>
        <w:rPr>
          <w:rFonts w:ascii="Arial" w:cs="Arial" w:eastAsia="Arial" w:hAnsi="Arial"/>
          <w:sz w:val="16"/>
          <w:szCs w:val="16"/>
          <w:color w:val="auto"/>
        </w:rPr>
        <w:t>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171" w:lineRule="exact"/>
        <w:rPr>
          <w:sz w:val="20"/>
          <w:szCs w:val="20"/>
          <w:color w:val="auto"/>
        </w:rPr>
      </w:pPr>
    </w:p>
    <w:p>
      <w:pPr>
        <w:jc w:val="both"/>
        <w:ind w:left="-460" w:firstLine="644"/>
        <w:spacing w:after="0" w:line="289" w:lineRule="auto"/>
        <w:tabs>
          <w:tab w:leader="none" w:pos="1097"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Required Disclosures and Descriptions</w:t>
      </w:r>
      <w:r>
        <w:rPr>
          <w:rFonts w:ascii="Arial" w:cs="Arial" w:eastAsia="Arial" w:hAnsi="Arial"/>
          <w:sz w:val="17"/>
          <w:szCs w:val="17"/>
          <w:color w:val="auto"/>
        </w:rPr>
        <w:t>. There are no agreements, contracts, indentures, leases or other instruments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57" w:lineRule="exact"/>
        <w:rPr>
          <w:rFonts w:ascii="Arial" w:cs="Arial" w:eastAsia="Arial" w:hAnsi="Arial"/>
          <w:sz w:val="17"/>
          <w:szCs w:val="17"/>
          <w:color w:val="auto"/>
        </w:rPr>
      </w:pPr>
    </w:p>
    <w:p>
      <w:pPr>
        <w:jc w:val="both"/>
        <w:ind w:left="-460" w:firstLine="644"/>
        <w:spacing w:after="0" w:line="289" w:lineRule="auto"/>
        <w:tabs>
          <w:tab w:leader="none" w:pos="1171"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Title to Properties</w:t>
      </w:r>
      <w:r>
        <w:rPr>
          <w:rFonts w:ascii="Arial" w:cs="Arial" w:eastAsia="Arial" w:hAnsi="Arial"/>
          <w:sz w:val="16"/>
          <w:szCs w:val="16"/>
          <w:color w:val="auto"/>
        </w:rPr>
        <w:t>. The Plains Entities, directly or indirectly, have good and indefeasible title to all real property and good</w:t>
      </w:r>
      <w:r>
        <w:rPr>
          <w:rFonts w:ascii="Arial" w:cs="Arial" w:eastAsia="Arial" w:hAnsi="Arial"/>
          <w:sz w:val="16"/>
          <w:szCs w:val="16"/>
          <w:b w:val="1"/>
          <w:bCs w:val="1"/>
          <w:color w:val="auto"/>
        </w:rPr>
        <w:t xml:space="preserve"> </w:t>
      </w:r>
      <w:r>
        <w:rPr>
          <w:rFonts w:ascii="Arial" w:cs="Arial" w:eastAsia="Arial" w:hAnsi="Arial"/>
          <w:sz w:val="16"/>
          <w:szCs w:val="16"/>
          <w:color w:val="auto"/>
        </w:rPr>
        <w:t>title to all personal property described in the Registration Statement, the Pricing Disclosure Package and the Prospectus as being owned by them, free and clear of all Liens except (i) as provided in the Third Amended and Restated Credit Agreement dated as of August 19, 2011, as amended (the “</w:t>
      </w:r>
      <w:r>
        <w:rPr>
          <w:rFonts w:ascii="Arial" w:cs="Arial" w:eastAsia="Arial" w:hAnsi="Arial"/>
          <w:sz w:val="16"/>
          <w:szCs w:val="16"/>
          <w:b w:val="1"/>
          <w:bCs w:val="1"/>
          <w:u w:val="single" w:color="auto"/>
          <w:color w:val="auto"/>
        </w:rPr>
        <w:t>Hedged Inventory Facility</w:t>
      </w:r>
      <w:r>
        <w:rPr>
          <w:rFonts w:ascii="Arial" w:cs="Arial" w:eastAsia="Arial" w:hAnsi="Arial"/>
          <w:sz w:val="16"/>
          <w:szCs w:val="16"/>
          <w:color w:val="auto"/>
        </w:rPr>
        <w:t>”), among Plains Marketing, L.P., a Texas limited partnership (“</w:t>
      </w:r>
      <w:r>
        <w:rPr>
          <w:rFonts w:ascii="Arial" w:cs="Arial" w:eastAsia="Arial" w:hAnsi="Arial"/>
          <w:sz w:val="16"/>
          <w:szCs w:val="16"/>
          <w:b w:val="1"/>
          <w:bCs w:val="1"/>
          <w:u w:val="single" w:color="auto"/>
          <w:color w:val="auto"/>
        </w:rPr>
        <w:t>Plains Marketing</w:t>
      </w:r>
      <w:r>
        <w:rPr>
          <w:rFonts w:ascii="Arial" w:cs="Arial" w:eastAsia="Arial" w:hAnsi="Arial"/>
          <w:sz w:val="16"/>
          <w:szCs w:val="16"/>
          <w:color w:val="auto"/>
        </w:rPr>
        <w:t>”), and Plains Midstream Canada ULC, a British Columbia unlimited liability company (“</w:t>
      </w:r>
      <w:r>
        <w:rPr>
          <w:rFonts w:ascii="Arial" w:cs="Arial" w:eastAsia="Arial" w:hAnsi="Arial"/>
          <w:sz w:val="16"/>
          <w:szCs w:val="16"/>
          <w:b w:val="1"/>
          <w:bCs w:val="1"/>
          <w:u w:val="single" w:color="auto"/>
          <w:color w:val="auto"/>
        </w:rPr>
        <w:t>Plains Midstream Canada</w:t>
      </w:r>
      <w:r>
        <w:rPr>
          <w:rFonts w:ascii="Arial" w:cs="Arial" w:eastAsia="Arial" w:hAnsi="Arial"/>
          <w:sz w:val="16"/>
          <w:szCs w:val="16"/>
          <w:color w:val="auto"/>
        </w:rPr>
        <w:t>”), as borrowers, the Partnership, as guarantor, Bank of America, N.A., as administrative agent thereunder and the lenders from time to time party thereto,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jc w:val="both"/>
        <w:ind w:left="-460" w:firstLine="644"/>
        <w:spacing w:after="0" w:line="291" w:lineRule="auto"/>
        <w:tabs>
          <w:tab w:leader="none" w:pos="1192"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Each of the Plains Entities, directly or indirectly, has such permits, consents, licenses, franchises, certificates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of governmental or regulatory authorities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159" w:lineRule="exact"/>
        <w:rPr>
          <w:rFonts w:ascii="Arial" w:cs="Arial" w:eastAsia="Arial" w:hAnsi="Arial"/>
          <w:sz w:val="16"/>
          <w:szCs w:val="16"/>
          <w:color w:val="auto"/>
        </w:rPr>
      </w:pPr>
    </w:p>
    <w:p>
      <w:pPr>
        <w:jc w:val="both"/>
        <w:ind w:left="-460" w:firstLine="644"/>
        <w:spacing w:after="0" w:line="270" w:lineRule="auto"/>
        <w:tabs>
          <w:tab w:leader="none" w:pos="1239"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Rights-of-Way</w:t>
      </w:r>
      <w:r>
        <w:rPr>
          <w:rFonts w:ascii="Arial" w:cs="Arial" w:eastAsia="Arial" w:hAnsi="Arial"/>
          <w:sz w:val="17"/>
          <w:szCs w:val="17"/>
          <w:color w:val="auto"/>
        </w:rPr>
        <w:t>. Each of the Plains Entities, directly or indirectly, has such consents, easements, rights-of-way or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person (“</w:t>
      </w:r>
      <w:r>
        <w:rPr>
          <w:rFonts w:ascii="Arial" w:cs="Arial" w:eastAsia="Arial" w:hAnsi="Arial"/>
          <w:sz w:val="17"/>
          <w:szCs w:val="17"/>
          <w:b w:val="1"/>
          <w:bCs w:val="1"/>
          <w:u w:val="single" w:color="auto"/>
          <w:color w:val="auto"/>
        </w:rPr>
        <w:t>rights-of-way</w:t>
      </w:r>
      <w:r>
        <w:rPr>
          <w:rFonts w:ascii="Arial" w:cs="Arial" w:eastAsia="Arial" w:hAnsi="Arial"/>
          <w:sz w:val="17"/>
          <w:szCs w:val="17"/>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76" w:lineRule="exact"/>
        <w:rPr>
          <w:rFonts w:ascii="Arial" w:cs="Arial" w:eastAsia="Arial" w:hAnsi="Arial"/>
          <w:sz w:val="17"/>
          <w:szCs w:val="17"/>
          <w:color w:val="auto"/>
        </w:rPr>
      </w:pPr>
    </w:p>
    <w:p>
      <w:pPr>
        <w:jc w:val="both"/>
        <w:ind w:left="-460" w:firstLine="644"/>
        <w:spacing w:after="0" w:line="272" w:lineRule="auto"/>
        <w:tabs>
          <w:tab w:leader="none" w:pos="1097"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Company</w:t>
      </w:r>
      <w:r>
        <w:rPr>
          <w:rFonts w:ascii="Arial" w:cs="Arial" w:eastAsia="Arial" w:hAnsi="Arial"/>
          <w:sz w:val="17"/>
          <w:szCs w:val="17"/>
          <w:color w:val="auto"/>
        </w:rPr>
        <w:t>. None of the Plains Entities is now, and after sale of the Notes to be sold by the Issuers hereunder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7"/>
          <w:szCs w:val="17"/>
          <w:b w:val="1"/>
          <w:bCs w:val="1"/>
          <w:u w:val="single" w:color="auto"/>
          <w:color w:val="auto"/>
        </w:rPr>
        <w:t>Investment Company Act</w:t>
      </w:r>
      <w:r>
        <w:rPr>
          <w:rFonts w:ascii="Arial" w:cs="Arial" w:eastAsia="Arial" w:hAnsi="Arial"/>
          <w:sz w:val="17"/>
          <w:szCs w:val="17"/>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460" w:firstLine="644"/>
        <w:spacing w:after="0" w:line="273" w:lineRule="auto"/>
        <w:tabs>
          <w:tab w:leader="none" w:pos="1292"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Environmental Compliance</w:t>
      </w:r>
      <w:r>
        <w:rPr>
          <w:rFonts w:ascii="Arial" w:cs="Arial" w:eastAsia="Arial" w:hAnsi="Arial"/>
          <w:sz w:val="17"/>
          <w:szCs w:val="17"/>
          <w:color w:val="auto"/>
        </w:rPr>
        <w:t>. Except as described in the Registration Statement, the Pricing Disclosure Package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171" w:lineRule="exact"/>
        <w:rPr>
          <w:rFonts w:ascii="Arial" w:cs="Arial" w:eastAsia="Arial" w:hAnsi="Arial"/>
          <w:sz w:val="17"/>
          <w:szCs w:val="17"/>
          <w:color w:val="auto"/>
        </w:rPr>
      </w:pPr>
    </w:p>
    <w:p>
      <w:pPr>
        <w:ind w:left="-460" w:firstLine="644"/>
        <w:spacing w:after="0" w:line="282" w:lineRule="auto"/>
        <w:tabs>
          <w:tab w:leader="none" w:pos="1239"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Labor Disputes</w:t>
      </w:r>
      <w:r>
        <w:rPr>
          <w:rFonts w:ascii="Arial" w:cs="Arial" w:eastAsia="Arial" w:hAnsi="Arial"/>
          <w:sz w:val="18"/>
          <w:szCs w:val="18"/>
          <w:color w:val="auto"/>
        </w:rPr>
        <w:t>. No labor dispute with the employees of any of the Plains Entities or the GP Entities exists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Issuers, is imminent, that would reasonably be expected to have a Material Adverse Effect.</w:t>
      </w:r>
    </w:p>
    <w:p>
      <w:pPr>
        <w:spacing w:after="0" w:line="161" w:lineRule="exact"/>
        <w:rPr>
          <w:rFonts w:ascii="Arial" w:cs="Arial" w:eastAsia="Arial" w:hAnsi="Arial"/>
          <w:sz w:val="18"/>
          <w:szCs w:val="18"/>
          <w:color w:val="auto"/>
        </w:rPr>
      </w:pPr>
    </w:p>
    <w:p>
      <w:pPr>
        <w:jc w:val="both"/>
        <w:ind w:left="-460" w:firstLine="644"/>
        <w:spacing w:after="0" w:line="258" w:lineRule="auto"/>
        <w:tabs>
          <w:tab w:leader="none" w:pos="1131"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Partnership maintains or is entitled to the benefits of insurance covering its properties, operations, personnel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83" w:lineRule="exact"/>
        <w:rPr>
          <w:rFonts w:ascii="Arial" w:cs="Arial" w:eastAsia="Arial" w:hAnsi="Arial"/>
          <w:sz w:val="18"/>
          <w:szCs w:val="18"/>
          <w:color w:val="auto"/>
        </w:rPr>
      </w:pPr>
    </w:p>
    <w:p>
      <w:pPr>
        <w:jc w:val="both"/>
        <w:ind w:left="-460" w:firstLine="644"/>
        <w:spacing w:after="0" w:line="273" w:lineRule="auto"/>
        <w:tabs>
          <w:tab w:leader="none" w:pos="1249"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No Legal Actions</w:t>
      </w:r>
      <w:r>
        <w:rPr>
          <w:rFonts w:ascii="Arial" w:cs="Arial" w:eastAsia="Arial" w:hAnsi="Arial"/>
          <w:sz w:val="17"/>
          <w:szCs w:val="17"/>
          <w:color w:val="auto"/>
        </w:rPr>
        <w:t>. Except as described in the Registration Statement, the Pricing Disclosure Package and the Prospectus,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would reasonably be expected to have, individually or in the aggregate, a Material Adverse Effect or prevent or result in the suspension of the offering and issuance of the Notes.</w:t>
      </w:r>
    </w:p>
    <w:p>
      <w:pPr>
        <w:spacing w:after="0" w:line="171" w:lineRule="exact"/>
        <w:rPr>
          <w:rFonts w:ascii="Arial" w:cs="Arial" w:eastAsia="Arial" w:hAnsi="Arial"/>
          <w:sz w:val="17"/>
          <w:szCs w:val="17"/>
          <w:color w:val="auto"/>
        </w:rPr>
      </w:pPr>
    </w:p>
    <w:p>
      <w:pPr>
        <w:jc w:val="both"/>
        <w:ind w:left="-460" w:firstLine="644"/>
        <w:spacing w:after="0" w:line="273" w:lineRule="auto"/>
        <w:tabs>
          <w:tab w:leader="none" w:pos="1141"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Distribution Restrictions</w:t>
      </w:r>
      <w:r>
        <w:rPr>
          <w:rFonts w:ascii="Arial" w:cs="Arial" w:eastAsia="Arial" w:hAnsi="Arial"/>
          <w:sz w:val="17"/>
          <w:szCs w:val="17"/>
          <w:color w:val="auto"/>
        </w:rPr>
        <w:t>. No Subsidiary is currently prohibited, directly or indirectly, from making any distributions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4" w:firstLine="644"/>
        <w:spacing w:after="0" w:line="258" w:lineRule="auto"/>
        <w:tabs>
          <w:tab w:leader="none" w:pos="1676" w:val="left"/>
        </w:tabs>
        <w:numPr>
          <w:ilvl w:val="1"/>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Distribution of Other Offering Materials</w:t>
      </w:r>
      <w:r>
        <w:rPr>
          <w:rFonts w:ascii="Arial" w:cs="Arial" w:eastAsia="Arial" w:hAnsi="Arial"/>
          <w:sz w:val="18"/>
          <w:szCs w:val="18"/>
          <w:color w:val="auto"/>
        </w:rPr>
        <w:t>. None of the Plains Entities or the GP Entities has distributed and,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Arial" w:cs="Arial" w:eastAsia="Arial" w:hAnsi="Arial"/>
          <w:sz w:val="18"/>
          <w:szCs w:val="18"/>
          <w:u w:val="single" w:color="auto"/>
          <w:color w:val="auto"/>
        </w:rPr>
        <w:t>Section 1(h)</w:t>
      </w:r>
      <w:r>
        <w:rPr>
          <w:rFonts w:ascii="Arial" w:cs="Arial" w:eastAsia="Arial" w:hAnsi="Arial"/>
          <w:sz w:val="18"/>
          <w:szCs w:val="18"/>
          <w:color w:val="auto"/>
        </w:rPr>
        <w:t xml:space="preserve"> of this Agreement, or other materials, if any, permitted by the Securities Act, including Rule 134 of the Rules and Regulations.</w:t>
      </w:r>
    </w:p>
    <w:p>
      <w:pPr>
        <w:spacing w:after="0" w:line="183" w:lineRule="exact"/>
        <w:rPr>
          <w:rFonts w:ascii="Arial" w:cs="Arial" w:eastAsia="Arial" w:hAnsi="Arial"/>
          <w:sz w:val="18"/>
          <w:szCs w:val="18"/>
          <w:color w:val="auto"/>
        </w:rPr>
      </w:pPr>
    </w:p>
    <w:p>
      <w:pPr>
        <w:jc w:val="both"/>
        <w:ind w:left="4" w:firstLine="644"/>
        <w:spacing w:after="0" w:line="287" w:lineRule="auto"/>
        <w:tabs>
          <w:tab w:leader="none" w:pos="1592" w:val="left"/>
        </w:tabs>
        <w:numPr>
          <w:ilvl w:val="1"/>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Books and Records; Accounting Controls</w:t>
      </w:r>
      <w:r>
        <w:rPr>
          <w:rFonts w:ascii="Arial" w:cs="Arial" w:eastAsia="Arial" w:hAnsi="Arial"/>
          <w:sz w:val="16"/>
          <w:szCs w:val="16"/>
          <w:color w:val="auto"/>
        </w:rPr>
        <w:t>. The Partnership maintains a system of internal accounting controls sufficient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w:t>
      </w:r>
    </w:p>
    <w:p>
      <w:pPr>
        <w:spacing w:after="0" w:line="2" w:lineRule="exact"/>
        <w:rPr>
          <w:rFonts w:ascii="Arial" w:cs="Arial" w:eastAsia="Arial" w:hAnsi="Arial"/>
          <w:sz w:val="16"/>
          <w:szCs w:val="16"/>
          <w:color w:val="auto"/>
        </w:rPr>
      </w:pPr>
    </w:p>
    <w:p>
      <w:pPr>
        <w:ind w:left="4" w:right="20" w:hanging="4"/>
        <w:spacing w:after="0" w:line="260" w:lineRule="auto"/>
        <w:tabs>
          <w:tab w:leader="none" w:pos="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181" w:lineRule="exact"/>
        <w:rPr>
          <w:rFonts w:ascii="Arial" w:cs="Arial" w:eastAsia="Arial" w:hAnsi="Arial"/>
          <w:sz w:val="18"/>
          <w:szCs w:val="18"/>
          <w:color w:val="auto"/>
        </w:rPr>
      </w:pPr>
    </w:p>
    <w:p>
      <w:pPr>
        <w:jc w:val="both"/>
        <w:ind w:left="4" w:firstLine="644"/>
        <w:spacing w:after="0" w:line="266" w:lineRule="auto"/>
        <w:tabs>
          <w:tab w:leader="none" w:pos="1592"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The Partnership and, to the knowledge of the Issuers, the directors of PAGP GP and the officers of GP</w:t>
      </w:r>
      <w:r>
        <w:rPr>
          <w:rFonts w:ascii="Arial" w:cs="Arial" w:eastAsia="Arial" w:hAnsi="Arial"/>
          <w:sz w:val="18"/>
          <w:szCs w:val="18"/>
          <w:b w:val="1"/>
          <w:bCs w:val="1"/>
          <w:color w:val="auto"/>
        </w:rPr>
        <w:t xml:space="preserve"> </w:t>
      </w:r>
      <w:r>
        <w:rPr>
          <w:rFonts w:ascii="Arial" w:cs="Arial" w:eastAsia="Arial" w:hAnsi="Arial"/>
          <w:sz w:val="18"/>
          <w:szCs w:val="18"/>
          <w:color w:val="auto"/>
        </w:rPr>
        <w:t>LLC, in their capacities as such, are in compliance in all material respects with all applicable and effective provisions of the Sarbanes-Oxley Act of 2002 and the rules and regulations promulgated thereunder.</w:t>
      </w:r>
    </w:p>
    <w:p>
      <w:pPr>
        <w:spacing w:after="0" w:line="175" w:lineRule="exact"/>
        <w:rPr>
          <w:rFonts w:ascii="Arial" w:cs="Arial" w:eastAsia="Arial" w:hAnsi="Arial"/>
          <w:sz w:val="18"/>
          <w:szCs w:val="18"/>
          <w:color w:val="auto"/>
        </w:rPr>
      </w:pPr>
    </w:p>
    <w:p>
      <w:pPr>
        <w:jc w:val="both"/>
        <w:ind w:left="4" w:firstLine="644"/>
        <w:spacing w:after="0" w:line="255" w:lineRule="auto"/>
        <w:tabs>
          <w:tab w:leader="none" w:pos="1689"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Controls</w:t>
      </w:r>
      <w:r>
        <w:rPr>
          <w:rFonts w:ascii="Arial" w:cs="Arial" w:eastAsia="Arial" w:hAnsi="Arial"/>
          <w:sz w:val="18"/>
          <w:szCs w:val="18"/>
          <w:color w:val="auto"/>
        </w:rPr>
        <w:t>. The Partnership maintains disclosure controls and procedures (to the extent required by and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88" w:lineRule="exact"/>
        <w:rPr>
          <w:rFonts w:ascii="Arial" w:cs="Arial" w:eastAsia="Arial" w:hAnsi="Arial"/>
          <w:sz w:val="18"/>
          <w:szCs w:val="18"/>
          <w:color w:val="auto"/>
        </w:rPr>
      </w:pPr>
    </w:p>
    <w:p>
      <w:pPr>
        <w:jc w:val="both"/>
        <w:ind w:left="4" w:firstLine="644"/>
        <w:spacing w:after="0" w:line="298" w:lineRule="auto"/>
        <w:tabs>
          <w:tab w:leader="none" w:pos="1842"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No Deficiency in Internal Controls</w:t>
      </w:r>
      <w:r>
        <w:rPr>
          <w:rFonts w:ascii="Arial" w:cs="Arial" w:eastAsia="Arial" w:hAnsi="Arial"/>
          <w:sz w:val="16"/>
          <w:szCs w:val="16"/>
          <w:color w:val="auto"/>
        </w:rPr>
        <w:t>. Based on the evaluation of its disclosure controls and procedures conducted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37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left="660" w:firstLine="644"/>
        <w:spacing w:after="0" w:line="261" w:lineRule="auto"/>
        <w:tabs>
          <w:tab w:leader="none" w:pos="2278"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None of the Plains Entities or the GP Entities nor, to the knowledge of the Issuers, any director, officer,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79" w:lineRule="exact"/>
        <w:rPr>
          <w:rFonts w:ascii="Arial" w:cs="Arial" w:eastAsia="Arial" w:hAnsi="Arial"/>
          <w:sz w:val="18"/>
          <w:szCs w:val="18"/>
          <w:color w:val="auto"/>
        </w:rPr>
      </w:pPr>
    </w:p>
    <w:p>
      <w:pPr>
        <w:jc w:val="both"/>
        <w:ind w:left="660" w:firstLine="644"/>
        <w:spacing w:after="0" w:line="266" w:lineRule="auto"/>
        <w:tabs>
          <w:tab w:leader="none" w:pos="2116"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No action, suit or proceeding by or before any court or governmental agency, authority or body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arbitrator involving the Plains Entities or the GP Entities that involve allegations of money laundering is pending or, to the knowledge of the Issuers, threatened.</w:t>
      </w:r>
    </w:p>
    <w:p>
      <w:pPr>
        <w:spacing w:after="0" w:line="175" w:lineRule="exact"/>
        <w:rPr>
          <w:rFonts w:ascii="Arial" w:cs="Arial" w:eastAsia="Arial" w:hAnsi="Arial"/>
          <w:sz w:val="18"/>
          <w:szCs w:val="18"/>
          <w:color w:val="auto"/>
        </w:rPr>
      </w:pPr>
    </w:p>
    <w:p>
      <w:pPr>
        <w:jc w:val="both"/>
        <w:ind w:left="660" w:firstLine="644"/>
        <w:spacing w:after="0" w:line="266" w:lineRule="auto"/>
        <w:tabs>
          <w:tab w:leader="none" w:pos="2132"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None of the Plains Entities or the GP Entities nor, to the knowledge of the Issuers, any director, officer or employee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Plains Entities or the GP Entities (in their capacity as director, officer or employee) has received notice that it is subject to any sanctions administered by the Office of Foreign Assets Control of the U.S. Treasury Department.</w:t>
      </w:r>
    </w:p>
    <w:p>
      <w:pPr>
        <w:spacing w:after="0" w:line="175" w:lineRule="exact"/>
        <w:rPr>
          <w:rFonts w:ascii="Arial" w:cs="Arial" w:eastAsia="Arial" w:hAnsi="Arial"/>
          <w:sz w:val="18"/>
          <w:szCs w:val="18"/>
          <w:color w:val="auto"/>
        </w:rPr>
      </w:pPr>
    </w:p>
    <w:p>
      <w:pPr>
        <w:jc w:val="both"/>
        <w:ind w:left="660" w:firstLine="644"/>
        <w:spacing w:after="0" w:line="266" w:lineRule="auto"/>
        <w:tabs>
          <w:tab w:leader="none" w:pos="2405"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XBRL</w:t>
      </w:r>
      <w:r>
        <w:rPr>
          <w:rFonts w:ascii="Arial" w:cs="Arial" w:eastAsia="Arial" w:hAnsi="Arial"/>
          <w:sz w:val="18"/>
          <w:szCs w:val="18"/>
          <w:color w:val="auto"/>
        </w:rPr>
        <w:t>. The interactive data in eXtensible Business Reporting Language incorporated by reference in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the Pricing Disclosure Package and the Prospectus fairly presents the information called for in all material respects and has been prepared in accordance with the Commission’s rules and guidelines applicable thereto.</w:t>
      </w:r>
    </w:p>
    <w:p>
      <w:pPr>
        <w:spacing w:after="0" w:line="1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applicable statements made in the certificates described in </w:t>
      </w:r>
      <w:r>
        <w:rPr>
          <w:rFonts w:ascii="Arial" w:cs="Arial" w:eastAsia="Arial" w:hAnsi="Arial"/>
          <w:sz w:val="18"/>
          <w:szCs w:val="18"/>
          <w:u w:val="single" w:color="auto"/>
          <w:color w:val="auto"/>
        </w:rPr>
        <w:t>Sections 7(i)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7(j)</w:t>
      </w:r>
      <w:r>
        <w:rPr>
          <w:rFonts w:ascii="Arial" w:cs="Arial" w:eastAsia="Arial" w:hAnsi="Arial"/>
          <w:sz w:val="18"/>
          <w:szCs w:val="18"/>
          <w:color w:val="auto"/>
        </w:rPr>
        <w:t xml:space="preserve"> shall be deemed representations and warranties by the Issuers, as to matters covered thereby, to the Underwriters.</w:t>
      </w:r>
    </w:p>
    <w:p>
      <w:pPr>
        <w:spacing w:after="0" w:line="166" w:lineRule="exact"/>
        <w:rPr>
          <w:sz w:val="20"/>
          <w:szCs w:val="20"/>
          <w:color w:val="auto"/>
        </w:rPr>
      </w:pPr>
    </w:p>
    <w:p>
      <w:pPr>
        <w:jc w:val="both"/>
        <w:ind w:firstLine="656"/>
        <w:spacing w:after="0" w:line="261" w:lineRule="auto"/>
        <w:tabs>
          <w:tab w:leader="none" w:pos="166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Issuers agree to sell to each Underwriter, and each Underwriter agrees, severally and not jointly, to purchase from the Issuers the principal amount of Notes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a purchase price of 99.144% of the principal amount thereof, plus accrued interest, if any, from the Delivery Date.</w:t>
      </w:r>
    </w:p>
    <w:p>
      <w:pPr>
        <w:spacing w:after="0" w:line="179" w:lineRule="exact"/>
        <w:rPr>
          <w:rFonts w:ascii="Arial" w:cs="Arial" w:eastAsia="Arial" w:hAnsi="Arial"/>
          <w:sz w:val="18"/>
          <w:szCs w:val="18"/>
          <w:color w:val="auto"/>
        </w:rPr>
      </w:pPr>
    </w:p>
    <w:p>
      <w:pPr>
        <w:jc w:val="both"/>
        <w:ind w:firstLine="656"/>
        <w:spacing w:after="0" w:line="273" w:lineRule="auto"/>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and Payment</w:t>
      </w:r>
      <w:r>
        <w:rPr>
          <w:rFonts w:ascii="Arial" w:cs="Arial" w:eastAsia="Arial" w:hAnsi="Arial"/>
          <w:sz w:val="17"/>
          <w:szCs w:val="17"/>
          <w:color w:val="auto"/>
        </w:rPr>
        <w:t>. Delivery of and payment for the Notes shall be made at the office of Vinson &amp; Elkins L.L.P., 1001 Fannin,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Houston, Texas 77002 at 9:00 a.m., Houston time, on June 11, 2020, or at such time on such later date not more than three business days after the foregoing date as the Representatives shall designate, which date and time may be postponed by agreement between the Representatives and the Issuers or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(such date and time of delivery and payment for the Notes being herein called the “</w:t>
      </w:r>
      <w:r>
        <w:rPr>
          <w:rFonts w:ascii="Arial" w:cs="Arial" w:eastAsia="Arial" w:hAnsi="Arial"/>
          <w:sz w:val="17"/>
          <w:szCs w:val="17"/>
          <w:b w:val="1"/>
          <w:bCs w:val="1"/>
          <w:u w:val="single" w:color="auto"/>
          <w:color w:val="auto"/>
        </w:rPr>
        <w:t>Delivery Date</w:t>
      </w:r>
      <w:r>
        <w:rPr>
          <w:rFonts w:ascii="Arial" w:cs="Arial" w:eastAsia="Arial" w:hAnsi="Arial"/>
          <w:sz w:val="17"/>
          <w:szCs w:val="17"/>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Arial" w:cs="Arial" w:eastAsia="Arial" w:hAnsi="Arial"/>
          <w:sz w:val="17"/>
          <w:szCs w:val="17"/>
          <w:b w:val="1"/>
          <w:bCs w:val="1"/>
          <w:u w:val="single" w:color="auto"/>
          <w:color w:val="auto"/>
        </w:rPr>
        <w:t>DTC</w:t>
      </w:r>
      <w:r>
        <w:rPr>
          <w:rFonts w:ascii="Arial" w:cs="Arial" w:eastAsia="Arial" w:hAnsi="Arial"/>
          <w:sz w:val="17"/>
          <w:szCs w:val="17"/>
          <w:color w:val="auto"/>
        </w:rPr>
        <w:t>”). Concurrently, the Issuers shall deliver to the Trustee, as custodian for DTC, one or more global notes representing the Notes (collectively, the “</w:t>
      </w:r>
      <w:r>
        <w:rPr>
          <w:rFonts w:ascii="Arial" w:cs="Arial" w:eastAsia="Arial" w:hAnsi="Arial"/>
          <w:sz w:val="17"/>
          <w:szCs w:val="17"/>
          <w:b w:val="1"/>
          <w:bCs w:val="1"/>
          <w:u w:val="single" w:color="auto"/>
          <w:color w:val="auto"/>
        </w:rPr>
        <w:t>Global Notes</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firstLine="656"/>
        <w:spacing w:after="0" w:line="282" w:lineRule="auto"/>
        <w:tabs>
          <w:tab w:leader="none" w:pos="166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Offering by the Underwriters</w:t>
      </w:r>
      <w:r>
        <w:rPr>
          <w:rFonts w:ascii="Arial" w:cs="Arial" w:eastAsia="Arial" w:hAnsi="Arial"/>
          <w:sz w:val="18"/>
          <w:szCs w:val="18"/>
          <w:color w:val="auto"/>
        </w:rPr>
        <w:t>. It is understood that the several Underwriters propose to offer the Notes for sale to the public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Prospectus.</w:t>
      </w:r>
    </w:p>
    <w:p>
      <w:pPr>
        <w:spacing w:after="0" w:line="161" w:lineRule="exact"/>
        <w:rPr>
          <w:rFonts w:ascii="Arial" w:cs="Arial" w:eastAsia="Arial" w:hAnsi="Arial"/>
          <w:sz w:val="18"/>
          <w:szCs w:val="18"/>
          <w:color w:val="auto"/>
        </w:rPr>
      </w:pPr>
    </w:p>
    <w:p>
      <w:pPr>
        <w:ind w:left="1600" w:hanging="944"/>
        <w:spacing w:after="0"/>
        <w:tabs>
          <w:tab w:leader="none" w:pos="1600"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Agreements of the Issuers</w:t>
      </w:r>
      <w:r>
        <w:rPr>
          <w:rFonts w:ascii="Arial" w:cs="Arial" w:eastAsia="Arial" w:hAnsi="Arial"/>
          <w:sz w:val="17"/>
          <w:szCs w:val="17"/>
          <w:color w:val="auto"/>
        </w:rPr>
        <w:t>. Each of the Issuers, jointly and severally, acknowledges and agrees with the Underwriters that:</w:t>
      </w:r>
    </w:p>
    <w:p>
      <w:pPr>
        <w:spacing w:after="0" w:line="236" w:lineRule="exact"/>
        <w:rPr>
          <w:rFonts w:ascii="Arial" w:cs="Arial" w:eastAsia="Arial" w:hAnsi="Arial"/>
          <w:sz w:val="17"/>
          <w:szCs w:val="17"/>
          <w:color w:val="auto"/>
        </w:rPr>
      </w:pPr>
    </w:p>
    <w:p>
      <w:pPr>
        <w:jc w:val="both"/>
        <w:ind w:left="660" w:firstLine="644"/>
        <w:spacing w:after="0" w:line="261" w:lineRule="auto"/>
        <w:tabs>
          <w:tab w:leader="none" w:pos="2259"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Post-Effective Amendments</w:t>
      </w:r>
      <w:r>
        <w:rPr>
          <w:rFonts w:ascii="Arial" w:cs="Arial" w:eastAsia="Arial" w:hAnsi="Arial"/>
          <w:sz w:val="18"/>
          <w:szCs w:val="18"/>
          <w:color w:val="auto"/>
        </w:rPr>
        <w:t>. If, at the Applicable Time, it is necessary for a post-effective amendment to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179" w:lineRule="exact"/>
        <w:rPr>
          <w:rFonts w:ascii="Arial" w:cs="Arial" w:eastAsia="Arial" w:hAnsi="Arial"/>
          <w:sz w:val="18"/>
          <w:szCs w:val="18"/>
          <w:color w:val="auto"/>
        </w:rPr>
      </w:pPr>
    </w:p>
    <w:p>
      <w:pPr>
        <w:jc w:val="both"/>
        <w:ind w:left="660" w:firstLine="644"/>
        <w:spacing w:after="0" w:line="286" w:lineRule="auto"/>
        <w:tabs>
          <w:tab w:leader="none" w:pos="2404"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Preparation of Prospectus and Registration Statement</w:t>
      </w:r>
      <w:r>
        <w:rPr>
          <w:rFonts w:ascii="Arial" w:cs="Arial" w:eastAsia="Arial" w:hAnsi="Arial"/>
          <w:sz w:val="16"/>
          <w:szCs w:val="16"/>
          <w:color w:val="auto"/>
        </w:rPr>
        <w:t>. The Issuers will advise the Representatives promptly and,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0" w:lineRule="exact"/>
        <w:rPr>
          <w:rFonts w:ascii="Arial" w:cs="Arial" w:eastAsia="Arial" w:hAnsi="Arial"/>
          <w:sz w:val="16"/>
          <w:szCs w:val="16"/>
          <w:color w:val="auto"/>
        </w:rPr>
      </w:pPr>
    </w:p>
    <w:p>
      <w:pPr>
        <w:jc w:val="both"/>
        <w:ind w:left="660" w:firstLine="644"/>
        <w:spacing w:after="0" w:line="303" w:lineRule="auto"/>
        <w:tabs>
          <w:tab w:leader="none" w:pos="2245"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Final Term Sheet and Issuer Free Writing Prospectuses</w:t>
      </w:r>
      <w:r>
        <w:rPr>
          <w:rFonts w:ascii="Arial" w:cs="Arial" w:eastAsia="Arial" w:hAnsi="Arial"/>
          <w:sz w:val="16"/>
          <w:szCs w:val="16"/>
          <w:color w:val="auto"/>
        </w:rPr>
        <w:t>. The Issuers agree (i) to prepare a final term sheet, containing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description of the final terms of the Notes and the offering thereof, in the form approved by the Representatives and attached as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460" w:firstLine="644"/>
        <w:spacing w:after="0" w:line="298" w:lineRule="auto"/>
        <w:tabs>
          <w:tab w:leader="none" w:pos="1041"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Copies of Registration Statement</w:t>
      </w:r>
      <w:r>
        <w:rPr>
          <w:rFonts w:ascii="Arial" w:cs="Arial" w:eastAsia="Arial" w:hAnsi="Arial"/>
          <w:sz w:val="16"/>
          <w:szCs w:val="16"/>
          <w:color w:val="auto"/>
        </w:rPr>
        <w:t>. The Issuers will furnish to the Underwriters, without charge, such number of copies of (i)</w:t>
      </w:r>
      <w:r>
        <w:rPr>
          <w:rFonts w:ascii="Arial" w:cs="Arial" w:eastAsia="Arial" w:hAnsi="Arial"/>
          <w:sz w:val="16"/>
          <w:szCs w:val="16"/>
          <w:b w:val="1"/>
          <w:bCs w:val="1"/>
          <w:color w:val="auto"/>
        </w:rPr>
        <w:t xml:space="preserve"> </w:t>
      </w:r>
      <w:r>
        <w:rPr>
          <w:rFonts w:ascii="Arial" w:cs="Arial" w:eastAsia="Arial" w:hAnsi="Arial"/>
          <w:sz w:val="16"/>
          <w:szCs w:val="16"/>
          <w:color w:val="auto"/>
        </w:rPr>
        <w:t>the manually signed copy of the registration statement corresponding to the Commission’s electronic data gathering, analysis and retrieval system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request.</w:t>
      </w:r>
    </w:p>
    <w:p>
      <w:pPr>
        <w:spacing w:after="0" w:line="153" w:lineRule="exact"/>
        <w:rPr>
          <w:rFonts w:ascii="Arial" w:cs="Arial" w:eastAsia="Arial" w:hAnsi="Arial"/>
          <w:sz w:val="16"/>
          <w:szCs w:val="16"/>
          <w:color w:val="auto"/>
        </w:rPr>
      </w:pPr>
    </w:p>
    <w:p>
      <w:pPr>
        <w:jc w:val="both"/>
        <w:ind w:left="-460" w:firstLine="644"/>
        <w:spacing w:after="0" w:line="291" w:lineRule="auto"/>
        <w:tabs>
          <w:tab w:leader="none" w:pos="1224"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Filing of Amendment or Supplement</w:t>
      </w:r>
      <w:r>
        <w:rPr>
          <w:rFonts w:ascii="Arial" w:cs="Arial" w:eastAsia="Arial" w:hAnsi="Arial"/>
          <w:sz w:val="16"/>
          <w:szCs w:val="16"/>
          <w:color w:val="auto"/>
        </w:rPr>
        <w:t>. For such period as in the opinion of counsel for the Underwriters a prospectus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159" w:lineRule="exact"/>
        <w:rPr>
          <w:rFonts w:ascii="Arial" w:cs="Arial" w:eastAsia="Arial" w:hAnsi="Arial"/>
          <w:sz w:val="16"/>
          <w:szCs w:val="16"/>
          <w:color w:val="auto"/>
        </w:rPr>
      </w:pPr>
    </w:p>
    <w:p>
      <w:pPr>
        <w:jc w:val="both"/>
        <w:ind w:left="-460" w:firstLine="644"/>
        <w:spacing w:after="0" w:line="284" w:lineRule="auto"/>
        <w:tabs>
          <w:tab w:leader="none" w:pos="1128"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Copies of Documents to the Underwriters</w:t>
      </w:r>
      <w:r>
        <w:rPr>
          <w:rFonts w:ascii="Arial" w:cs="Arial" w:eastAsia="Arial" w:hAnsi="Arial"/>
          <w:sz w:val="16"/>
          <w:szCs w:val="16"/>
          <w:color w:val="auto"/>
        </w:rPr>
        <w:t>. As soon after the Applicable Time as possible and thereafter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above, file with the Commission an appropriate supplement or amendment thereto (or to such document), and will expeditiously furnish to the Underwriters and dealers a reasonable number of copies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460" w:firstLine="644"/>
        <w:spacing w:after="0" w:line="272" w:lineRule="auto"/>
        <w:tabs>
          <w:tab w:leader="none" w:pos="1189"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Blue Sky Laws</w:t>
      </w:r>
      <w:r>
        <w:rPr>
          <w:rFonts w:ascii="Arial" w:cs="Arial" w:eastAsia="Arial" w:hAnsi="Arial"/>
          <w:sz w:val="17"/>
          <w:szCs w:val="17"/>
          <w:color w:val="auto"/>
        </w:rPr>
        <w:t>. The Issuers will cooperate with the Representatives and with counsel for the Underwriters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71" w:lineRule="exact"/>
        <w:rPr>
          <w:rFonts w:ascii="Arial" w:cs="Arial" w:eastAsia="Arial" w:hAnsi="Arial"/>
          <w:sz w:val="17"/>
          <w:szCs w:val="17"/>
          <w:color w:val="auto"/>
        </w:rPr>
      </w:pPr>
    </w:p>
    <w:p>
      <w:pPr>
        <w:jc w:val="both"/>
        <w:ind w:left="-460" w:firstLine="644"/>
        <w:spacing w:after="0" w:line="303" w:lineRule="auto"/>
        <w:tabs>
          <w:tab w:leader="none" w:pos="1338"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Reports to Security Holders</w:t>
      </w:r>
      <w:r>
        <w:rPr>
          <w:rFonts w:ascii="Arial" w:cs="Arial" w:eastAsia="Arial" w:hAnsi="Arial"/>
          <w:sz w:val="16"/>
          <w:szCs w:val="16"/>
          <w:color w:val="auto"/>
        </w:rPr>
        <w:t>. In accordance with Section 11(a) of the Securities Act and Rule 158 of the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150" w:lineRule="exact"/>
        <w:rPr>
          <w:rFonts w:ascii="Arial" w:cs="Arial" w:eastAsia="Arial" w:hAnsi="Arial"/>
          <w:sz w:val="16"/>
          <w:szCs w:val="16"/>
          <w:color w:val="auto"/>
        </w:rPr>
      </w:pPr>
    </w:p>
    <w:p>
      <w:pPr>
        <w:jc w:val="both"/>
        <w:ind w:left="-460" w:firstLine="644"/>
        <w:spacing w:after="0" w:line="281" w:lineRule="auto"/>
        <w:tabs>
          <w:tab w:leader="none" w:pos="1086"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Copies of Reports</w:t>
      </w:r>
      <w:r>
        <w:rPr>
          <w:rFonts w:ascii="Arial" w:cs="Arial" w:eastAsia="Arial" w:hAnsi="Arial"/>
          <w:sz w:val="17"/>
          <w:szCs w:val="17"/>
          <w:color w:val="auto"/>
        </w:rPr>
        <w:t>. Unless otherwise available on EDGAR, during the period of two years hereafter, the Issuers will furnish</w:t>
      </w:r>
      <w:r>
        <w:rPr>
          <w:rFonts w:ascii="Arial" w:cs="Arial" w:eastAsia="Arial" w:hAnsi="Arial"/>
          <w:sz w:val="17"/>
          <w:szCs w:val="17"/>
          <w:b w:val="1"/>
          <w:bCs w:val="1"/>
          <w:color w:val="auto"/>
        </w:rPr>
        <w:t xml:space="preserve"> </w:t>
      </w:r>
      <w:r>
        <w:rPr>
          <w:rFonts w:ascii="Arial" w:cs="Arial" w:eastAsia="Arial" w:hAnsi="Arial"/>
          <w:sz w:val="17"/>
          <w:szCs w:val="17"/>
          <w:color w:val="auto"/>
        </w:rPr>
        <w:t>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164" w:lineRule="exact"/>
        <w:rPr>
          <w:rFonts w:ascii="Arial" w:cs="Arial" w:eastAsia="Arial" w:hAnsi="Arial"/>
          <w:sz w:val="17"/>
          <w:szCs w:val="17"/>
          <w:color w:val="auto"/>
        </w:rPr>
      </w:pPr>
    </w:p>
    <w:p>
      <w:pPr>
        <w:jc w:val="both"/>
        <w:ind w:left="-460" w:firstLine="644"/>
        <w:spacing w:after="0" w:line="298" w:lineRule="auto"/>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Expenses</w:t>
      </w:r>
      <w:r>
        <w:rPr>
          <w:rFonts w:ascii="Arial" w:cs="Arial" w:eastAsia="Arial" w:hAnsi="Arial"/>
          <w:sz w:val="16"/>
          <w:szCs w:val="16"/>
          <w:color w:val="auto"/>
        </w:rPr>
        <w:t>. If this Agreement shall terminate or shall be terminated after execution pursuant to any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hereof (other than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(except pursuant to the first clause of </w:t>
      </w:r>
      <w:r>
        <w:rPr>
          <w:rFonts w:ascii="Arial" w:cs="Arial" w:eastAsia="Arial" w:hAnsi="Arial"/>
          <w:sz w:val="16"/>
          <w:szCs w:val="16"/>
          <w:u w:val="single" w:color="auto"/>
          <w:color w:val="auto"/>
        </w:rPr>
        <w:t>Section 10(i)</w:t>
      </w:r>
      <w:r>
        <w:rPr>
          <w:rFonts w:ascii="Arial" w:cs="Arial" w:eastAsia="Arial" w:hAnsi="Arial"/>
          <w:sz w:val="16"/>
          <w:szCs w:val="16"/>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ind w:left="-460" w:right="20" w:firstLine="644"/>
        <w:spacing w:after="0" w:line="282" w:lineRule="auto"/>
        <w:tabs>
          <w:tab w:leader="none" w:pos="1365"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Application of Proceeds</w:t>
      </w:r>
      <w:r>
        <w:rPr>
          <w:rFonts w:ascii="Arial" w:cs="Arial" w:eastAsia="Arial" w:hAnsi="Arial"/>
          <w:sz w:val="18"/>
          <w:szCs w:val="18"/>
          <w:color w:val="auto"/>
        </w:rPr>
        <w:t>. The Issuers will apply the net proceeds from the sale of the Notes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description set forth under the caption “Use of Proceeds” in the Pricing Disclosure Package and the Prospectus.</w:t>
      </w:r>
    </w:p>
    <w:p>
      <w:pPr>
        <w:spacing w:after="0" w:line="161" w:lineRule="exact"/>
        <w:rPr>
          <w:rFonts w:ascii="Arial" w:cs="Arial" w:eastAsia="Arial" w:hAnsi="Arial"/>
          <w:sz w:val="18"/>
          <w:szCs w:val="18"/>
          <w:color w:val="auto"/>
        </w:rPr>
      </w:pPr>
    </w:p>
    <w:p>
      <w:pPr>
        <w:ind w:left="-460" w:firstLine="644"/>
        <w:spacing w:after="0" w:line="282" w:lineRule="auto"/>
        <w:tabs>
          <w:tab w:leader="none" w:pos="103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Filing of Prospectus</w:t>
      </w:r>
      <w:r>
        <w:rPr>
          <w:rFonts w:ascii="Arial" w:cs="Arial" w:eastAsia="Arial" w:hAnsi="Arial"/>
          <w:sz w:val="18"/>
          <w:szCs w:val="18"/>
          <w:color w:val="auto"/>
        </w:rPr>
        <w:t>. The Issuers will timely file the Prospectus, and any amendment or supplement thereto, pursuant to Rule</w:t>
      </w:r>
      <w:r>
        <w:rPr>
          <w:rFonts w:ascii="Arial" w:cs="Arial" w:eastAsia="Arial" w:hAnsi="Arial"/>
          <w:sz w:val="18"/>
          <w:szCs w:val="18"/>
          <w:b w:val="1"/>
          <w:bCs w:val="1"/>
          <w:color w:val="auto"/>
        </w:rPr>
        <w:t xml:space="preserve"> </w:t>
      </w:r>
      <w:r>
        <w:rPr>
          <w:rFonts w:ascii="Arial" w:cs="Arial" w:eastAsia="Arial" w:hAnsi="Arial"/>
          <w:sz w:val="18"/>
          <w:szCs w:val="18"/>
          <w:color w:val="auto"/>
        </w:rPr>
        <w:t>424(b) of the Rules and Regulations and will advise the Underwriters of the time and manner of such filing.</w:t>
      </w:r>
    </w:p>
    <w:p>
      <w:pPr>
        <w:spacing w:after="0" w:line="161" w:lineRule="exact"/>
        <w:rPr>
          <w:rFonts w:ascii="Arial" w:cs="Arial" w:eastAsia="Arial" w:hAnsi="Arial"/>
          <w:sz w:val="18"/>
          <w:szCs w:val="18"/>
          <w:color w:val="auto"/>
        </w:rPr>
      </w:pPr>
    </w:p>
    <w:p>
      <w:pPr>
        <w:jc w:val="both"/>
        <w:ind w:left="-460" w:firstLine="644"/>
        <w:spacing w:after="0" w:line="266" w:lineRule="auto"/>
        <w:tabs>
          <w:tab w:leader="none" w:pos="1028"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Stabilization</w:t>
      </w:r>
      <w:r>
        <w:rPr>
          <w:rFonts w:ascii="Arial" w:cs="Arial" w:eastAsia="Arial" w:hAnsi="Arial"/>
          <w:sz w:val="18"/>
          <w:szCs w:val="18"/>
          <w:color w:val="auto"/>
        </w:rPr>
        <w:t>. Except as stated in this Agreement and the Prospectus, neither of the Issuers has taken, or will take,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any security of the Issuers to facilitate the sale or resale of the Notes.</w:t>
      </w:r>
    </w:p>
    <w:p>
      <w:pPr>
        <w:spacing w:after="0" w:line="175" w:lineRule="exact"/>
        <w:rPr>
          <w:rFonts w:ascii="Arial" w:cs="Arial" w:eastAsia="Arial" w:hAnsi="Arial"/>
          <w:sz w:val="18"/>
          <w:szCs w:val="18"/>
          <w:color w:val="auto"/>
        </w:rPr>
      </w:pPr>
    </w:p>
    <w:p>
      <w:pPr>
        <w:jc w:val="both"/>
        <w:ind w:left="-460" w:firstLine="644"/>
        <w:spacing w:after="0" w:line="266" w:lineRule="auto"/>
        <w:tabs>
          <w:tab w:leader="none" w:pos="1068"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Company</w:t>
      </w:r>
      <w:r>
        <w:rPr>
          <w:rFonts w:ascii="Arial" w:cs="Arial" w:eastAsia="Arial" w:hAnsi="Arial"/>
          <w:sz w:val="18"/>
          <w:szCs w:val="18"/>
          <w:color w:val="auto"/>
        </w:rPr>
        <w:t>. The Issuers will take such steps as shall be necessary to ensure that none of the Plains Entities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GP Entities shall become an “investment company” within the meaning of such term under the Investment Company Act and the rules and regulations of the Commission thereunder.</w:t>
      </w:r>
    </w:p>
    <w:p>
      <w:pPr>
        <w:spacing w:after="0" w:line="175" w:lineRule="exact"/>
        <w:rPr>
          <w:rFonts w:ascii="Arial" w:cs="Arial" w:eastAsia="Arial" w:hAnsi="Arial"/>
          <w:sz w:val="18"/>
          <w:szCs w:val="18"/>
          <w:color w:val="auto"/>
        </w:rPr>
      </w:pPr>
    </w:p>
    <w:p>
      <w:pPr>
        <w:jc w:val="both"/>
        <w:ind w:left="-460" w:firstLine="644"/>
        <w:spacing w:after="0" w:line="266" w:lineRule="auto"/>
        <w:tabs>
          <w:tab w:leader="none" w:pos="1108"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Act Reports</w:t>
      </w:r>
      <w:r>
        <w:rPr>
          <w:rFonts w:ascii="Arial" w:cs="Arial" w:eastAsia="Arial" w:hAnsi="Arial"/>
          <w:sz w:val="18"/>
          <w:szCs w:val="18"/>
          <w:color w:val="auto"/>
        </w:rPr>
        <w:t>. The Issuers, during the period when the Prospectus is required to be delivered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will file all documents required to be filed with the Commission pursuant to the Exchange Act within the time periods required by the Exchange Act.</w:t>
      </w:r>
    </w:p>
    <w:p>
      <w:pPr>
        <w:spacing w:after="0" w:line="175" w:lineRule="exact"/>
        <w:rPr>
          <w:rFonts w:ascii="Arial" w:cs="Arial" w:eastAsia="Arial" w:hAnsi="Arial"/>
          <w:sz w:val="18"/>
          <w:szCs w:val="18"/>
          <w:color w:val="auto"/>
        </w:rPr>
      </w:pPr>
    </w:p>
    <w:p>
      <w:pPr>
        <w:jc w:val="both"/>
        <w:ind w:left="-460" w:firstLine="644"/>
        <w:spacing w:after="0" w:line="269" w:lineRule="auto"/>
        <w:tabs>
          <w:tab w:leader="none" w:pos="1068"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Free Writing Prospectuses</w:t>
      </w:r>
      <w:r>
        <w:rPr>
          <w:rFonts w:ascii="Arial" w:cs="Arial" w:eastAsia="Arial" w:hAnsi="Arial"/>
          <w:sz w:val="17"/>
          <w:szCs w:val="17"/>
          <w:color w:val="auto"/>
        </w:rPr>
        <w:t>. The Issuers have complied and will comply with the requirements of Rule 433 of the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jc w:val="both"/>
        <w:ind w:left="4" w:firstLine="644"/>
        <w:spacing w:after="0" w:line="266" w:lineRule="auto"/>
        <w:tabs>
          <w:tab w:leader="none" w:pos="1572" w:val="left"/>
        </w:tabs>
        <w:numPr>
          <w:ilvl w:val="1"/>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Clear Market</w:t>
      </w:r>
      <w:r>
        <w:rPr>
          <w:rFonts w:ascii="Arial" w:cs="Arial" w:eastAsia="Arial" w:hAnsi="Arial"/>
          <w:sz w:val="18"/>
          <w:szCs w:val="18"/>
          <w:color w:val="auto"/>
        </w:rPr>
        <w:t>. During the period from the date hereof through and including the business day following the Delivery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Issuers will not, without the prior written consent of the Representatives, offer, sell, contract to sell or otherwise dispose of any debt securities issued or guaranteed by the Issuers and having a tenor of more than one year.</w:t>
      </w:r>
    </w:p>
    <w:p>
      <w:pPr>
        <w:spacing w:after="0" w:line="175" w:lineRule="exact"/>
        <w:rPr>
          <w:rFonts w:ascii="Arial" w:cs="Arial" w:eastAsia="Arial" w:hAnsi="Arial"/>
          <w:sz w:val="18"/>
          <w:szCs w:val="18"/>
          <w:color w:val="auto"/>
        </w:rPr>
      </w:pPr>
    </w:p>
    <w:p>
      <w:pPr>
        <w:ind w:left="944" w:hanging="944"/>
        <w:spacing w:after="0"/>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644"/>
        <w:spacing w:after="0" w:line="284" w:lineRule="auto"/>
        <w:tabs>
          <w:tab w:leader="none" w:pos="164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6"/>
          <w:szCs w:val="16"/>
          <w:b w:val="1"/>
          <w:bCs w:val="1"/>
          <w:u w:val="single" w:color="auto"/>
          <w:color w:val="auto"/>
        </w:rPr>
        <w:t>Non-Prospectus Road Show</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The foregoing indemnity agreement is in addition to any liability that the Issuers may otherwise have to any Underwriter or to any director, officer, employee or controlling person of that Underwriter.</w:t>
      </w:r>
    </w:p>
    <w:p>
      <w:pPr>
        <w:spacing w:after="0" w:line="395" w:lineRule="exact"/>
        <w:rPr>
          <w:rFonts w:ascii="Arial" w:cs="Arial" w:eastAsia="Arial" w:hAnsi="Arial"/>
          <w:sz w:val="16"/>
          <w:szCs w:val="16"/>
          <w:color w:val="auto"/>
        </w:rPr>
      </w:pPr>
    </w:p>
    <w:p>
      <w:pPr>
        <w:jc w:val="both"/>
        <w:ind w:left="4" w:firstLine="644"/>
        <w:spacing w:after="0" w:line="285" w:lineRule="auto"/>
        <w:tabs>
          <w:tab w:leader="none" w:pos="1653"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39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jc w:val="both"/>
        <w:ind w:left="-460" w:firstLine="644"/>
        <w:spacing w:after="0" w:line="286" w:lineRule="auto"/>
        <w:tabs>
          <w:tab w:leader="none" w:pos="11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such Underwriter shall have the rights and duties given to the Issuers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above. The foregoing indemnity agreement shall be in addition to any liability that the Underwriters may otherwise have.</w:t>
      </w:r>
    </w:p>
    <w:p>
      <w:pPr>
        <w:spacing w:after="0" w:line="170" w:lineRule="exact"/>
        <w:rPr>
          <w:rFonts w:ascii="Arial" w:cs="Arial" w:eastAsia="Arial" w:hAnsi="Arial"/>
          <w:sz w:val="16"/>
          <w:szCs w:val="16"/>
          <w:color w:val="auto"/>
        </w:rPr>
      </w:pPr>
    </w:p>
    <w:p>
      <w:pPr>
        <w:jc w:val="both"/>
        <w:ind w:left="-460" w:firstLine="644"/>
        <w:spacing w:after="0" w:line="286" w:lineRule="auto"/>
        <w:tabs>
          <w:tab w:leader="none" w:pos="1027"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unavailable to an indemnified party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is not permitted by applicable law, in such proportion as is appropriate to reflect not only the relative benefits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70" w:lineRule="exact"/>
        <w:rPr>
          <w:rFonts w:ascii="Arial" w:cs="Arial" w:eastAsia="Arial" w:hAnsi="Arial"/>
          <w:sz w:val="16"/>
          <w:szCs w:val="16"/>
          <w:color w:val="auto"/>
        </w:rPr>
      </w:pPr>
    </w:p>
    <w:p>
      <w:pPr>
        <w:jc w:val="both"/>
        <w:ind w:left="-460" w:firstLine="644"/>
        <w:spacing w:after="0" w:line="269" w:lineRule="auto"/>
        <w:tabs>
          <w:tab w:leader="none" w:pos="10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Issuers and the Underwriters agree that it would not be just and equitable if contribution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above. The amount paid or payable by an indemnified party as a result of the losses, claims, damages, liabilities and expenses referred to in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several and not joint.</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4" w:name="page25"/>
    <w:bookmarkEnd w:id="24"/>
    <w:p>
      <w:pPr>
        <w:jc w:val="both"/>
        <w:ind w:left="660" w:firstLine="644"/>
        <w:spacing w:after="0" w:line="253" w:lineRule="auto"/>
        <w:tabs>
          <w:tab w:leader="none" w:pos="23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6" w:lineRule="exact"/>
        <w:rPr>
          <w:rFonts w:ascii="Arial" w:cs="Arial" w:eastAsia="Arial" w:hAnsi="Arial"/>
          <w:sz w:val="18"/>
          <w:szCs w:val="18"/>
          <w:color w:val="auto"/>
        </w:rPr>
      </w:pPr>
    </w:p>
    <w:p>
      <w:pPr>
        <w:jc w:val="both"/>
        <w:ind w:left="660" w:firstLine="644"/>
        <w:spacing w:after="0" w:line="270" w:lineRule="auto"/>
        <w:tabs>
          <w:tab w:leader="none" w:pos="2512"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Any losses, claims, damages, liabilities or expenses for which an indemnified party is entitled to indemnification or contribution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firstLine="656"/>
        <w:spacing w:after="0" w:line="282" w:lineRule="auto"/>
        <w:tabs>
          <w:tab w:leader="none" w:pos="167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the Obligations of the Underwriters</w:t>
      </w:r>
      <w:r>
        <w:rPr>
          <w:rFonts w:ascii="Arial" w:cs="Arial" w:eastAsia="Arial" w:hAnsi="Arial"/>
          <w:sz w:val="18"/>
          <w:szCs w:val="18"/>
          <w:color w:val="auto"/>
        </w:rPr>
        <w:t>. The several obligations of the Underwriters to purchase the Notes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conditions:</w:t>
      </w:r>
    </w:p>
    <w:p>
      <w:pPr>
        <w:spacing w:after="0" w:line="165" w:lineRule="exact"/>
        <w:rPr>
          <w:rFonts w:ascii="Arial" w:cs="Arial" w:eastAsia="Arial" w:hAnsi="Arial"/>
          <w:sz w:val="18"/>
          <w:szCs w:val="18"/>
          <w:color w:val="auto"/>
        </w:rPr>
      </w:pPr>
    </w:p>
    <w:p>
      <w:pPr>
        <w:jc w:val="both"/>
        <w:ind w:left="660" w:firstLine="644"/>
        <w:spacing w:after="0" w:line="291" w:lineRule="auto"/>
        <w:tabs>
          <w:tab w:leader="none" w:pos="22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66" w:lineRule="exact"/>
        <w:rPr>
          <w:rFonts w:ascii="Arial" w:cs="Arial" w:eastAsia="Arial" w:hAnsi="Arial"/>
          <w:sz w:val="16"/>
          <w:szCs w:val="16"/>
          <w:color w:val="auto"/>
        </w:rPr>
      </w:pPr>
    </w:p>
    <w:p>
      <w:pPr>
        <w:jc w:val="both"/>
        <w:ind w:left="660" w:firstLine="644"/>
        <w:spacing w:after="0" w:line="290" w:lineRule="auto"/>
        <w:tabs>
          <w:tab w:leader="none" w:pos="2174" w:val="left"/>
        </w:tabs>
        <w:numPr>
          <w:ilvl w:val="1"/>
          <w:numId w:val="31"/>
        </w:numPr>
        <w:rPr>
          <w:rFonts w:ascii="Arial" w:cs="Arial" w:eastAsia="Arial" w:hAnsi="Arial"/>
          <w:sz w:val="16"/>
          <w:szCs w:val="16"/>
          <w:color w:val="auto"/>
        </w:rPr>
      </w:pPr>
      <w:r>
        <w:rPr>
          <w:rFonts w:ascii="Arial" w:cs="Arial" w:eastAsia="Arial" w:hAnsi="Arial"/>
          <w:sz w:val="16"/>
          <w:szCs w:val="16"/>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460" w:firstLine="644"/>
        <w:spacing w:after="0" w:line="277" w:lineRule="auto"/>
        <w:tabs>
          <w:tab w:leader="none" w:pos="11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Vinson &amp; Elkins L.L.P., counsel for the Issuers, dated the Delivery Date and addressed to the Underwriters, to the effect that:</w:t>
      </w:r>
    </w:p>
    <w:p>
      <w:pPr>
        <w:spacing w:after="0" w:line="170" w:lineRule="exact"/>
        <w:rPr>
          <w:rFonts w:ascii="Arial" w:cs="Arial" w:eastAsia="Arial" w:hAnsi="Arial"/>
          <w:sz w:val="18"/>
          <w:szCs w:val="18"/>
          <w:color w:val="auto"/>
        </w:rPr>
      </w:pPr>
    </w:p>
    <w:p>
      <w:pPr>
        <w:jc w:val="both"/>
        <w:ind w:left="180" w:firstLine="652"/>
        <w:spacing w:after="0" w:line="259" w:lineRule="auto"/>
        <w:tabs>
          <w:tab w:leader="none" w:pos="17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left="180" w:firstLine="652"/>
        <w:spacing w:after="0" w:line="342" w:lineRule="auto"/>
        <w:tabs>
          <w:tab w:leader="none" w:pos="183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23" w:lineRule="exact"/>
        <w:rPr>
          <w:rFonts w:ascii="Arial" w:cs="Arial" w:eastAsia="Arial" w:hAnsi="Arial"/>
          <w:sz w:val="16"/>
          <w:szCs w:val="16"/>
          <w:color w:val="auto"/>
        </w:rPr>
      </w:pPr>
    </w:p>
    <w:p>
      <w:pPr>
        <w:jc w:val="both"/>
        <w:ind w:left="180" w:firstLine="652"/>
        <w:spacing w:after="0" w:line="269" w:lineRule="auto"/>
        <w:tabs>
          <w:tab w:leader="none" w:pos="18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85" w:lineRule="exact"/>
        <w:rPr>
          <w:rFonts w:ascii="Arial" w:cs="Arial" w:eastAsia="Arial" w:hAnsi="Arial"/>
          <w:sz w:val="17"/>
          <w:szCs w:val="17"/>
          <w:color w:val="auto"/>
        </w:rPr>
      </w:pPr>
    </w:p>
    <w:p>
      <w:pPr>
        <w:jc w:val="both"/>
        <w:ind w:left="180" w:firstLine="652"/>
        <w:spacing w:after="0" w:line="263" w:lineRule="auto"/>
        <w:tabs>
          <w:tab w:leader="none" w:pos="1762"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180" w:firstLine="652"/>
        <w:spacing w:after="0" w:line="263" w:lineRule="auto"/>
        <w:tabs>
          <w:tab w:leader="none" w:pos="20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the filing of the Registration Statement nor the offering or sale of the Notes as contemplated by this Agreement gives rise to any rights for or relating to the registration of any Notes or other securities of the Issuers under any agreement filed as an exhibit to the Registration Statement, except such rights as have been waived or satisfied.</w:t>
      </w:r>
    </w:p>
    <w:p>
      <w:pPr>
        <w:spacing w:after="0" w:line="183" w:lineRule="exact"/>
        <w:rPr>
          <w:rFonts w:ascii="Arial" w:cs="Arial" w:eastAsia="Arial" w:hAnsi="Arial"/>
          <w:sz w:val="18"/>
          <w:szCs w:val="18"/>
          <w:color w:val="auto"/>
        </w:rPr>
      </w:pPr>
    </w:p>
    <w:p>
      <w:pPr>
        <w:ind w:left="1680" w:hanging="848"/>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rFonts w:ascii="Arial" w:cs="Arial" w:eastAsia="Arial" w:hAnsi="Arial"/>
          <w:sz w:val="18"/>
          <w:szCs w:val="18"/>
          <w:color w:val="auto"/>
        </w:rPr>
      </w:pPr>
    </w:p>
    <w:p>
      <w:pPr>
        <w:ind w:left="1600" w:hanging="768"/>
        <w:spacing w:after="0"/>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Issuers.</w:t>
      </w:r>
    </w:p>
    <w:p>
      <w:pPr>
        <w:spacing w:after="0" w:line="225" w:lineRule="exact"/>
        <w:rPr>
          <w:rFonts w:ascii="Arial" w:cs="Arial" w:eastAsia="Arial" w:hAnsi="Arial"/>
          <w:sz w:val="18"/>
          <w:szCs w:val="18"/>
          <w:color w:val="auto"/>
        </w:rPr>
      </w:pPr>
    </w:p>
    <w:p>
      <w:pPr>
        <w:jc w:val="both"/>
        <w:ind w:left="180" w:firstLine="652"/>
        <w:spacing w:after="0" w:line="254" w:lineRule="auto"/>
        <w:tabs>
          <w:tab w:leader="none" w:pos="15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94" w:lineRule="exact"/>
        <w:rPr>
          <w:rFonts w:ascii="Arial" w:cs="Arial" w:eastAsia="Arial" w:hAnsi="Arial"/>
          <w:sz w:val="18"/>
          <w:szCs w:val="18"/>
          <w:color w:val="auto"/>
        </w:rPr>
      </w:pPr>
    </w:p>
    <w:p>
      <w:pPr>
        <w:jc w:val="both"/>
        <w:ind w:left="180" w:firstLine="652"/>
        <w:spacing w:after="0" w:line="271" w:lineRule="auto"/>
        <w:tabs>
          <w:tab w:leader="none" w:pos="171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8" w:lineRule="exact"/>
        <w:rPr>
          <w:rFonts w:ascii="Arial" w:cs="Arial" w:eastAsia="Arial" w:hAnsi="Arial"/>
          <w:sz w:val="17"/>
          <w:szCs w:val="17"/>
          <w:color w:val="auto"/>
        </w:rPr>
      </w:pPr>
    </w:p>
    <w:p>
      <w:pPr>
        <w:jc w:val="both"/>
        <w:ind w:left="180" w:firstLine="652"/>
        <w:spacing w:after="0" w:line="272" w:lineRule="auto"/>
        <w:tabs>
          <w:tab w:leader="none" w:pos="17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27" w:name="page28"/>
    <w:bookmarkEnd w:id="27"/>
    <w:p>
      <w:pPr>
        <w:jc w:val="both"/>
        <w:ind w:left="180" w:firstLine="652"/>
        <w:spacing w:after="0" w:line="268" w:lineRule="auto"/>
        <w:tabs>
          <w:tab w:leader="none" w:pos="1713"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None of (A) the offering, issuance and sale by the Issuers of the Notes, (B) the execution, delivery and performance of this Agreement by the Issuers, (C) the consummation of the transactions contemplated by this Agreement, (D) the execution and delivery of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and the Credit Agreement dated as of August 19, 2011, as amended, among the Partnership, certain subsidiaries of the Partnership from time to time party thereto and Bank of America, N.A., as administrative agent, and the other lenders party thereto (the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(3) results or will result in any violation of the Delaware LP Act, the Delaware LLC Act, the Delaware General Corporation Law (the “</w:t>
      </w:r>
      <w:r>
        <w:rPr>
          <w:rFonts w:ascii="Arial" w:cs="Arial" w:eastAsia="Arial" w:hAnsi="Arial"/>
          <w:sz w:val="17"/>
          <w:szCs w:val="17"/>
          <w:b w:val="1"/>
          <w:bCs w:val="1"/>
          <w:u w:val="single" w:color="auto"/>
          <w:color w:val="auto"/>
        </w:rPr>
        <w:t>DGCL</w:t>
      </w:r>
      <w:r>
        <w:rPr>
          <w:rFonts w:ascii="Arial" w:cs="Arial" w:eastAsia="Arial" w:hAnsi="Arial"/>
          <w:sz w:val="17"/>
          <w:szCs w:val="17"/>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Arial" w:cs="Arial" w:eastAsia="Arial" w:hAnsi="Arial"/>
          <w:sz w:val="17"/>
          <w:szCs w:val="17"/>
          <w:u w:val="single" w:color="auto"/>
          <w:color w:val="auto"/>
        </w:rPr>
        <w:t>clauses (2)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would reasonably be expected to have a Material Adverse Effect or materially impair the ability of the Issuers to consummate the transactions contemplated by this Agreement, it being understood that such counsel need not express an opinion in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paragraph (xi)</w:t>
      </w:r>
      <w:r>
        <w:rPr>
          <w:rFonts w:ascii="Arial" w:cs="Arial" w:eastAsia="Arial" w:hAnsi="Arial"/>
          <w:sz w:val="17"/>
          <w:szCs w:val="17"/>
          <w:color w:val="auto"/>
        </w:rPr>
        <w:t xml:space="preserve"> with respect to any securities or other anti-fraud law.</w:t>
      </w:r>
    </w:p>
    <w:p>
      <w:pPr>
        <w:spacing w:after="0" w:line="179" w:lineRule="exact"/>
        <w:rPr>
          <w:rFonts w:ascii="Arial" w:cs="Arial" w:eastAsia="Arial" w:hAnsi="Arial"/>
          <w:sz w:val="17"/>
          <w:szCs w:val="17"/>
          <w:color w:val="auto"/>
        </w:rPr>
      </w:pPr>
    </w:p>
    <w:p>
      <w:pPr>
        <w:jc w:val="both"/>
        <w:ind w:left="180" w:firstLine="652"/>
        <w:spacing w:after="0" w:line="284" w:lineRule="auto"/>
        <w:tabs>
          <w:tab w:leader="none" w:pos="1857"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w:t>
      </w:r>
    </w:p>
    <w:p>
      <w:pPr>
        <w:jc w:val="both"/>
        <w:ind w:left="180" w:firstLine="4"/>
        <w:spacing w:after="0" w:line="253" w:lineRule="auto"/>
        <w:tabs>
          <w:tab w:leader="none" w:pos="4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Section 5 of this Agreement.</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jc w:val="both"/>
        <w:ind w:left="180" w:firstLine="652"/>
        <w:spacing w:after="0" w:line="255" w:lineRule="auto"/>
        <w:tabs>
          <w:tab w:leader="none" w:pos="16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192" w:lineRule="exact"/>
        <w:rPr>
          <w:rFonts w:ascii="Arial" w:cs="Arial" w:eastAsia="Arial" w:hAnsi="Arial"/>
          <w:sz w:val="18"/>
          <w:szCs w:val="18"/>
          <w:color w:val="auto"/>
        </w:rPr>
      </w:pPr>
    </w:p>
    <w:p>
      <w:pPr>
        <w:jc w:val="both"/>
        <w:ind w:left="180" w:firstLine="652"/>
        <w:spacing w:after="0" w:line="301" w:lineRule="auto"/>
        <w:tabs>
          <w:tab w:leader="none" w:pos="16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Registration Statement became effective under the Securities Act upon its filing on September 14, 2018;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157" w:lineRule="exact"/>
        <w:rPr>
          <w:rFonts w:ascii="Arial" w:cs="Arial" w:eastAsia="Arial" w:hAnsi="Arial"/>
          <w:sz w:val="16"/>
          <w:szCs w:val="16"/>
          <w:color w:val="auto"/>
        </w:rPr>
      </w:pPr>
    </w:p>
    <w:p>
      <w:pPr>
        <w:jc w:val="both"/>
        <w:ind w:left="180" w:firstLine="652"/>
        <w:spacing w:after="0" w:line="257" w:lineRule="auto"/>
        <w:tabs>
          <w:tab w:leader="none" w:pos="17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87" w:lineRule="exact"/>
        <w:rPr>
          <w:rFonts w:ascii="Arial" w:cs="Arial" w:eastAsia="Arial" w:hAnsi="Arial"/>
          <w:sz w:val="18"/>
          <w:szCs w:val="18"/>
          <w:color w:val="auto"/>
        </w:rPr>
      </w:pPr>
    </w:p>
    <w:p>
      <w:pPr>
        <w:jc w:val="both"/>
        <w:ind w:left="180" w:firstLine="652"/>
        <w:spacing w:after="0" w:line="259" w:lineRule="auto"/>
        <w:tabs>
          <w:tab w:leader="none" w:pos="17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187" w:lineRule="exact"/>
        <w:rPr>
          <w:sz w:val="20"/>
          <w:szCs w:val="20"/>
          <w:color w:val="auto"/>
        </w:rPr>
      </w:pPr>
    </w:p>
    <w:p>
      <w:pPr>
        <w:jc w:val="both"/>
        <w:ind w:left="180" w:firstLine="648"/>
        <w:spacing w:after="0" w:line="272" w:lineRule="auto"/>
        <w:rPr>
          <w:sz w:val="20"/>
          <w:szCs w:val="20"/>
          <w:color w:val="auto"/>
        </w:rPr>
      </w:pPr>
      <w:r>
        <w:rPr>
          <w:rFonts w:ascii="Arial" w:cs="Arial" w:eastAsia="Arial" w:hAnsi="Arial"/>
          <w:sz w:val="17"/>
          <w:szCs w:val="17"/>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ind w:left="840" w:firstLine="640"/>
        <w:spacing w:after="0" w:line="342" w:lineRule="auto"/>
        <w:tabs>
          <w:tab w:leader="none" w:pos="23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jc w:val="both"/>
        <w:ind w:left="840" w:firstLine="640"/>
        <w:spacing w:after="0" w:line="263" w:lineRule="auto"/>
        <w:tabs>
          <w:tab w:leader="none" w:pos="24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83" w:lineRule="exact"/>
        <w:rPr>
          <w:rFonts w:ascii="Arial" w:cs="Arial" w:eastAsia="Arial" w:hAnsi="Arial"/>
          <w:sz w:val="18"/>
          <w:szCs w:val="18"/>
          <w:color w:val="auto"/>
        </w:rPr>
      </w:pPr>
    </w:p>
    <w:p>
      <w:pPr>
        <w:jc w:val="both"/>
        <w:ind w:left="840" w:firstLine="640"/>
        <w:spacing w:after="0" w:line="263" w:lineRule="auto"/>
        <w:tabs>
          <w:tab w:leader="none" w:pos="2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4"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71"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w:t>
      </w:r>
    </w:p>
    <w:p>
      <w:pPr>
        <w:jc w:val="both"/>
        <w:ind w:left="180" w:firstLine="4"/>
        <w:spacing w:after="0" w:line="285" w:lineRule="auto"/>
        <w:tabs>
          <w:tab w:leader="none" w:pos="482"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or the Secretary of State of the State of Texas, as applicable,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ind w:firstLine="644"/>
        <w:spacing w:after="0" w:line="277" w:lineRule="auto"/>
        <w:tabs>
          <w:tab w:leader="none" w:pos="18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the general counsel for GP LLC dated the Delivery Date and addressed to the Underwriters, to the effect that:</w:t>
      </w:r>
    </w:p>
    <w:p>
      <w:pPr>
        <w:spacing w:after="0" w:line="170" w:lineRule="exact"/>
        <w:rPr>
          <w:rFonts w:ascii="Arial" w:cs="Arial" w:eastAsia="Arial" w:hAnsi="Arial"/>
          <w:sz w:val="18"/>
          <w:szCs w:val="18"/>
          <w:color w:val="auto"/>
        </w:rPr>
      </w:pPr>
    </w:p>
    <w:p>
      <w:pPr>
        <w:jc w:val="both"/>
        <w:ind w:left="640" w:firstLine="652"/>
        <w:spacing w:after="0" w:line="268" w:lineRule="auto"/>
        <w:tabs>
          <w:tab w:leader="none" w:pos="2263"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None of (1) the offering, issuance and sale by the Issuers of the Notes, (2) the execution, delivery and performance by the Issuers of this Agreement, (3) the consummation of the transactions contemplated by this Agreement or (4) the execution and delivery of the Supplemental Indenture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both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clause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clause </w:t>
      </w:r>
      <w:r>
        <w:rPr>
          <w:rFonts w:ascii="Arial" w:cs="Arial" w:eastAsia="Arial" w:hAnsi="Arial"/>
          <w:sz w:val="17"/>
          <w:szCs w:val="17"/>
          <w:u w:val="single" w:color="auto"/>
          <w:color w:val="auto"/>
        </w:rPr>
        <w:t>(B)</w:t>
      </w:r>
      <w:r>
        <w:rPr>
          <w:rFonts w:ascii="Arial" w:cs="Arial" w:eastAsia="Arial" w:hAnsi="Arial"/>
          <w:sz w:val="17"/>
          <w:szCs w:val="17"/>
          <w:color w:val="auto"/>
        </w:rPr>
        <w:t>, reasonably be expected to have a Material Adverse Effect or materially impair the ability of the Issuers to consummate the transactions contemplated by this Agreement.</w:t>
      </w:r>
    </w:p>
    <w:p>
      <w:pPr>
        <w:spacing w:after="0" w:line="186" w:lineRule="exact"/>
        <w:rPr>
          <w:rFonts w:ascii="Arial" w:cs="Arial" w:eastAsia="Arial" w:hAnsi="Arial"/>
          <w:sz w:val="17"/>
          <w:szCs w:val="17"/>
          <w:color w:val="auto"/>
        </w:rPr>
      </w:pPr>
    </w:p>
    <w:p>
      <w:pPr>
        <w:jc w:val="both"/>
        <w:ind w:left="640" w:firstLine="652"/>
        <w:spacing w:after="0" w:line="263" w:lineRule="auto"/>
        <w:tabs>
          <w:tab w:leader="none" w:pos="23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83" w:lineRule="exact"/>
        <w:rPr>
          <w:rFonts w:ascii="Arial" w:cs="Arial" w:eastAsia="Arial" w:hAnsi="Arial"/>
          <w:sz w:val="18"/>
          <w:szCs w:val="18"/>
          <w:color w:val="auto"/>
        </w:rPr>
      </w:pPr>
    </w:p>
    <w:p>
      <w:pPr>
        <w:jc w:val="both"/>
        <w:ind w:left="640" w:firstLine="652"/>
        <w:spacing w:after="0" w:line="259" w:lineRule="auto"/>
        <w:tabs>
          <w:tab w:leader="none" w:pos="227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Arial" w:cs="Arial" w:eastAsia="Arial" w:hAnsi="Arial"/>
          <w:sz w:val="16"/>
          <w:szCs w:val="16"/>
          <w:u w:val="single" w:color="auto"/>
          <w:color w:val="auto"/>
        </w:rPr>
        <w:t>Section 7(d)(i)(4)(B)</w:t>
      </w:r>
      <w:r>
        <w:rPr>
          <w:rFonts w:ascii="Arial" w:cs="Arial" w:eastAsia="Arial" w:hAnsi="Arial"/>
          <w:sz w:val="16"/>
          <w:szCs w:val="16"/>
          <w:color w:val="auto"/>
        </w:rPr>
        <w:t xml:space="preserve"> above or (y) taxes.</w:t>
      </w:r>
    </w:p>
    <w:p>
      <w:pPr>
        <w:spacing w:after="0" w:line="38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ind w:left="-460" w:firstLine="644"/>
        <w:spacing w:after="0" w:line="277" w:lineRule="auto"/>
        <w:tabs>
          <w:tab w:leader="none" w:pos="10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internal Canadian counsel for the Partnership, dated the Delivery Date and addressed to the Underwriters, to the effect that:</w:t>
      </w:r>
    </w:p>
    <w:p>
      <w:pPr>
        <w:spacing w:after="0" w:line="170" w:lineRule="exact"/>
        <w:rPr>
          <w:rFonts w:ascii="Arial" w:cs="Arial" w:eastAsia="Arial" w:hAnsi="Arial"/>
          <w:sz w:val="18"/>
          <w:szCs w:val="18"/>
          <w:color w:val="auto"/>
        </w:rPr>
      </w:pPr>
    </w:p>
    <w:p>
      <w:pPr>
        <w:jc w:val="both"/>
        <w:ind w:left="180" w:firstLine="652"/>
        <w:spacing w:after="0" w:line="255" w:lineRule="auto"/>
        <w:tabs>
          <w:tab w:leader="none" w:pos="19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and Saskatchewan.</w:t>
      </w:r>
    </w:p>
    <w:p>
      <w:pPr>
        <w:spacing w:after="0" w:line="192" w:lineRule="exact"/>
        <w:rPr>
          <w:rFonts w:ascii="Arial" w:cs="Arial" w:eastAsia="Arial" w:hAnsi="Arial"/>
          <w:sz w:val="18"/>
          <w:szCs w:val="18"/>
          <w:color w:val="auto"/>
        </w:rPr>
      </w:pPr>
    </w:p>
    <w:p>
      <w:pPr>
        <w:jc w:val="both"/>
        <w:ind w:left="180" w:firstLine="652"/>
        <w:spacing w:after="0" w:line="296" w:lineRule="auto"/>
        <w:tabs>
          <w:tab w:leader="none" w:pos="16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Plains Marketing is the registered holder of 100% of the issued and outstanding preferred shares of Plains Midstream Canada, and Plains Midstream Luxembourg, S.a.r.l. is the registered holder of 100% of the issued and outstanding common shares of Plains Midstream Canada and 100% of the issued and outstanding second preferred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61" w:lineRule="exact"/>
        <w:rPr>
          <w:rFonts w:ascii="Arial" w:cs="Arial" w:eastAsia="Arial" w:hAnsi="Arial"/>
          <w:sz w:val="16"/>
          <w:szCs w:val="16"/>
          <w:color w:val="auto"/>
        </w:rPr>
      </w:pPr>
    </w:p>
    <w:p>
      <w:pPr>
        <w:jc w:val="both"/>
        <w:ind w:left="180" w:firstLine="652"/>
        <w:spacing w:after="0" w:line="286" w:lineRule="auto"/>
        <w:tabs>
          <w:tab w:leader="none" w:pos="2016"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65" w:lineRule="exact"/>
        <w:rPr>
          <w:rFonts w:ascii="Arial" w:cs="Arial" w:eastAsia="Arial" w:hAnsi="Arial"/>
          <w:sz w:val="17"/>
          <w:szCs w:val="17"/>
          <w:color w:val="auto"/>
        </w:rPr>
      </w:pPr>
    </w:p>
    <w:p>
      <w:pPr>
        <w:jc w:val="both"/>
        <w:ind w:left="180" w:firstLine="652"/>
        <w:spacing w:after="0" w:line="272" w:lineRule="auto"/>
        <w:tabs>
          <w:tab w:leader="none" w:pos="1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177" w:lineRule="exact"/>
        <w:rPr>
          <w:rFonts w:ascii="Arial" w:cs="Arial" w:eastAsia="Arial" w:hAnsi="Arial"/>
          <w:sz w:val="17"/>
          <w:szCs w:val="17"/>
          <w:color w:val="auto"/>
        </w:rPr>
      </w:pPr>
    </w:p>
    <w:p>
      <w:pPr>
        <w:jc w:val="both"/>
        <w:ind w:left="180" w:firstLine="652"/>
        <w:spacing w:after="0" w:line="255" w:lineRule="auto"/>
        <w:tabs>
          <w:tab w:leader="none" w:pos="186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88" w:lineRule="exact"/>
        <w:rPr>
          <w:sz w:val="20"/>
          <w:szCs w:val="20"/>
          <w:color w:val="auto"/>
        </w:rPr>
      </w:pPr>
    </w:p>
    <w:p>
      <w:pPr>
        <w:jc w:val="both"/>
        <w:ind w:firstLine="644"/>
        <w:spacing w:after="0" w:line="259" w:lineRule="auto"/>
        <w:tabs>
          <w:tab w:leader="none" w:pos="1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186" w:lineRule="exact"/>
        <w:rPr>
          <w:rFonts w:ascii="Arial" w:cs="Arial" w:eastAsia="Arial" w:hAnsi="Arial"/>
          <w:sz w:val="18"/>
          <w:szCs w:val="18"/>
          <w:color w:val="auto"/>
        </w:rPr>
      </w:pPr>
    </w:p>
    <w:p>
      <w:pPr>
        <w:jc w:val="both"/>
        <w:ind w:firstLine="644"/>
        <w:spacing w:after="0" w:line="273" w:lineRule="auto"/>
        <w:tabs>
          <w:tab w:leader="none" w:pos="1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cut-off date for the procedures performed by such accountants and described in such letter shall be a date not more than five days prior to the date of such letter.</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3" w:name="page34"/>
    <w:bookmarkEnd w:id="33"/>
    <w:p>
      <w:pPr>
        <w:jc w:val="both"/>
        <w:ind w:left="-460" w:firstLine="644"/>
        <w:spacing w:after="0" w:line="286" w:lineRule="auto"/>
        <w:tabs>
          <w:tab w:leader="none" w:pos="12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On the Delivery Date, the Representatives shall have received from PricewaterhouseCoopers LLP a letter, dated as of the Delivery Date, to the effect that it reaffirms the statements made in the letter furnished pursuant to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except that the date referred to in the proviso in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hereof shall be a date not more than three business days prior to the Delivery Date.</w:t>
      </w:r>
    </w:p>
    <w:p>
      <w:pPr>
        <w:spacing w:after="0" w:line="165" w:lineRule="exact"/>
        <w:rPr>
          <w:rFonts w:ascii="Arial" w:cs="Arial" w:eastAsia="Arial" w:hAnsi="Arial"/>
          <w:sz w:val="17"/>
          <w:szCs w:val="17"/>
          <w:color w:val="auto"/>
        </w:rPr>
      </w:pPr>
    </w:p>
    <w:p>
      <w:pPr>
        <w:jc w:val="both"/>
        <w:ind w:left="-460" w:firstLine="644"/>
        <w:spacing w:after="0" w:line="259" w:lineRule="auto"/>
        <w:tabs>
          <w:tab w:leader="none" w:pos="12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jc w:val="both"/>
        <w:ind w:left="180" w:firstLine="652"/>
        <w:spacing w:after="0" w:line="257" w:lineRule="auto"/>
        <w:tabs>
          <w:tab w:leader="none" w:pos="20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187" w:lineRule="exact"/>
        <w:rPr>
          <w:rFonts w:ascii="Arial" w:cs="Arial" w:eastAsia="Arial" w:hAnsi="Arial"/>
          <w:sz w:val="18"/>
          <w:szCs w:val="18"/>
          <w:color w:val="auto"/>
        </w:rPr>
      </w:pPr>
    </w:p>
    <w:p>
      <w:pPr>
        <w:ind w:left="180" w:right="20" w:firstLine="652"/>
        <w:spacing w:after="0" w:line="308" w:lineRule="auto"/>
        <w:tabs>
          <w:tab w:leader="none" w:pos="1758" w:val="left"/>
        </w:tabs>
        <w:numPr>
          <w:ilvl w:val="1"/>
          <w:numId w:val="42"/>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46" w:lineRule="exact"/>
        <w:rPr>
          <w:rFonts w:ascii="Arial" w:cs="Arial" w:eastAsia="Arial" w:hAnsi="Arial"/>
          <w:sz w:val="17"/>
          <w:szCs w:val="17"/>
          <w:color w:val="auto"/>
        </w:rPr>
      </w:pPr>
    </w:p>
    <w:p>
      <w:pPr>
        <w:jc w:val="both"/>
        <w:ind w:left="180" w:firstLine="652"/>
        <w:spacing w:after="0" w:line="301" w:lineRule="auto"/>
        <w:tabs>
          <w:tab w:leader="none" w:pos="169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11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jc w:val="both"/>
        <w:ind w:left="660" w:firstLine="644"/>
        <w:spacing w:after="0" w:line="254" w:lineRule="auto"/>
        <w:tabs>
          <w:tab w:leader="none" w:pos="23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the Delivery Date, the Notes shall be rated at least “Ba1”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194" w:lineRule="exact"/>
        <w:rPr>
          <w:rFonts w:ascii="Arial" w:cs="Arial" w:eastAsia="Arial" w:hAnsi="Arial"/>
          <w:sz w:val="18"/>
          <w:szCs w:val="18"/>
          <w:color w:val="auto"/>
        </w:rPr>
      </w:pPr>
    </w:p>
    <w:p>
      <w:pPr>
        <w:ind w:left="660" w:firstLine="644"/>
        <w:spacing w:after="0" w:line="277" w:lineRule="auto"/>
        <w:tabs>
          <w:tab w:leader="none" w:pos="25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Issuers and the Trustee shall have executed and delivered the Supplemental Indenture, and the Issuers shall have executed and delivered the Global Notes.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23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All such opinions, certificates, letters and other documents referred to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184" w:lineRule="exact"/>
        <w:rPr>
          <w:sz w:val="20"/>
          <w:szCs w:val="20"/>
          <w:color w:val="auto"/>
        </w:rPr>
      </w:pPr>
    </w:p>
    <w:p>
      <w:pPr>
        <w:jc w:val="both"/>
        <w:ind w:firstLine="656"/>
        <w:spacing w:after="0" w:line="286" w:lineRule="auto"/>
        <w:tabs>
          <w:tab w:leader="none" w:pos="1619"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The Issuers agree to pay the following costs and expenses and all other costs and expenses incident to the performance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Arial" w:cs="Arial" w:eastAsia="Arial" w:hAnsi="Arial"/>
          <w:sz w:val="16"/>
          <w:szCs w:val="16"/>
          <w:u w:val="single" w:color="auto"/>
          <w:color w:val="auto"/>
        </w:rPr>
        <w:t>Section 5(g)</w:t>
      </w:r>
      <w:r>
        <w:rPr>
          <w:rFonts w:ascii="Arial" w:cs="Arial" w:eastAsia="Arial" w:hAnsi="Arial"/>
          <w:sz w:val="16"/>
          <w:szCs w:val="16"/>
          <w:color w:val="auto"/>
        </w:rPr>
        <w:t xml:space="preserve">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 xml:space="preserve">It is understood, however, that except as otherwise provided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183" w:lineRule="exact"/>
        <w:rPr>
          <w:sz w:val="20"/>
          <w:szCs w:val="20"/>
          <w:color w:val="auto"/>
        </w:rPr>
      </w:pPr>
    </w:p>
    <w:p>
      <w:pPr>
        <w:jc w:val="both"/>
        <w:ind w:firstLine="656"/>
        <w:spacing w:after="0" w:line="285" w:lineRule="auto"/>
        <w:tabs>
          <w:tab w:leader="none" w:pos="1592" w:val="left"/>
        </w:tabs>
        <w:numPr>
          <w:ilvl w:val="0"/>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Default by an Underwriter</w:t>
      </w:r>
      <w:r>
        <w:rPr>
          <w:rFonts w:ascii="Arial" w:cs="Arial" w:eastAsia="Arial" w:hAnsi="Arial"/>
          <w:sz w:val="16"/>
          <w:szCs w:val="16"/>
          <w:color w:val="auto"/>
        </w:rPr>
        <w:t>. If any one or more of the Underwriters shall fail or refuse to purchase Notes that it or they are obligated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xml:space="preserve">”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Representatives’ approval and the approval of the Issuers, purchases Notes that a defaulting Underwriter is obligated, but fails or refuses, to purchase.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 xml:space="preserve">Any notice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may be given by telegram, telecopy or telephone but shall be subsequently confirmed by letter.</w:t>
      </w:r>
    </w:p>
    <w:p>
      <w:pPr>
        <w:spacing w:after="0" w:line="221" w:lineRule="exact"/>
        <w:rPr>
          <w:sz w:val="20"/>
          <w:szCs w:val="20"/>
          <w:color w:val="auto"/>
        </w:rPr>
      </w:pPr>
    </w:p>
    <w:p>
      <w:pPr>
        <w:jc w:val="both"/>
        <w:ind w:firstLine="656"/>
        <w:spacing w:after="0" w:line="287" w:lineRule="auto"/>
        <w:tabs>
          <w:tab w:leader="none" w:pos="1746" w:val="left"/>
        </w:tabs>
        <w:numPr>
          <w:ilvl w:val="1"/>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Agreement</w:t>
      </w:r>
      <w:r>
        <w:rPr>
          <w:rFonts w:ascii="Arial" w:cs="Arial" w:eastAsia="Arial" w:hAnsi="Arial"/>
          <w:sz w:val="16"/>
          <w:szCs w:val="16"/>
          <w:color w:val="auto"/>
        </w:rPr>
        <w:t>. This Agreement shall be subject to termination in the Representatives’ absolute discretion,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on the part of any Underwriter to any Issuer, by notice to the Issuers prior to the Delivery Date, if at any time prior to such time (i) trading in the Partnership’s Common Units shall have been suspended by the Commission or the NYSE or trading in securities generally on the New York Stock Exchange, the NYSE American LLC or the Nasdaq National Market shall have been suspended or limited or minimum prices shall have been established;</w:t>
      </w:r>
    </w:p>
    <w:p>
      <w:pPr>
        <w:spacing w:after="0" w:line="2" w:lineRule="exact"/>
        <w:rPr>
          <w:rFonts w:ascii="Arial" w:cs="Arial" w:eastAsia="Arial" w:hAnsi="Arial"/>
          <w:sz w:val="16"/>
          <w:szCs w:val="16"/>
          <w:color w:val="auto"/>
        </w:rPr>
      </w:pPr>
    </w:p>
    <w:p>
      <w:pPr>
        <w:jc w:val="both"/>
        <w:ind w:firstLine="8"/>
        <w:spacing w:after="0" w:line="252" w:lineRule="auto"/>
        <w:tabs>
          <w:tab w:leader="none" w:pos="2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509" w:val="left"/>
        </w:tabs>
        <w:numPr>
          <w:ilvl w:val="1"/>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Successors</w:t>
      </w:r>
      <w:r>
        <w:rPr>
          <w:rFonts w:ascii="Arial" w:cs="Arial" w:eastAsia="Arial" w:hAnsi="Arial"/>
          <w:sz w:val="16"/>
          <w:szCs w:val="16"/>
          <w:color w:val="auto"/>
        </w:rPr>
        <w:t>. Except as otherwise provided in Sections 5, 9 and 10 hereof, all communications hereunder will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only on receipt, and, if sent to the Underwriters, will be mailed, delivered or telefaxed to the Representatives c/o J.P. Morgan Securities LLC, 383 Madison Avenue, New York, NY 10179 (fax: 212 834-6081), Attention: Investment Grade Syndicate Desk; c/o Barclays Capital Inc., 745 Seventh Avenue, New York, NY 10019 (fax: 646 834-8133), Attention: Syndicate Registration; c/o BofA Securities, Inc., 50 Rockefeller Plaza, NY1-050-12-01, New York, NY 10020 (fax: 646 855-5958), Attention: High Grade Transaction Management/Legal; and c/o RBC Capital Markets, LLC, Brookfield Place, 200 Vesey</w:t>
      </w:r>
    </w:p>
    <w:p>
      <w:pPr>
        <w:spacing w:after="0" w:line="208" w:lineRule="auto"/>
        <w:rPr>
          <w:sz w:val="20"/>
          <w:szCs w:val="20"/>
          <w:color w:val="auto"/>
        </w:rPr>
      </w:pPr>
      <w:r>
        <w:rPr>
          <w:rFonts w:ascii="Arial" w:cs="Arial" w:eastAsia="Arial" w:hAnsi="Arial"/>
          <w:sz w:val="16"/>
          <w:szCs w:val="16"/>
          <w:color w:val="auto"/>
        </w:rPr>
        <w:t>Street,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10281 (fax: 212 428-6308), Attention: DCM Transaction Management; with a copy (which shall not constitute notice)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Baker Botts L.L.P., 910 Louisiana St., Houston, Texas 77002, Attention: Joshua Davidson; or, if sent to either of the Issuers, will be mailed, delivered 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telefaxed to it at 333 Clay St., Suite 1600, Houston, Texas 77002, Attention: General Counsel (fax: (713) 646-4313).</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This Agreement has been and is made solely for the benefit of the several Underwriters and their directors, officers, employees, agents and other controlling persons referred to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the Issuers and GP LLC’s directors and officers who sign the Registration Statement, and other controlling persons referred to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jc w:val="both"/>
        <w:ind w:firstLine="656"/>
        <w:spacing w:after="0" w:line="298" w:lineRule="auto"/>
        <w:tabs>
          <w:tab w:leader="none" w:pos="1651"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Information Furnished by the Underwriters</w:t>
      </w:r>
      <w:r>
        <w:rPr>
          <w:rFonts w:ascii="Arial" w:cs="Arial" w:eastAsia="Arial" w:hAnsi="Arial"/>
          <w:sz w:val="16"/>
          <w:szCs w:val="16"/>
          <w:color w:val="auto"/>
        </w:rPr>
        <w:t>. The Issuers acknowledge that the following statements set forth in the most recent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Preliminary Prospectus and the Prospectus constitute the only information furnished by or on behalf of the Underwriters through the Representatives as such information is referred to in </w:t>
      </w:r>
      <w:r>
        <w:rPr>
          <w:rFonts w:ascii="Arial" w:cs="Arial" w:eastAsia="Arial" w:hAnsi="Arial"/>
          <w:sz w:val="16"/>
          <w:szCs w:val="16"/>
          <w:u w:val="single" w:color="auto"/>
          <w:color w:val="auto"/>
        </w:rPr>
        <w:t>Sections 1(c)</w:t>
      </w:r>
      <w:r>
        <w:rPr>
          <w:rFonts w:ascii="Arial" w:cs="Arial" w:eastAsia="Arial" w:hAnsi="Arial"/>
          <w:sz w:val="16"/>
          <w:szCs w:val="16"/>
          <w:color w:val="auto"/>
        </w:rPr>
        <w:t xml:space="preserve">, </w:t>
      </w:r>
      <w:r>
        <w:rPr>
          <w:rFonts w:ascii="Arial" w:cs="Arial" w:eastAsia="Arial" w:hAnsi="Arial"/>
          <w:sz w:val="16"/>
          <w:szCs w:val="16"/>
          <w:u w:val="single" w:color="auto"/>
          <w:color w:val="auto"/>
        </w:rPr>
        <w:t>1(d)</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w:t>
      </w:r>
      <w:r>
        <w:rPr>
          <w:rFonts w:ascii="Arial" w:cs="Arial" w:eastAsia="Arial" w:hAnsi="Arial"/>
          <w:sz w:val="16"/>
          <w:szCs w:val="16"/>
          <w:u w:val="single" w:color="auto"/>
          <w:color w:val="auto"/>
        </w:rPr>
        <w:t>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5(p)</w:t>
      </w:r>
      <w:r>
        <w:rPr>
          <w:rFonts w:ascii="Arial" w:cs="Arial" w:eastAsia="Arial" w:hAnsi="Arial"/>
          <w:sz w:val="16"/>
          <w:szCs w:val="16"/>
          <w:color w:val="auto"/>
        </w:rPr>
        <w:t xml:space="preserve">,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hereof: (A) the names of the Underwriters, (B) the table under the first paragraph under the heading “Underwriting,” (C) the first paragraph under the heading “Underwriting — Underwriting Discounts” related to concessions and (D) the first paragraph and the first two sentences of the second paragraph under the heading “Underwriting — Stabilization and Short Positions.”</w:t>
      </w:r>
    </w:p>
    <w:p>
      <w:pPr>
        <w:spacing w:after="0" w:line="153" w:lineRule="exact"/>
        <w:rPr>
          <w:rFonts w:ascii="Arial" w:cs="Arial" w:eastAsia="Arial" w:hAnsi="Arial"/>
          <w:sz w:val="16"/>
          <w:szCs w:val="16"/>
          <w:color w:val="auto"/>
        </w:rPr>
      </w:pPr>
    </w:p>
    <w:p>
      <w:pPr>
        <w:jc w:val="both"/>
        <w:ind w:firstLine="656"/>
        <w:spacing w:after="0" w:line="270" w:lineRule="auto"/>
        <w:tabs>
          <w:tab w:leader="none" w:pos="1682" w:val="left"/>
        </w:tabs>
        <w:numPr>
          <w:ilvl w:val="0"/>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Research Analyst Independence</w:t>
      </w:r>
      <w:r>
        <w:rPr>
          <w:rFonts w:ascii="Arial" w:cs="Arial" w:eastAsia="Arial" w:hAnsi="Arial"/>
          <w:sz w:val="17"/>
          <w:szCs w:val="17"/>
          <w:color w:val="auto"/>
        </w:rPr>
        <w:t>. The Issuers acknowledge that the Underwriters’ research analysts and research departments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6" w:lineRule="exact"/>
        <w:rPr>
          <w:rFonts w:ascii="Arial" w:cs="Arial" w:eastAsia="Arial" w:hAnsi="Arial"/>
          <w:sz w:val="17"/>
          <w:szCs w:val="17"/>
          <w:color w:val="auto"/>
        </w:rPr>
      </w:pPr>
    </w:p>
    <w:p>
      <w:pPr>
        <w:ind w:left="1560" w:hanging="904"/>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Recognition of the U.S. Special Resolution Regimes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59" w:lineRule="auto"/>
        <w:tabs>
          <w:tab w:leader="none" w:pos="2232"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229"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color w:val="auto"/>
        </w:rPr>
        <w:t>As used in this Section 14,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6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and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8" w:lineRule="exact"/>
        <w:rPr>
          <w:sz w:val="20"/>
          <w:szCs w:val="20"/>
          <w:color w:val="auto"/>
        </w:rPr>
      </w:pPr>
    </w:p>
    <w:p>
      <w:pPr>
        <w:ind w:firstLine="656"/>
        <w:spacing w:after="0" w:line="282" w:lineRule="auto"/>
        <w:tabs>
          <w:tab w:leader="none" w:pos="1503" w:val="left"/>
        </w:tabs>
        <w:numPr>
          <w:ilvl w:val="1"/>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Issuers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or any of them, with respect to the subject matter hereof.</w:t>
      </w:r>
    </w:p>
    <w:p>
      <w:pPr>
        <w:spacing w:after="0" w:line="161" w:lineRule="exact"/>
        <w:rPr>
          <w:rFonts w:ascii="Arial" w:cs="Arial" w:eastAsia="Arial" w:hAnsi="Arial"/>
          <w:sz w:val="18"/>
          <w:szCs w:val="18"/>
          <w:color w:val="auto"/>
        </w:rPr>
      </w:pPr>
    </w:p>
    <w:p>
      <w:pPr>
        <w:ind w:left="1520" w:hanging="864"/>
        <w:spacing w:after="0"/>
        <w:tabs>
          <w:tab w:leader="none" w:pos="1520" w:val="left"/>
        </w:tabs>
        <w:numPr>
          <w:ilvl w:val="1"/>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1"/>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Date of Agreement</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rFonts w:ascii="Arial" w:cs="Arial" w:eastAsia="Arial" w:hAnsi="Arial"/>
          <w:sz w:val="16"/>
          <w:szCs w:val="16"/>
          <w:color w:val="auto"/>
        </w:rPr>
      </w:pPr>
    </w:p>
    <w:p>
      <w:pPr>
        <w:jc w:val="both"/>
        <w:ind w:firstLine="656"/>
        <w:spacing w:after="0" w:line="285" w:lineRule="auto"/>
        <w:tabs>
          <w:tab w:leader="none" w:pos="1719" w:val="left"/>
        </w:tabs>
        <w:numPr>
          <w:ilvl w:val="1"/>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No Fiduciary Duty</w:t>
      </w:r>
      <w:r>
        <w:rPr>
          <w:rFonts w:ascii="Arial" w:cs="Arial" w:eastAsia="Arial" w:hAnsi="Arial"/>
          <w:sz w:val="16"/>
          <w:szCs w:val="16"/>
          <w:color w:val="auto"/>
        </w:rPr>
        <w:t>. The Issuers acknowledge and agree that in connection with this offering and sale of the Notes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duties and obligations that the Underwriters may have to the Issuers shall be limited to those duties and obligations specifically stated herein; and</w:t>
      </w:r>
    </w:p>
    <w:p>
      <w:pPr>
        <w:spacing w:after="0" w:line="32" w:lineRule="exact"/>
        <w:rPr>
          <w:rFonts w:ascii="Arial" w:cs="Arial" w:eastAsia="Arial" w:hAnsi="Arial"/>
          <w:sz w:val="16"/>
          <w:szCs w:val="16"/>
          <w:color w:val="auto"/>
        </w:rPr>
      </w:pPr>
    </w:p>
    <w:p>
      <w:pPr>
        <w:ind w:firstLine="8"/>
        <w:spacing w:after="0" w:line="260" w:lineRule="auto"/>
        <w:tabs>
          <w:tab w:leader="none" w:pos="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81" w:lineRule="exact"/>
        <w:rPr>
          <w:rFonts w:ascii="Arial" w:cs="Arial" w:eastAsia="Arial" w:hAnsi="Arial"/>
          <w:sz w:val="18"/>
          <w:szCs w:val="18"/>
          <w:color w:val="auto"/>
        </w:rPr>
      </w:pPr>
    </w:p>
    <w:p>
      <w:pPr>
        <w:jc w:val="both"/>
        <w:ind w:firstLine="656"/>
        <w:spacing w:after="0" w:line="261" w:lineRule="auto"/>
        <w:tabs>
          <w:tab w:leader="none" w:pos="1516"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Please confirm that the foregoing correctly sets forth the agreement among the Issuers and the Underwriters.</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Sharon Spurlin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Treasurer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Sharon Spurlin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Treasurer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PAA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Barclays Capital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Bottamedi</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Pocius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Robert Bottamedi</w:t>
            </w:r>
          </w:p>
        </w:tc>
        <w:tc>
          <w:tcPr>
            <w:tcW w:w="78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Andrew Pocius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Director</w:t>
            </w: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BofA Securities, Inc.</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RBC Capital Markets,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Wehler</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 Primrose</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Kevin Wehler</w:t>
            </w:r>
          </w:p>
        </w:tc>
        <w:tc>
          <w:tcPr>
            <w:tcW w:w="78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Scott G. Primrose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Underwriters’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3700" w:type="dxa"/>
            <w:vAlign w:val="bottom"/>
            <w:gridSpan w:val="5"/>
          </w:tcPr>
          <w:p>
            <w:pPr>
              <w:spacing w:after="0"/>
              <w:rPr>
                <w:sz w:val="20"/>
                <w:szCs w:val="20"/>
                <w:color w:val="auto"/>
              </w:rPr>
            </w:pPr>
            <w:r>
              <w:rPr>
                <w:rFonts w:ascii="Arial" w:cs="Arial" w:eastAsia="Arial" w:hAnsi="Arial"/>
                <w:sz w:val="18"/>
                <w:szCs w:val="18"/>
                <w:b w:val="1"/>
                <w:bCs w:val="1"/>
                <w:color w:val="auto"/>
              </w:rPr>
              <w:t>SCHEDULE I</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4"/>
        </w:trPr>
        <w:tc>
          <w:tcPr>
            <w:tcW w:w="39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rPr>
              <w:t>Principal Amount of</w:t>
            </w: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gridSpan w:val="4"/>
          </w:tcPr>
          <w:p>
            <w:pPr>
              <w:spacing w:after="0"/>
              <w:rPr>
                <w:sz w:val="20"/>
                <w:szCs w:val="20"/>
                <w:color w:val="auto"/>
              </w:rPr>
            </w:pPr>
            <w:r>
              <w:rPr>
                <w:rFonts w:ascii="Arial" w:cs="Arial" w:eastAsia="Arial" w:hAnsi="Arial"/>
                <w:sz w:val="18"/>
                <w:szCs w:val="18"/>
                <w:b w:val="1"/>
                <w:bCs w:val="1"/>
                <w:color w:val="auto"/>
                <w:w w:val="90"/>
              </w:rPr>
              <w:t>Notes to be Purchased</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10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Barclays Capital Inc.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RBC Capital Markets,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PNC Capital Markets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SunTrust Robinson Humphrey, Inc.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ING Financial Markets LLC</w:t>
            </w:r>
          </w:p>
        </w:tc>
        <w:tc>
          <w:tcPr>
            <w:tcW w:w="1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1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9"/>
                <w:szCs w:val="19"/>
                <w:color w:val="auto"/>
              </w:rPr>
            </w:pPr>
          </w:p>
        </w:tc>
      </w:tr>
      <w:tr>
        <w:trPr>
          <w:trHeight w:val="223"/>
        </w:trPr>
        <w:tc>
          <w:tcPr>
            <w:tcW w:w="3940" w:type="dxa"/>
            <w:vAlign w:val="bottom"/>
          </w:tcPr>
          <w:p>
            <w:pPr>
              <w:ind w:left="16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750,000,000</w:t>
            </w: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333-227358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8,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$750,000,000 3.800% Senior Notes due 2030</w:t>
      </w:r>
    </w:p>
    <w:p>
      <w:pPr>
        <w:sectPr>
          <w:pgSz w:w="11900" w:h="16838" w:orient="portrait"/>
          <w:cols w:equalWidth="0" w:num="1">
            <w:col w:w="11240"/>
          </w:cols>
          <w:pgMar w:left="320" w:top="904"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Issuers: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Ratings (Moody’s / S&amp;P / Fitch):*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Type: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Format: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 (T+3):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Proceeds (after deducting the underwriting discount and estimated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and PAA Finance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[Ratings Intentionally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0.625% due May 15, 2030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0.875%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+295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3.825%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3.800%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99.794%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$741.58 million</w:t>
      </w:r>
    </w:p>
    <w:p>
      <w:pPr>
        <w:spacing w:after="0" w:line="23" w:lineRule="exact"/>
        <w:rPr>
          <w:sz w:val="20"/>
          <w:szCs w:val="20"/>
          <w:color w:val="auto"/>
        </w:rPr>
      </w:pPr>
    </w:p>
    <w:p>
      <w:pPr>
        <w:sectPr>
          <w:pgSz w:w="11900" w:h="16838" w:orient="portrait"/>
          <w:cols w:equalWidth="0" w:num="2">
            <w:col w:w="5080" w:space="540"/>
            <w:col w:w="5620"/>
          </w:cols>
          <w:pgMar w:left="320" w:top="904" w:right="339" w:bottom="1440" w:gutter="0" w:footer="0" w:header="0"/>
          <w:type w:val="continuous"/>
        </w:sectPr>
      </w:pPr>
    </w:p>
    <w:p>
      <w:pPr>
        <w:spacing w:after="0"/>
        <w:rPr>
          <w:sz w:val="20"/>
          <w:szCs w:val="20"/>
          <w:color w:val="auto"/>
        </w:rPr>
      </w:pPr>
      <w:r>
        <w:rPr>
          <w:rFonts w:ascii="Arial" w:cs="Arial" w:eastAsia="Arial" w:hAnsi="Arial"/>
          <w:sz w:val="16"/>
          <w:szCs w:val="16"/>
          <w:color w:val="auto"/>
        </w:rPr>
        <w:t>offering expenses):</w:t>
      </w:r>
    </w:p>
    <w:p>
      <w:pPr>
        <w:sectPr>
          <w:pgSz w:w="11900" w:h="16838" w:orient="portrait"/>
          <w:cols w:equalWidth="0" w:num="1">
            <w:col w:w="11240"/>
          </w:cols>
          <w:pgMar w:left="320" w:top="904"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Make-whole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Call at Par: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T+ 45 bps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or after June 15, 2030</w:t>
      </w:r>
    </w:p>
    <w:p>
      <w:pPr>
        <w:spacing w:after="0" w:line="222" w:lineRule="exact"/>
        <w:rPr>
          <w:sz w:val="20"/>
          <w:szCs w:val="20"/>
          <w:color w:val="auto"/>
        </w:rPr>
      </w:pPr>
    </w:p>
    <w:p>
      <w:pPr>
        <w:sectPr>
          <w:pgSz w:w="11900" w:h="16838" w:orient="portrait"/>
          <w:cols w:equalWidth="0" w:num="2">
            <w:col w:w="4900" w:space="720"/>
            <w:col w:w="5620"/>
          </w:cols>
          <w:pgMar w:left="320" w:top="904" w:right="339" w:bottom="1440" w:gutter="0" w:footer="0" w:header="0"/>
          <w:type w:val="continuous"/>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15 and September 15, beginning on September 15, 2020</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72650R BN1 / US72650RBN17</w:t>
      </w:r>
    </w:p>
    <w:p>
      <w:pPr>
        <w:spacing w:after="0" w:line="211"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Fifth Third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ING Financial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11"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Delivery of the notes is expected to be made against payment therefor on or about June 11, 2020, which is the third business day following the date of pricing of the notes (such settlement being referred to as “T+3”). Under Rule 15c6-1 of the Securities Exchange Act of 1934, as amended,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or emailing J.P. Morgan Securities LLC collect at 1-212-834-4533, Barclays Capital Inc. toll-free at 1-888-603-5847, BofA Securities, Inc. toll-free at 1-800-294-1322 or dg.prospectus_requests@bofa.com or RBC Capital Markets, LLC toll-free at 1-866-375-6829.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4" w:name="page45"/>
    <w:bookmarkEnd w:id="44"/>
    <w:p>
      <w:pPr>
        <w:jc w:val="center"/>
        <w:ind w:right="-112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Capline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Sunrise Pipeline LLC</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center"/>
        <w:ind w:right="-1120"/>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5"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Capline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Sunrise Pipeline LLC</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7420" w:type="dxa"/>
            <w:vAlign w:val="bottom"/>
            <w:gridSpan w:val="5"/>
          </w:tcPr>
          <w:p>
            <w:pPr>
              <w:jc w:val="center"/>
              <w:ind w:right="380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Entity</w:t>
            </w: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Jurisdiction in which registered or qualified</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18"/>
        </w:trPr>
        <w:tc>
          <w:tcPr>
            <w:tcW w:w="3820" w:type="dxa"/>
            <w:vAlign w:val="bottom"/>
          </w:tcPr>
          <w:p>
            <w:pPr>
              <w:spacing w:after="0"/>
              <w:rPr>
                <w:sz w:val="20"/>
                <w:szCs w:val="20"/>
                <w:color w:val="auto"/>
              </w:rPr>
            </w:pPr>
            <w:r>
              <w:rPr>
                <w:rFonts w:ascii="Arial" w:cs="Arial" w:eastAsia="Arial" w:hAnsi="Arial"/>
                <w:sz w:val="18"/>
                <w:szCs w:val="18"/>
                <w:color w:val="auto"/>
              </w:rPr>
              <w:t>PAA Finance Corp.</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PAA GP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AAP, L.P.</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All American GP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 Texas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GP Holdings, L.P.</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PAA GP Holdings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Marketing, L.P.</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Pipeline, L.P.</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Midstream Canada ULC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Alberta, Manitoba, Ontario, Saskatchewan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Pacific Pipeline System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SG Resources Mississippi,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Alabama, Mississippi</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LPG Services, L.P.</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California, Illinois, Oklahoma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Plains Capline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Sunrise Pipeline LLC</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Oklahoma, Texas</w:t>
            </w:r>
          </w:p>
        </w:tc>
      </w:tr>
      <w:tr>
        <w:trPr>
          <w:trHeight w:val="648"/>
        </w:trPr>
        <w:tc>
          <w:tcPr>
            <w:tcW w:w="3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4"/>
          </w:tcPr>
          <w:p>
            <w:pPr>
              <w:jc w:val="center"/>
              <w:ind w:right="5140"/>
              <w:spacing w:after="0"/>
              <w:rPr>
                <w:sz w:val="20"/>
                <w:szCs w:val="20"/>
                <w:color w:val="auto"/>
              </w:rPr>
            </w:pPr>
            <w:r>
              <w:rPr>
                <w:rFonts w:ascii="Arial" w:cs="Arial" w:eastAsia="Arial" w:hAnsi="Arial"/>
                <w:sz w:val="18"/>
                <w:szCs w:val="18"/>
                <w:color w:val="auto"/>
                <w:w w:val="95"/>
              </w:rPr>
              <w:t>Exhibit 1</w:t>
            </w:r>
          </w:p>
        </w:tc>
      </w:tr>
    </w:tbl>
    <w:p>
      <w:pPr>
        <w:sectPr>
          <w:pgSz w:w="11900" w:h="16838" w:orient="portrait"/>
          <w:cols w:equalWidth="0" w:num="1">
            <w:col w:w="11240"/>
          </w:cols>
          <w:pgMar w:left="320" w:top="89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128905</wp:posOffset>
            </wp:positionV>
            <wp:extent cx="2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8, 2020</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March 31, 2020. In addition, as of the date of this certificate, the total debt of the Partnership is approximately $10.2 billion.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PAA Finance Corp., and J.P. Morgan Securities LLC, Barclays Capital Inc., BofA Securities, Inc. and RBC Capital Markets, LLC as the representatives of the several Underwriters.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IN WITNESS WHEREOF, the undersigned has hereunto affixed his signature as of the date first written above.</w:t>
      </w: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PLAINS ALL AMERICAN PIPELINE, L.P.</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Issuers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$750,000,000</w:t>
      </w:r>
    </w:p>
    <w:p>
      <w:pPr>
        <w:spacing w:after="0" w:line="200" w:lineRule="exact"/>
        <w:rPr>
          <w:sz w:val="20"/>
          <w:szCs w:val="20"/>
          <w:color w:val="auto"/>
        </w:rPr>
      </w:pPr>
    </w:p>
    <w:p>
      <w:pPr>
        <w:spacing w:after="0" w:line="2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3.800% SENIOR NOTES DUE 2030</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THIRTY-SECOND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June 11, 2020</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605790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8660" w:type="dxa"/>
            <w:vAlign w:val="bottom"/>
            <w:gridSpan w:val="3"/>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17"/>
                <w:szCs w:val="17"/>
                <w:color w:val="auto"/>
              </w:rPr>
            </w:pPr>
          </w:p>
        </w:tc>
      </w:tr>
      <w:tr>
        <w:trPr>
          <w:trHeight w:val="654"/>
        </w:trPr>
        <w:tc>
          <w:tcPr>
            <w:tcW w:w="1500" w:type="dxa"/>
            <w:vAlign w:val="bottom"/>
          </w:tcPr>
          <w:p>
            <w:pPr>
              <w:spacing w:after="0"/>
              <w:rPr>
                <w:sz w:val="20"/>
                <w:szCs w:val="20"/>
                <w:color w:val="auto"/>
              </w:rPr>
            </w:pPr>
            <w:r>
              <w:rPr>
                <w:rFonts w:ascii="Arial" w:cs="Arial" w:eastAsia="Arial" w:hAnsi="Arial"/>
                <w:sz w:val="18"/>
                <w:szCs w:val="18"/>
                <w:color w:val="auto"/>
              </w:rPr>
              <w:t>ARTICLE I</w:t>
            </w: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1.01.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Establishment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2.01.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Definitions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2.02.</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Other Definitions</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III THE NOTES</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3.01.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Form</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3.02.</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Issuance of Additional Notes</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3.03.</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Global Security Legend</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IV REDEMPTION AND PREPAYMENT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4.01.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Optional 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 COVENANTS</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5.01.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Compliance Certificate</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5.02.</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Limitations on Liens</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5.03.</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Restriction of Sale-leaseback Transactions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5.04.</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SEC Reports; Financial Statements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5.05.</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Subsidiary Guarantees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VI SUCCESSORS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6.01.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Consolidation and Mergers of the Issuers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6.02.</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Rights and Duties of Successor</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VII DEFAULTS AND REMEDIES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7.01.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Events of Default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8.01.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Option to Effect Legal Defeasance or Covenant Defeasance</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8.02.</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Legal Defeasance and Discharge</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8.03.</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Covenant Defeasance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8.04.</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Conditions to Legal or Covenant Defeasance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8.05.</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8.06.</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Repayment to Issuers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8.07.</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Reinstatement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160" w:type="dxa"/>
            <w:vAlign w:val="bottom"/>
            <w:gridSpan w:val="4"/>
          </w:tcPr>
          <w:p>
            <w:pPr>
              <w:spacing w:after="0"/>
              <w:rPr>
                <w:sz w:val="20"/>
                <w:szCs w:val="20"/>
                <w:color w:val="auto"/>
              </w:rPr>
            </w:pPr>
            <w:r>
              <w:rPr>
                <w:rFonts w:ascii="Arial" w:cs="Arial" w:eastAsia="Arial" w:hAnsi="Arial"/>
                <w:sz w:val="18"/>
                <w:szCs w:val="18"/>
                <w:color w:val="auto"/>
              </w:rPr>
              <w:t>ARTICLE IX SUBSIDIARY GUARANTEES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9.01.</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Subsidiary Guarantees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9.02.</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Limitation on Liability</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9.03.</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Successors and Assigns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80"/>
              <w:spacing w:after="0"/>
              <w:rPr>
                <w:sz w:val="20"/>
                <w:szCs w:val="20"/>
                <w:color w:val="auto"/>
              </w:rPr>
            </w:pPr>
            <w:r>
              <w:rPr>
                <w:rFonts w:ascii="Arial" w:cs="Arial" w:eastAsia="Arial" w:hAnsi="Arial"/>
                <w:sz w:val="18"/>
                <w:szCs w:val="18"/>
                <w:color w:val="auto"/>
              </w:rPr>
              <w:t>Section 9.04.</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No Waiver</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00" w:type="dxa"/>
            <w:vAlign w:val="bottom"/>
          </w:tcPr>
          <w:p>
            <w:pPr>
              <w:ind w:left="380"/>
              <w:spacing w:after="0"/>
              <w:rPr>
                <w:sz w:val="20"/>
                <w:szCs w:val="20"/>
                <w:color w:val="auto"/>
              </w:rPr>
            </w:pPr>
            <w:r>
              <w:rPr>
                <w:rFonts w:ascii="Arial" w:cs="Arial" w:eastAsia="Arial" w:hAnsi="Arial"/>
                <w:sz w:val="18"/>
                <w:szCs w:val="18"/>
                <w:color w:val="auto"/>
              </w:rPr>
              <w:t>Section 9.05.</w:t>
            </w:r>
          </w:p>
        </w:tc>
        <w:tc>
          <w:tcPr>
            <w:tcW w:w="8660" w:type="dxa"/>
            <w:vAlign w:val="bottom"/>
            <w:gridSpan w:val="3"/>
          </w:tcPr>
          <w:p>
            <w:pPr>
              <w:ind w:left="200"/>
              <w:spacing w:after="0"/>
              <w:rPr>
                <w:sz w:val="20"/>
                <w:szCs w:val="20"/>
                <w:color w:val="auto"/>
              </w:rPr>
            </w:pPr>
            <w:r>
              <w:rPr>
                <w:rFonts w:ascii="Arial" w:cs="Arial" w:eastAsia="Arial" w:hAnsi="Arial"/>
                <w:sz w:val="18"/>
                <w:szCs w:val="18"/>
                <w:color w:val="auto"/>
              </w:rPr>
              <w:t>Modification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Section 9.06.</w:t>
            </w:r>
          </w:p>
        </w:tc>
        <w:tc>
          <w:tcPr>
            <w:tcW w:w="7440" w:type="dxa"/>
            <w:vAlign w:val="bottom"/>
          </w:tcPr>
          <w:p>
            <w:pPr>
              <w:ind w:left="16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9"/>
              </w:rPr>
              <w:t>Section 9.07.</w:t>
            </w:r>
          </w:p>
        </w:tc>
        <w:tc>
          <w:tcPr>
            <w:tcW w:w="7440" w:type="dxa"/>
            <w:vAlign w:val="bottom"/>
          </w:tcPr>
          <w:p>
            <w:pPr>
              <w:ind w:left="160"/>
              <w:spacing w:after="0"/>
              <w:rPr>
                <w:sz w:val="20"/>
                <w:szCs w:val="20"/>
                <w:color w:val="auto"/>
              </w:rPr>
            </w:pPr>
            <w:r>
              <w:rPr>
                <w:rFonts w:ascii="Arial" w:cs="Arial" w:eastAsia="Arial" w:hAnsi="Arial"/>
                <w:sz w:val="18"/>
                <w:szCs w:val="18"/>
                <w:color w:val="auto"/>
              </w:rPr>
              <w:t>Release of Guarantee</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9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8"/>
              </w:rPr>
              <w:t>Section 10.01.</w:t>
            </w:r>
          </w:p>
        </w:tc>
        <w:tc>
          <w:tcPr>
            <w:tcW w:w="7440" w:type="dxa"/>
            <w:vAlign w:val="bottom"/>
          </w:tcPr>
          <w:p>
            <w:pPr>
              <w:ind w:left="160"/>
              <w:spacing w:after="0"/>
              <w:rPr>
                <w:sz w:val="20"/>
                <w:szCs w:val="20"/>
                <w:color w:val="auto"/>
              </w:rPr>
            </w:pPr>
            <w:r>
              <w:rPr>
                <w:rFonts w:ascii="Arial" w:cs="Arial" w:eastAsia="Arial" w:hAnsi="Arial"/>
                <w:sz w:val="18"/>
                <w:szCs w:val="18"/>
                <w:color w:val="auto"/>
              </w:rPr>
              <w:t>Additional Amendments</w:t>
            </w:r>
          </w:p>
        </w:tc>
        <w:tc>
          <w:tcPr>
            <w:tcW w:w="2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8"/>
              </w:rPr>
              <w:t>Section 10.02.</w:t>
            </w:r>
          </w:p>
        </w:tc>
        <w:tc>
          <w:tcPr>
            <w:tcW w:w="7440" w:type="dxa"/>
            <w:vAlign w:val="bottom"/>
          </w:tcPr>
          <w:p>
            <w:pPr>
              <w:ind w:left="160"/>
              <w:spacing w:after="0"/>
              <w:rPr>
                <w:sz w:val="20"/>
                <w:szCs w:val="20"/>
                <w:color w:val="auto"/>
              </w:rPr>
            </w:pPr>
            <w:r>
              <w:rPr>
                <w:rFonts w:ascii="Arial" w:cs="Arial" w:eastAsia="Arial" w:hAnsi="Arial"/>
                <w:sz w:val="18"/>
                <w:szCs w:val="18"/>
                <w:color w:val="auto"/>
              </w:rPr>
              <w:t>Integral Part</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8"/>
              </w:rPr>
              <w:t>Section 10.03.</w:t>
            </w:r>
          </w:p>
        </w:tc>
        <w:tc>
          <w:tcPr>
            <w:tcW w:w="7440" w:type="dxa"/>
            <w:vAlign w:val="bottom"/>
          </w:tcPr>
          <w:p>
            <w:pPr>
              <w:ind w:left="160"/>
              <w:spacing w:after="0"/>
              <w:rPr>
                <w:sz w:val="20"/>
                <w:szCs w:val="20"/>
                <w:color w:val="auto"/>
              </w:rPr>
            </w:pPr>
            <w:r>
              <w:rPr>
                <w:rFonts w:ascii="Arial" w:cs="Arial" w:eastAsia="Arial" w:hAnsi="Arial"/>
                <w:sz w:val="18"/>
                <w:szCs w:val="18"/>
                <w:color w:val="auto"/>
              </w:rPr>
              <w:t>Adoption, Ratification and Confirmation</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8"/>
              </w:rPr>
              <w:t>Section 10.04.</w:t>
            </w:r>
          </w:p>
        </w:tc>
        <w:tc>
          <w:tcPr>
            <w:tcW w:w="744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8"/>
              </w:rPr>
              <w:t>Section 10.05.</w:t>
            </w:r>
          </w:p>
        </w:tc>
        <w:tc>
          <w:tcPr>
            <w:tcW w:w="744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540" w:type="dxa"/>
            <w:vAlign w:val="bottom"/>
          </w:tcPr>
          <w:p>
            <w:pPr>
              <w:jc w:val="center"/>
              <w:ind w:left="70"/>
              <w:spacing w:after="0"/>
              <w:rPr>
                <w:sz w:val="20"/>
                <w:szCs w:val="20"/>
                <w:color w:val="auto"/>
              </w:rPr>
            </w:pPr>
            <w:r>
              <w:rPr>
                <w:rFonts w:ascii="Arial" w:cs="Arial" w:eastAsia="Arial" w:hAnsi="Arial"/>
                <w:sz w:val="18"/>
                <w:szCs w:val="18"/>
                <w:color w:val="auto"/>
                <w:w w:val="88"/>
              </w:rPr>
              <w:t>Section 10.06.</w:t>
            </w:r>
          </w:p>
        </w:tc>
        <w:tc>
          <w:tcPr>
            <w:tcW w:w="7440" w:type="dxa"/>
            <w:vAlign w:val="bottom"/>
          </w:tcPr>
          <w:p>
            <w:pPr>
              <w:ind w:left="160"/>
              <w:spacing w:after="0"/>
              <w:rPr>
                <w:sz w:val="20"/>
                <w:szCs w:val="20"/>
                <w:color w:val="auto"/>
              </w:rPr>
            </w:pPr>
            <w:r>
              <w:rPr>
                <w:rFonts w:ascii="Arial" w:cs="Arial" w:eastAsia="Arial" w:hAnsi="Arial"/>
                <w:sz w:val="18"/>
                <w:szCs w:val="18"/>
                <w:color w:val="auto"/>
              </w:rPr>
              <w:t>Recitals; Trustee Makes No Representation; Trustee’s Rights and Duties</w:t>
            </w:r>
          </w:p>
        </w:tc>
        <w:tc>
          <w:tcPr>
            <w:tcW w:w="2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EXHIBIT A:</w:t>
            </w:r>
          </w:p>
        </w:tc>
        <w:tc>
          <w:tcPr>
            <w:tcW w:w="7440" w:type="dxa"/>
            <w:vAlign w:val="bottom"/>
          </w:tcPr>
          <w:p>
            <w:pPr>
              <w:ind w:left="200"/>
              <w:spacing w:after="0"/>
              <w:rPr>
                <w:sz w:val="20"/>
                <w:szCs w:val="20"/>
                <w:color w:val="auto"/>
              </w:rPr>
            </w:pPr>
            <w:r>
              <w:rPr>
                <w:rFonts w:ascii="Arial" w:cs="Arial" w:eastAsia="Arial" w:hAnsi="Arial"/>
                <w:sz w:val="18"/>
                <w:szCs w:val="18"/>
                <w:color w:val="auto"/>
              </w:rPr>
              <w:t>Form of Note</w:t>
            </w:r>
          </w:p>
        </w:tc>
        <w:tc>
          <w:tcPr>
            <w:tcW w:w="226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EXHIBIT B:</w:t>
            </w:r>
          </w:p>
        </w:tc>
        <w:tc>
          <w:tcPr>
            <w:tcW w:w="7440" w:type="dxa"/>
            <w:vAlign w:val="bottom"/>
          </w:tcPr>
          <w:p>
            <w:pPr>
              <w:ind w:left="160"/>
              <w:spacing w:after="0"/>
              <w:rPr>
                <w:sz w:val="20"/>
                <w:szCs w:val="20"/>
                <w:color w:val="auto"/>
              </w:rPr>
            </w:pPr>
            <w:r>
              <w:rPr>
                <w:rFonts w:ascii="Arial" w:cs="Arial" w:eastAsia="Arial" w:hAnsi="Arial"/>
                <w:sz w:val="18"/>
                <w:szCs w:val="18"/>
                <w:color w:val="auto"/>
              </w:rPr>
              <w:t>Form of Supplemental Indenture</w:t>
            </w: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296"/>
        <w:spacing w:after="0" w:line="259" w:lineRule="auto"/>
        <w:rPr>
          <w:sz w:val="20"/>
          <w:szCs w:val="20"/>
          <w:color w:val="auto"/>
        </w:rPr>
      </w:pPr>
      <w:r>
        <w:rPr>
          <w:rFonts w:ascii="Arial" w:cs="Arial" w:eastAsia="Arial" w:hAnsi="Arial"/>
          <w:sz w:val="18"/>
          <w:szCs w:val="18"/>
          <w:color w:val="auto"/>
        </w:rPr>
        <w:t>THIRTY-SECOND SUPPLEMENTAL INDENTURE dated as of June 11, 2020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w:t>
      </w:r>
      <w:r>
        <w:rPr>
          <w:rFonts w:ascii="Arial" w:cs="Arial" w:eastAsia="Arial" w:hAnsi="Arial"/>
          <w:sz w:val="18"/>
          <w:szCs w:val="18"/>
          <w:color w:val="auto"/>
        </w:rPr>
        <w:t xml:space="preserve"> There is hereby established a new series of Debt Securities to be issued under the Indenture, to be designated as the Issuers’ 3.800% Senior Notes due 2030 (the “Notes”). Initially, there will be no Subsidiary Guarantors for the Notes.</w:t>
      </w:r>
    </w:p>
    <w:p>
      <w:pPr>
        <w:spacing w:after="0" w:line="170" w:lineRule="exact"/>
        <w:rPr>
          <w:sz w:val="20"/>
          <w:szCs w:val="20"/>
          <w:color w:val="auto"/>
        </w:rPr>
      </w:pPr>
    </w:p>
    <w:p>
      <w:pPr>
        <w:ind w:firstLine="1304"/>
        <w:spacing w:after="0" w:line="277" w:lineRule="auto"/>
        <w:tabs>
          <w:tab w:leader="none" w:pos="2089"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There are to be authenticated and delivered $750,000,000 principal amount of Notes on the Issue Date, and from time to time thereafter there may be authenticated and delivered an unlimited principal amount of Additional Notes.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firstLine="1304"/>
        <w:spacing w:after="0" w:line="277" w:lineRule="auto"/>
        <w:tabs>
          <w:tab w:leader="none" w:pos="2126"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170" w:lineRule="exact"/>
        <w:rPr>
          <w:rFonts w:ascii="Arial" w:cs="Arial" w:eastAsia="Arial" w:hAnsi="Arial"/>
          <w:sz w:val="18"/>
          <w:szCs w:val="18"/>
          <w:color w:val="010000"/>
        </w:rPr>
      </w:pPr>
    </w:p>
    <w:p>
      <w:pPr>
        <w:ind w:right="20" w:firstLine="1304"/>
        <w:spacing w:after="0" w:line="277" w:lineRule="auto"/>
        <w:tabs>
          <w:tab w:leader="none" w:pos="2089"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170" w:lineRule="exact"/>
        <w:rPr>
          <w:rFonts w:ascii="Arial" w:cs="Arial" w:eastAsia="Arial" w:hAnsi="Arial"/>
          <w:sz w:val="18"/>
          <w:szCs w:val="18"/>
          <w:color w:val="010000"/>
        </w:rPr>
      </w:pPr>
    </w:p>
    <w:p>
      <w:pPr>
        <w:ind w:right="20" w:firstLine="1304"/>
        <w:spacing w:after="0" w:line="277" w:lineRule="auto"/>
        <w:tabs>
          <w:tab w:leader="none" w:pos="2126"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All capitalized terms used herein and not otherwise defined below shall have the meanings ascribed thereto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Original Indenture. The following are additional definitions used in this Supplemental Indenture:</w:t>
      </w:r>
    </w:p>
    <w:p>
      <w:pPr>
        <w:spacing w:after="0" w:line="21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5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1296"/>
        <w:spacing w:after="0" w:line="275" w:lineRule="auto"/>
        <w:rPr>
          <w:sz w:val="20"/>
          <w:szCs w:val="20"/>
          <w:color w:val="auto"/>
        </w:rPr>
      </w:pPr>
      <w:r>
        <w:rPr>
          <w:rFonts w:ascii="Arial" w:cs="Arial" w:eastAsia="Arial" w:hAnsi="Arial"/>
          <w:sz w:val="17"/>
          <w:szCs w:val="17"/>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“Guarantee” means a guarantee of the Notes given by a Subsidiary Guarantor pursuant to the Indenture, including any future obligations under Article IX 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“General Partner” means PAA GP LLC, a Delaware limited liability company, and its successors and permitted assigns as general partner of the Partnership.</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 Date” means the date on which the Notes are initially issued.</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“Notes” has the meaning assigned to it in Section 1.01(a) hereof, and includes both the Notes issued on the Issue Date and any Additional Notes issued thereafter.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right="20" w:firstLine="1296"/>
        <w:spacing w:after="0" w:line="277" w:lineRule="auto"/>
        <w:rPr>
          <w:sz w:val="20"/>
          <w:szCs w:val="20"/>
          <w:color w:val="auto"/>
        </w:rPr>
      </w:pPr>
      <w:r>
        <w:rPr>
          <w:rFonts w:ascii="Arial" w:cs="Arial" w:eastAsia="Arial" w:hAnsi="Arial"/>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left="2060" w:hanging="756"/>
        <w:spacing w:after="0"/>
        <w:tabs>
          <w:tab w:leader="none" w:pos="2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3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86" w:lineRule="exact"/>
        <w:rPr>
          <w:rFonts w:ascii="Arial" w:cs="Arial" w:eastAsia="Arial" w:hAnsi="Arial"/>
          <w:sz w:val="18"/>
          <w:szCs w:val="18"/>
          <w:color w:val="auto"/>
        </w:rPr>
      </w:pPr>
    </w:p>
    <w:p>
      <w:pPr>
        <w:ind w:left="660" w:firstLine="644"/>
        <w:spacing w:after="0" w:line="277" w:lineRule="auto"/>
        <w:tabs>
          <w:tab w:leader="none" w:pos="22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70" w:lineRule="exact"/>
        <w:rPr>
          <w:rFonts w:ascii="Arial" w:cs="Arial" w:eastAsia="Arial" w:hAnsi="Arial"/>
          <w:sz w:val="18"/>
          <w:szCs w:val="18"/>
          <w:color w:val="auto"/>
        </w:rPr>
      </w:pPr>
    </w:p>
    <w:p>
      <w:pPr>
        <w:ind w:left="660" w:firstLine="644"/>
        <w:spacing w:after="0" w:line="277" w:lineRule="auto"/>
        <w:tabs>
          <w:tab w:leader="none" w:pos="20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rFonts w:ascii="Arial" w:cs="Arial" w:eastAsia="Arial" w:hAnsi="Arial"/>
          <w:sz w:val="18"/>
          <w:szCs w:val="18"/>
          <w:color w:val="auto"/>
        </w:rPr>
      </w:pPr>
    </w:p>
    <w:p>
      <w:pPr>
        <w:ind w:left="660" w:firstLine="644"/>
        <w:spacing w:after="0" w:line="277" w:lineRule="auto"/>
        <w:tabs>
          <w:tab w:leader="none" w:pos="2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70" w:lineRule="exact"/>
        <w:rPr>
          <w:rFonts w:ascii="Arial" w:cs="Arial" w:eastAsia="Arial" w:hAnsi="Arial"/>
          <w:sz w:val="18"/>
          <w:szCs w:val="18"/>
          <w:color w:val="auto"/>
        </w:rPr>
      </w:pPr>
    </w:p>
    <w:p>
      <w:pPr>
        <w:ind w:left="660" w:firstLine="644"/>
        <w:spacing w:after="0" w:line="277" w:lineRule="auto"/>
        <w:tabs>
          <w:tab w:leader="none" w:pos="21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2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Lien in favor of an Issuer or any Restricted Subsidiary;</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2318"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980" w:hanging="796"/>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jc w:val="both"/>
        <w:ind w:left="-460" w:firstLine="644"/>
        <w:spacing w:after="0" w:line="255" w:lineRule="auto"/>
        <w:tabs>
          <w:tab w:leader="none" w:pos="11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92" w:lineRule="exact"/>
        <w:rPr>
          <w:rFonts w:ascii="Arial" w:cs="Arial" w:eastAsia="Arial" w:hAnsi="Arial"/>
          <w:sz w:val="18"/>
          <w:szCs w:val="18"/>
          <w:color w:val="auto"/>
        </w:rPr>
      </w:pPr>
    </w:p>
    <w:p>
      <w:pPr>
        <w:ind w:left="-460" w:firstLine="644"/>
        <w:spacing w:after="0" w:line="277" w:lineRule="auto"/>
        <w:tabs>
          <w:tab w:leader="none" w:pos="1141"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70" w:lineRule="exact"/>
        <w:rPr>
          <w:rFonts w:ascii="Arial" w:cs="Arial" w:eastAsia="Arial" w:hAnsi="Arial"/>
          <w:sz w:val="18"/>
          <w:szCs w:val="18"/>
          <w:color w:val="auto"/>
        </w:rPr>
      </w:pPr>
    </w:p>
    <w:p>
      <w:pPr>
        <w:ind w:left="980" w:hanging="796"/>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Lien upon or deposits of any assets to secure performance of bids, trade contracts, leases or statutory obligations;</w:t>
      </w:r>
    </w:p>
    <w:p>
      <w:pPr>
        <w:spacing w:after="0" w:line="236" w:lineRule="exact"/>
        <w:rPr>
          <w:rFonts w:ascii="Arial" w:cs="Arial" w:eastAsia="Arial" w:hAnsi="Arial"/>
          <w:sz w:val="17"/>
          <w:szCs w:val="17"/>
          <w:color w:val="auto"/>
        </w:rPr>
      </w:pPr>
    </w:p>
    <w:p>
      <w:pPr>
        <w:jc w:val="both"/>
        <w:ind w:left="-460" w:firstLine="644"/>
        <w:spacing w:after="0" w:line="257" w:lineRule="auto"/>
        <w:tabs>
          <w:tab w:leader="none" w:pos="11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11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6" w:lineRule="exact"/>
        <w:rPr>
          <w:rFonts w:ascii="Arial" w:cs="Arial" w:eastAsia="Arial" w:hAnsi="Arial"/>
          <w:sz w:val="18"/>
          <w:szCs w:val="18"/>
          <w:color w:val="auto"/>
        </w:rPr>
      </w:pPr>
    </w:p>
    <w:p>
      <w:pPr>
        <w:jc w:val="both"/>
        <w:ind w:left="-460" w:firstLine="644"/>
        <w:spacing w:after="0" w:line="257" w:lineRule="auto"/>
        <w:tabs>
          <w:tab w:leader="none" w:pos="1214"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7" w:lineRule="exact"/>
        <w:rPr>
          <w:rFonts w:ascii="Arial" w:cs="Arial" w:eastAsia="Arial" w:hAnsi="Arial"/>
          <w:sz w:val="18"/>
          <w:szCs w:val="18"/>
          <w:color w:val="auto"/>
        </w:rPr>
      </w:pPr>
    </w:p>
    <w:p>
      <w:pPr>
        <w:ind w:left="-460" w:firstLine="644"/>
        <w:spacing w:after="0" w:line="277" w:lineRule="auto"/>
        <w:tabs>
          <w:tab w:leader="none" w:pos="11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7" w:name="page58"/>
    <w:bookmarkEnd w:id="57"/>
    <w:p>
      <w:pPr>
        <w:jc w:val="both"/>
        <w:ind w:firstLine="1296"/>
        <w:spacing w:after="0" w:line="254" w:lineRule="auto"/>
        <w:rPr>
          <w:sz w:val="20"/>
          <w:szCs w:val="20"/>
          <w:color w:val="auto"/>
        </w:rPr>
      </w:pPr>
      <w:r>
        <w:rPr>
          <w:rFonts w:ascii="Arial" w:cs="Arial" w:eastAsia="Arial" w:hAnsi="Arial"/>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any Principal Property.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Guarantors” means:</w:t>
      </w:r>
    </w:p>
    <w:p>
      <w:pPr>
        <w:spacing w:after="0" w:line="225" w:lineRule="exact"/>
        <w:rPr>
          <w:sz w:val="20"/>
          <w:szCs w:val="20"/>
          <w:color w:val="auto"/>
        </w:rPr>
      </w:pPr>
    </w:p>
    <w:p>
      <w:pPr>
        <w:ind w:left="660" w:firstLine="644"/>
        <w:spacing w:after="0" w:line="277" w:lineRule="auto"/>
        <w:tabs>
          <w:tab w:leader="none" w:pos="22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Subsidiary of the Partnership that executes a supplemental Indenture to provide a Guarantee in accordance with the provisions of the Indenture;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its successors and assigns.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3"/>
          </w:tcPr>
          <w:p>
            <w:pPr>
              <w:ind w:left="660"/>
              <w:spacing w:after="0"/>
              <w:rPr>
                <w:sz w:val="20"/>
                <w:szCs w:val="20"/>
                <w:color w:val="auto"/>
              </w:rPr>
            </w:pPr>
            <w:r>
              <w:rPr>
                <w:rFonts w:ascii="Arial" w:cs="Arial" w:eastAsia="Arial" w:hAnsi="Arial"/>
                <w:sz w:val="18"/>
                <w:szCs w:val="18"/>
                <w:color w:val="auto"/>
              </w:rPr>
              <w:t>Section 2.02.</w:t>
            </w:r>
          </w:p>
        </w:tc>
        <w:tc>
          <w:tcPr>
            <w:tcW w:w="9320" w:type="dxa"/>
            <w:vAlign w:val="bottom"/>
            <w:gridSpan w:val="5"/>
          </w:tcPr>
          <w:p>
            <w:pPr>
              <w:jc w:val="right"/>
              <w:ind w:right="7840"/>
              <w:spacing w:after="0"/>
              <w:rPr>
                <w:sz w:val="20"/>
                <w:szCs w:val="20"/>
                <w:color w:val="auto"/>
              </w:rPr>
            </w:pPr>
            <w:r>
              <w:rPr>
                <w:rFonts w:ascii="Arial" w:cs="Arial" w:eastAsia="Arial" w:hAnsi="Arial"/>
                <w:sz w:val="18"/>
                <w:szCs w:val="18"/>
                <w:color w:val="auto"/>
              </w:rPr>
              <w:t>Other Definitions.</w:t>
            </w:r>
          </w:p>
        </w:tc>
      </w:tr>
      <w:tr>
        <w:trPr>
          <w:trHeight w:val="434"/>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Defined in</w:t>
            </w:r>
          </w:p>
        </w:tc>
      </w:tr>
      <w:tr>
        <w:trPr>
          <w:trHeight w:val="194"/>
        </w:trPr>
        <w:tc>
          <w:tcPr>
            <w:tcW w:w="980" w:type="dxa"/>
            <w:vAlign w:val="bottom"/>
          </w:tcPr>
          <w:p>
            <w:pPr>
              <w:spacing w:after="0"/>
              <w:rPr>
                <w:sz w:val="16"/>
                <w:szCs w:val="16"/>
                <w:color w:val="auto"/>
              </w:rPr>
            </w:pPr>
          </w:p>
        </w:tc>
        <w:tc>
          <w:tcPr>
            <w:tcW w:w="420" w:type="dxa"/>
            <w:vAlign w:val="bottom"/>
          </w:tcPr>
          <w:p>
            <w:pPr>
              <w:spacing w:after="0" w:line="194" w:lineRule="exact"/>
              <w:rPr>
                <w:sz w:val="20"/>
                <w:szCs w:val="20"/>
                <w:color w:val="auto"/>
              </w:rPr>
            </w:pPr>
            <w:r>
              <w:rPr>
                <w:rFonts w:ascii="Arial" w:cs="Arial" w:eastAsia="Arial" w:hAnsi="Arial"/>
                <w:sz w:val="18"/>
                <w:szCs w:val="18"/>
                <w:b w:val="1"/>
                <w:bCs w:val="1"/>
                <w:color w:val="auto"/>
                <w:w w:val="90"/>
              </w:rPr>
              <w:t>Term</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40" w:type="dxa"/>
            <w:vAlign w:val="bottom"/>
            <w:gridSpan w:val="3"/>
          </w:tcPr>
          <w:p>
            <w:pPr>
              <w:jc w:val="right"/>
              <w:ind w:right="380"/>
              <w:spacing w:after="0" w:line="194" w:lineRule="exact"/>
              <w:rPr>
                <w:sz w:val="20"/>
                <w:szCs w:val="20"/>
                <w:color w:val="auto"/>
              </w:rPr>
            </w:pPr>
            <w:r>
              <w:rPr>
                <w:rFonts w:ascii="Arial" w:cs="Arial" w:eastAsia="Arial" w:hAnsi="Arial"/>
                <w:sz w:val="18"/>
                <w:szCs w:val="18"/>
                <w:b w:val="1"/>
                <w:bCs w:val="1"/>
                <w:color w:val="auto"/>
              </w:rPr>
              <w:t>Section</w:t>
            </w: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38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38"/>
        </w:trPr>
        <w:tc>
          <w:tcPr>
            <w:tcW w:w="1920" w:type="dxa"/>
            <w:vAlign w:val="bottom"/>
            <w:gridSpan w:val="3"/>
          </w:tcPr>
          <w:p>
            <w:pPr>
              <w:spacing w:after="0"/>
              <w:rPr>
                <w:sz w:val="20"/>
                <w:szCs w:val="20"/>
                <w:color w:val="auto"/>
              </w:rPr>
            </w:pPr>
            <w:r>
              <w:rPr>
                <w:rFonts w:ascii="Arial" w:cs="Arial" w:eastAsia="Arial" w:hAnsi="Arial"/>
                <w:sz w:val="18"/>
                <w:szCs w:val="18"/>
                <w:color w:val="auto"/>
              </w:rPr>
              <w:t>“Additional Notes”</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w w:val="99"/>
              </w:rPr>
              <w:t>“Covenant Defeasance”</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“Event of Default”</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“Legal Defeasance”</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“Note Obligations”</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9.01</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“Payment Default”</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color w:val="auto"/>
              </w:rPr>
              <w:t>“Required Filing Dates”</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5.04</w:t>
            </w: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“Successor Company”</w:t>
            </w:r>
          </w:p>
        </w:tc>
        <w:tc>
          <w:tcPr>
            <w:tcW w:w="9320" w:type="dxa"/>
            <w:vAlign w:val="bottom"/>
            <w:gridSpan w:val="5"/>
          </w:tcPr>
          <w:p>
            <w:pPr>
              <w:jc w:val="right"/>
              <w:ind w:right="100"/>
              <w:spacing w:after="0"/>
              <w:rPr>
                <w:sz w:val="20"/>
                <w:szCs w:val="20"/>
                <w:color w:val="auto"/>
              </w:rPr>
            </w:pPr>
            <w:r>
              <w:rPr>
                <w:rFonts w:ascii="Arial" w:cs="Arial" w:eastAsia="Arial" w:hAnsi="Arial"/>
                <w:sz w:val="18"/>
                <w:szCs w:val="18"/>
                <w:color w:val="auto"/>
              </w:rPr>
              <w:t>6.01</w:t>
            </w:r>
          </w:p>
        </w:tc>
      </w:tr>
      <w:tr>
        <w:trPr>
          <w:trHeight w:val="648"/>
        </w:trPr>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3"/>
          </w:tcPr>
          <w:p>
            <w:pPr>
              <w:jc w:val="right"/>
              <w:ind w:right="4530"/>
              <w:spacing w:after="0"/>
              <w:rPr>
                <w:sz w:val="20"/>
                <w:szCs w:val="20"/>
                <w:color w:val="auto"/>
              </w:rPr>
            </w:pPr>
            <w:r>
              <w:rPr>
                <w:rFonts w:ascii="Arial" w:cs="Arial" w:eastAsia="Arial" w:hAnsi="Arial"/>
                <w:sz w:val="18"/>
                <w:szCs w:val="18"/>
                <w:color w:val="auto"/>
              </w:rPr>
              <w:t>6</w:t>
            </w: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010000"/>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w:t>
      </w:r>
      <w:r>
        <w:rPr>
          <w:rFonts w:ascii="Arial" w:cs="Arial" w:eastAsia="Arial" w:hAnsi="Arial"/>
          <w:sz w:val="18"/>
          <w:szCs w:val="18"/>
          <w:color w:val="auto"/>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$750,000,000. The Notes issued on the Issue Date and any Additional Notes subsequently issued shall be treated as a single series for all purposes under the Indenture, including waivers, amendments, redemptions and offers to purchase.</w:t>
      </w:r>
    </w:p>
    <w:p>
      <w:pPr>
        <w:spacing w:after="0" w:line="192" w:lineRule="exact"/>
        <w:rPr>
          <w:sz w:val="20"/>
          <w:szCs w:val="20"/>
          <w:color w:val="auto"/>
        </w:rPr>
      </w:pPr>
    </w:p>
    <w:p>
      <w:pPr>
        <w:ind w:left="980"/>
        <w:spacing w:after="0"/>
        <w:tabs>
          <w:tab w:leader="none" w:pos="23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Global Security Legend</w:t>
      </w:r>
      <w:r>
        <w:rPr>
          <w:rFonts w:ascii="Arial" w:cs="Arial" w:eastAsia="Arial" w:hAnsi="Arial"/>
          <w:sz w:val="16"/>
          <w:szCs w:val="16"/>
          <w:color w:val="auto"/>
        </w:rPr>
        <w:t>. Each of the Global Securities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010000"/>
        </w:rPr>
        <w:t>Section 4.01.</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left="2080" w:hanging="776"/>
        <w:spacing w:after="0"/>
        <w:tabs>
          <w:tab w:leader="none" w:pos="2080" w:val="left"/>
        </w:tabs>
        <w:numPr>
          <w:ilvl w:val="0"/>
          <w:numId w:val="57"/>
        </w:numPr>
        <w:rPr>
          <w:rFonts w:ascii="Arial" w:cs="Arial" w:eastAsia="Arial" w:hAnsi="Arial"/>
          <w:sz w:val="16"/>
          <w:szCs w:val="16"/>
          <w:color w:val="010000"/>
        </w:rPr>
      </w:pPr>
      <w:r>
        <w:rPr>
          <w:rFonts w:ascii="Arial" w:cs="Arial" w:eastAsia="Arial" w:hAnsi="Arial"/>
          <w:sz w:val="16"/>
          <w:szCs w:val="16"/>
          <w:color w:val="auto"/>
        </w:rPr>
        <w:t>At their option at any time prior to maturity, the Issuers may choose to redeem all or any portion of the Notes, at once or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jc w:val="both"/>
        <w:ind w:firstLine="1304"/>
        <w:spacing w:after="0" w:line="263" w:lineRule="auto"/>
        <w:tabs>
          <w:tab w:leader="none" w:pos="2126"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1304"/>
        <w:spacing w:after="0" w:line="263" w:lineRule="auto"/>
        <w:tabs>
          <w:tab w:leader="none" w:pos="2049"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Any redemption pursuant to this Section 4.01 shall otherwise be made pursuant to the provisions of Sections 3.01 through 3.03 of 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Compliance Certificate.</w:t>
      </w:r>
    </w:p>
    <w:p>
      <w:pPr>
        <w:spacing w:after="0" w:line="225" w:lineRule="exact"/>
        <w:rPr>
          <w:sz w:val="20"/>
          <w:szCs w:val="20"/>
          <w:color w:val="auto"/>
        </w:rPr>
      </w:pPr>
    </w:p>
    <w:p>
      <w:pPr>
        <w:jc w:val="both"/>
        <w:ind w:firstLine="1304"/>
        <w:spacing w:after="0" w:line="253" w:lineRule="auto"/>
        <w:tabs>
          <w:tab w:leader="none" w:pos="215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6" w:lineRule="exact"/>
        <w:rPr>
          <w:rFonts w:ascii="Arial" w:cs="Arial" w:eastAsia="Arial" w:hAnsi="Arial"/>
          <w:sz w:val="18"/>
          <w:szCs w:val="18"/>
          <w:color w:val="auto"/>
        </w:rPr>
      </w:pPr>
    </w:p>
    <w:p>
      <w:pPr>
        <w:jc w:val="both"/>
        <w:ind w:firstLine="1304"/>
        <w:spacing w:after="0" w:line="259" w:lineRule="auto"/>
        <w:tabs>
          <w:tab w:leader="none" w:pos="21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Limitations on Liens</w:t>
      </w:r>
      <w:r>
        <w:rPr>
          <w:rFonts w:ascii="Arial" w:cs="Arial" w:eastAsia="Arial" w:hAnsi="Arial"/>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8" w:lineRule="exact"/>
        <w:rPr>
          <w:sz w:val="20"/>
          <w:szCs w:val="20"/>
          <w:color w:val="auto"/>
        </w:rPr>
      </w:pPr>
    </w:p>
    <w:p>
      <w:pPr>
        <w:ind w:left="2040" w:hanging="736"/>
        <w:spacing w:after="0"/>
        <w:tabs>
          <w:tab w:leader="none" w:pos="204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010000"/>
        </w:rPr>
      </w:pPr>
    </w:p>
    <w:p>
      <w:pPr>
        <w:jc w:val="both"/>
        <w:ind w:firstLine="1304"/>
        <w:spacing w:after="0" w:line="286" w:lineRule="auto"/>
        <w:tabs>
          <w:tab w:leader="none" w:pos="2059" w:val="left"/>
        </w:tabs>
        <w:numPr>
          <w:ilvl w:val="0"/>
          <w:numId w:val="61"/>
        </w:numPr>
        <w:rPr>
          <w:rFonts w:ascii="Arial" w:cs="Arial" w:eastAsia="Arial" w:hAnsi="Arial"/>
          <w:sz w:val="17"/>
          <w:szCs w:val="17"/>
          <w:color w:val="010000"/>
        </w:rPr>
      </w:pPr>
      <w:r>
        <w:rPr>
          <w:rFonts w:ascii="Arial" w:cs="Arial" w:eastAsia="Arial" w:hAnsi="Arial"/>
          <w:sz w:val="17"/>
          <w:szCs w:val="17"/>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304"/>
        <w:spacing w:after="0" w:line="286" w:lineRule="auto"/>
        <w:tabs>
          <w:tab w:leader="none" w:pos="2170" w:val="left"/>
        </w:tabs>
        <w:numPr>
          <w:ilvl w:val="0"/>
          <w:numId w:val="62"/>
        </w:numPr>
        <w:rPr>
          <w:rFonts w:ascii="Arial" w:cs="Arial" w:eastAsia="Arial" w:hAnsi="Arial"/>
          <w:sz w:val="17"/>
          <w:szCs w:val="17"/>
          <w:color w:val="010000"/>
        </w:rPr>
      </w:pPr>
      <w:r>
        <w:rPr>
          <w:rFonts w:ascii="Arial" w:cs="Arial" w:eastAsia="Arial" w:hAnsi="Arial"/>
          <w:sz w:val="17"/>
          <w:szCs w:val="17"/>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65" w:lineRule="exact"/>
        <w:rPr>
          <w:rFonts w:ascii="Arial" w:cs="Arial" w:eastAsia="Arial" w:hAnsi="Arial"/>
          <w:sz w:val="17"/>
          <w:szCs w:val="17"/>
          <w:color w:val="010000"/>
        </w:rPr>
      </w:pPr>
    </w:p>
    <w:p>
      <w:pPr>
        <w:jc w:val="both"/>
        <w:ind w:firstLine="1304"/>
        <w:spacing w:after="0" w:line="263" w:lineRule="auto"/>
        <w:tabs>
          <w:tab w:leader="none" w:pos="2221"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2089"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83" w:lineRule="exact"/>
        <w:rPr>
          <w:rFonts w:ascii="Arial" w:cs="Arial" w:eastAsia="Arial" w:hAnsi="Arial"/>
          <w:sz w:val="18"/>
          <w:szCs w:val="18"/>
          <w:color w:val="010000"/>
        </w:rPr>
      </w:pPr>
    </w:p>
    <w:p>
      <w:pPr>
        <w:ind w:firstLine="1304"/>
        <w:spacing w:after="0" w:line="277" w:lineRule="auto"/>
        <w:tabs>
          <w:tab w:leader="none" w:pos="2056"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2045"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83" w:lineRule="exact"/>
        <w:rPr>
          <w:rFonts w:ascii="Arial" w:cs="Arial" w:eastAsia="Arial" w:hAnsi="Arial"/>
          <w:sz w:val="18"/>
          <w:szCs w:val="18"/>
          <w:color w:val="010000"/>
        </w:rPr>
      </w:pPr>
    </w:p>
    <w:p>
      <w:pPr>
        <w:jc w:val="both"/>
        <w:ind w:firstLine="1304"/>
        <w:spacing w:after="0" w:line="293" w:lineRule="auto"/>
        <w:tabs>
          <w:tab w:leader="none" w:pos="2086" w:val="left"/>
        </w:tabs>
        <w:numPr>
          <w:ilvl w:val="0"/>
          <w:numId w:val="62"/>
        </w:numPr>
        <w:rPr>
          <w:rFonts w:ascii="Arial" w:cs="Arial" w:eastAsia="Arial" w:hAnsi="Arial"/>
          <w:sz w:val="16"/>
          <w:szCs w:val="16"/>
          <w:color w:val="010000"/>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64" w:lineRule="exact"/>
        <w:rPr>
          <w:rFonts w:ascii="Arial" w:cs="Arial" w:eastAsia="Arial" w:hAnsi="Arial"/>
          <w:sz w:val="16"/>
          <w:szCs w:val="16"/>
          <w:color w:val="010000"/>
        </w:rPr>
      </w:pPr>
    </w:p>
    <w:p>
      <w:pPr>
        <w:ind w:firstLine="1304"/>
        <w:spacing w:after="0" w:line="277" w:lineRule="auto"/>
        <w:tabs>
          <w:tab w:leader="none" w:pos="2154"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any Lien resulting from the deposit of moneys or evidence of indebtedness in trust for the purpose of defeasing Debt of an Issuer or any Restricted Subsidiary.</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firstLine="1296"/>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Restriction of Sale-leaseback Transactions</w:t>
      </w:r>
      <w:r>
        <w:rPr>
          <w:rFonts w:ascii="Arial" w:cs="Arial" w:eastAsia="Arial" w:hAnsi="Arial"/>
          <w:sz w:val="18"/>
          <w:szCs w:val="18"/>
          <w:color w:val="auto"/>
        </w:rPr>
        <w:t>. The Issuers will not, and will not permit any Subsidiary of the Partnership to, engage in a Sale-leaseback Transaction, unless:</w:t>
      </w:r>
    </w:p>
    <w:p>
      <w:pPr>
        <w:spacing w:after="0" w:line="170" w:lineRule="exact"/>
        <w:rPr>
          <w:sz w:val="20"/>
          <w:szCs w:val="20"/>
          <w:color w:val="auto"/>
        </w:rPr>
      </w:pPr>
    </w:p>
    <w:p>
      <w:pPr>
        <w:jc w:val="both"/>
        <w:ind w:firstLine="1304"/>
        <w:spacing w:after="0" w:line="263" w:lineRule="auto"/>
        <w:tabs>
          <w:tab w:leader="none" w:pos="2035"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83" w:lineRule="exact"/>
        <w:rPr>
          <w:rFonts w:ascii="Arial" w:cs="Arial" w:eastAsia="Arial" w:hAnsi="Arial"/>
          <w:sz w:val="18"/>
          <w:szCs w:val="18"/>
          <w:color w:val="010000"/>
        </w:rPr>
      </w:pPr>
    </w:p>
    <w:p>
      <w:pPr>
        <w:ind w:left="2060" w:hanging="756"/>
        <w:spacing w:after="0"/>
        <w:tabs>
          <w:tab w:leader="none" w:pos="206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the Sale-leaseback Transaction involves a lease for a period, including renewals, of not more than three years;</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2062"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2099"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18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SEC Reports; Financial Statements.</w:t>
      </w:r>
    </w:p>
    <w:p>
      <w:pPr>
        <w:spacing w:after="0" w:line="225" w:lineRule="exact"/>
        <w:rPr>
          <w:sz w:val="20"/>
          <w:szCs w:val="20"/>
          <w:color w:val="auto"/>
        </w:rPr>
      </w:pPr>
    </w:p>
    <w:p>
      <w:pPr>
        <w:jc w:val="both"/>
        <w:ind w:firstLine="1304"/>
        <w:spacing w:after="0" w:line="296" w:lineRule="auto"/>
        <w:tabs>
          <w:tab w:leader="none" w:pos="2143" w:val="left"/>
        </w:tabs>
        <w:numPr>
          <w:ilvl w:val="0"/>
          <w:numId w:val="64"/>
        </w:numPr>
        <w:rPr>
          <w:rFonts w:ascii="Arial" w:cs="Arial" w:eastAsia="Arial" w:hAnsi="Arial"/>
          <w:sz w:val="16"/>
          <w:szCs w:val="16"/>
          <w:color w:val="010000"/>
        </w:rPr>
      </w:pPr>
      <w:r>
        <w:rPr>
          <w:rFonts w:ascii="Arial" w:cs="Arial" w:eastAsia="Arial" w:hAnsi="Arial"/>
          <w:sz w:val="16"/>
          <w:szCs w:val="16"/>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61" w:lineRule="exact"/>
        <w:rPr>
          <w:rFonts w:ascii="Arial" w:cs="Arial" w:eastAsia="Arial" w:hAnsi="Arial"/>
          <w:sz w:val="16"/>
          <w:szCs w:val="16"/>
          <w:color w:val="010000"/>
        </w:rPr>
      </w:pPr>
    </w:p>
    <w:p>
      <w:pPr>
        <w:jc w:val="both"/>
        <w:ind w:firstLine="1304"/>
        <w:spacing w:after="0" w:line="259" w:lineRule="auto"/>
        <w:tabs>
          <w:tab w:leader="none" w:pos="2194"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2040" w:hanging="736"/>
        <w:spacing w:after="0"/>
        <w:tabs>
          <w:tab w:leader="none" w:pos="204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010000"/>
        </w:rPr>
      </w:pPr>
    </w:p>
    <w:p>
      <w:pPr>
        <w:ind w:firstLine="1304"/>
        <w:spacing w:after="0" w:line="277" w:lineRule="auto"/>
        <w:tabs>
          <w:tab w:leader="none" w:pos="2045"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170" w:lineRule="exact"/>
        <w:rPr>
          <w:rFonts w:ascii="Arial" w:cs="Arial" w:eastAsia="Arial" w:hAnsi="Arial"/>
          <w:sz w:val="18"/>
          <w:szCs w:val="18"/>
          <w:color w:val="010000"/>
        </w:rPr>
      </w:pPr>
    </w:p>
    <w:p>
      <w:pPr>
        <w:jc w:val="both"/>
        <w:ind w:firstLine="1304"/>
        <w:spacing w:after="0" w:line="311" w:lineRule="auto"/>
        <w:tabs>
          <w:tab w:leader="none" w:pos="2049" w:val="left"/>
        </w:tabs>
        <w:numPr>
          <w:ilvl w:val="0"/>
          <w:numId w:val="65"/>
        </w:numPr>
        <w:rPr>
          <w:rFonts w:ascii="Arial" w:cs="Arial" w:eastAsia="Arial" w:hAnsi="Arial"/>
          <w:sz w:val="16"/>
          <w:szCs w:val="16"/>
          <w:color w:val="010000"/>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49"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With respect to the Notes, the provisions of this Article VI shall preempt the provisions of Article X of the Original Indenture in their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Consolidation and Mergers of the Issuers</w:t>
      </w:r>
      <w:r>
        <w:rPr>
          <w:rFonts w:ascii="Arial" w:cs="Arial" w:eastAsia="Arial" w:hAnsi="Arial"/>
          <w:sz w:val="16"/>
          <w:szCs w:val="16"/>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w:t>
      </w:r>
    </w:p>
    <w:p>
      <w:pPr>
        <w:spacing w:after="0" w:line="2" w:lineRule="exact"/>
        <w:rPr>
          <w:sz w:val="20"/>
          <w:szCs w:val="20"/>
          <w:color w:val="auto"/>
        </w:rPr>
      </w:pPr>
    </w:p>
    <w:p>
      <w:pPr>
        <w:jc w:val="both"/>
        <w:ind w:firstLine="8"/>
        <w:spacing w:after="0" w:line="267" w:lineRule="auto"/>
        <w:tabs>
          <w:tab w:leader="none" w:pos="239"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line="11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Rights and Duties of Successor</w:t>
      </w:r>
      <w:r>
        <w:rPr>
          <w:rFonts w:ascii="Arial" w:cs="Arial" w:eastAsia="Arial" w:hAnsi="Arial"/>
          <w:sz w:val="16"/>
          <w:szCs w:val="16"/>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pacing w:after="0" w:line="170" w:lineRule="exact"/>
        <w:rPr>
          <w:sz w:val="20"/>
          <w:szCs w:val="20"/>
          <w:color w:val="auto"/>
        </w:rPr>
      </w:pPr>
    </w:p>
    <w:p>
      <w:pPr>
        <w:ind w:left="1940" w:hanging="636"/>
        <w:spacing w:after="0"/>
        <w:tabs>
          <w:tab w:leader="none" w:pos="19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Issuers default for 60 days in the payment when due of interest on the Notes;</w:t>
      </w:r>
    </w:p>
    <w:p>
      <w:pPr>
        <w:spacing w:after="0" w:line="225" w:lineRule="exact"/>
        <w:rPr>
          <w:rFonts w:ascii="Arial" w:cs="Arial" w:eastAsia="Arial" w:hAnsi="Arial"/>
          <w:sz w:val="18"/>
          <w:szCs w:val="18"/>
          <w:color w:val="auto"/>
        </w:rPr>
      </w:pPr>
    </w:p>
    <w:p>
      <w:pPr>
        <w:ind w:left="1300" w:right="20" w:firstLine="652"/>
        <w:spacing w:after="0" w:line="277" w:lineRule="auto"/>
        <w:tabs>
          <w:tab w:leader="none" w:pos="290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Issuers default in the payment when due of principal of or premium, if any, on the Notes at maturity, upon redemption or otherwise;</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668" w:val="left"/>
        </w:tabs>
        <w:numPr>
          <w:ilvl w:val="1"/>
          <w:numId w:val="67"/>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90 days after any breach of the provisions of Section 6.01 hereof);</w:t>
      </w:r>
    </w:p>
    <w:p>
      <w:pPr>
        <w:spacing w:after="0" w:line="186" w:lineRule="exact"/>
        <w:rPr>
          <w:rFonts w:ascii="Arial" w:cs="Arial" w:eastAsia="Arial" w:hAnsi="Arial"/>
          <w:sz w:val="18"/>
          <w:szCs w:val="18"/>
          <w:color w:val="auto"/>
        </w:rPr>
      </w:pPr>
    </w:p>
    <w:p>
      <w:pPr>
        <w:jc w:val="both"/>
        <w:ind w:left="1300" w:firstLine="652"/>
        <w:spacing w:after="0" w:line="269" w:lineRule="auto"/>
        <w:tabs>
          <w:tab w:leader="none" w:pos="2846"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both"/>
        <w:ind w:left="180" w:firstLine="652"/>
        <w:spacing w:after="0" w:line="311" w:lineRule="auto"/>
        <w:tabs>
          <w:tab w:leader="none" w:pos="1536"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48" w:lineRule="exact"/>
        <w:rPr>
          <w:rFonts w:ascii="Arial" w:cs="Arial" w:eastAsia="Arial" w:hAnsi="Arial"/>
          <w:sz w:val="16"/>
          <w:szCs w:val="16"/>
          <w:color w:val="auto"/>
        </w:rPr>
      </w:pPr>
    </w:p>
    <w:p>
      <w:pPr>
        <w:ind w:left="1500" w:hanging="668"/>
        <w:spacing w:after="0"/>
        <w:tabs>
          <w:tab w:leader="none" w:pos="1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Issuer or any Subsidiary Guarantor pursuant to or within the meaning of any Bankruptcy Law:</w:t>
      </w:r>
    </w:p>
    <w:p>
      <w:pPr>
        <w:spacing w:after="0" w:line="225" w:lineRule="exact"/>
        <w:rPr>
          <w:rFonts w:ascii="Arial" w:cs="Arial" w:eastAsia="Arial" w:hAnsi="Arial"/>
          <w:sz w:val="18"/>
          <w:szCs w:val="18"/>
          <w:color w:val="auto"/>
        </w:rPr>
      </w:pPr>
    </w:p>
    <w:p>
      <w:pPr>
        <w:ind w:left="2220" w:hanging="740"/>
        <w:spacing w:after="0"/>
        <w:tabs>
          <w:tab w:leader="none" w:pos="2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260" w:hanging="780"/>
        <w:spacing w:after="0"/>
        <w:tabs>
          <w:tab w:leader="none" w:pos="2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260" w:hanging="780"/>
        <w:spacing w:after="0"/>
        <w:tabs>
          <w:tab w:leader="none" w:pos="2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260" w:hanging="780"/>
        <w:spacing w:after="0"/>
        <w:tabs>
          <w:tab w:leader="none" w:pos="2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240" w:hanging="760"/>
        <w:spacing w:after="0"/>
        <w:tabs>
          <w:tab w:leader="none" w:pos="22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500" w:hanging="668"/>
        <w:spacing w:after="0"/>
        <w:tabs>
          <w:tab w:leader="none" w:pos="1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220" w:hanging="740"/>
        <w:spacing w:after="0"/>
        <w:tabs>
          <w:tab w:leader="none" w:pos="2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225" w:lineRule="exact"/>
        <w:rPr>
          <w:rFonts w:ascii="Arial" w:cs="Arial" w:eastAsia="Arial" w:hAnsi="Arial"/>
          <w:sz w:val="18"/>
          <w:szCs w:val="18"/>
          <w:color w:val="auto"/>
        </w:rPr>
      </w:pPr>
    </w:p>
    <w:p>
      <w:pPr>
        <w:ind w:left="840" w:firstLine="640"/>
        <w:spacing w:after="0" w:line="277" w:lineRule="auto"/>
        <w:tabs>
          <w:tab w:leader="none" w:pos="22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170" w:lineRule="exact"/>
        <w:rPr>
          <w:rFonts w:ascii="Arial" w:cs="Arial" w:eastAsia="Arial" w:hAnsi="Arial"/>
          <w:sz w:val="18"/>
          <w:szCs w:val="18"/>
          <w:color w:val="auto"/>
        </w:rPr>
      </w:pPr>
    </w:p>
    <w:p>
      <w:pPr>
        <w:ind w:left="2260" w:hanging="780"/>
        <w:spacing w:after="0"/>
        <w:tabs>
          <w:tab w:leader="none" w:pos="2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24" w:right="339" w:bottom="1440" w:gutter="0" w:footer="0" w:header="0"/>
        </w:sectPr>
      </w:pPr>
    </w:p>
    <w:bookmarkStart w:id="65" w:name="page66"/>
    <w:bookmarkEnd w:id="65"/>
    <w:p>
      <w:pPr>
        <w:jc w:val="both"/>
        <w:ind w:firstLine="1304"/>
        <w:spacing w:after="0" w:line="273" w:lineRule="auto"/>
        <w:tabs>
          <w:tab w:leader="none" w:pos="2154"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1" w:lineRule="exact"/>
        <w:rPr>
          <w:sz w:val="20"/>
          <w:szCs w:val="20"/>
          <w:color w:val="auto"/>
        </w:rPr>
      </w:pPr>
    </w:p>
    <w:p>
      <w:pPr>
        <w:ind w:right="20" w:firstLine="1304"/>
        <w:spacing w:after="0" w:line="342" w:lineRule="auto"/>
        <w:tabs>
          <w:tab w:leader="none" w:pos="20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Issuers’ obligations with respect to such Notes under Sections 2.07, 2.08, 2.09 and 4.02 of the Original Indenture,</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hereunder and the Issuers’ obligations in connection therewith,</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82"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7"/>
          <w:szCs w:val="17"/>
          <w:u w:val="single" w:color="auto"/>
          <w:color w:val="auto"/>
        </w:rPr>
        <w:t>Conditions to Legal or Covenant Defeasance</w:t>
      </w:r>
      <w:r>
        <w:rPr>
          <w:rFonts w:ascii="Arial" w:cs="Arial" w:eastAsia="Arial" w:hAnsi="Arial"/>
          <w:sz w:val="17"/>
          <w:szCs w:val="17"/>
          <w:color w:val="auto"/>
        </w:rPr>
        <w:t>. The following shall be the conditions to the application of either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8.02 or 8.03 hereof to the Outstanding Notes: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both"/>
        <w:ind w:firstLine="1304"/>
        <w:spacing w:after="0" w:line="257" w:lineRule="auto"/>
        <w:tabs>
          <w:tab w:leader="none" w:pos="200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7" w:lineRule="exact"/>
        <w:rPr>
          <w:rFonts w:ascii="Arial" w:cs="Arial" w:eastAsia="Arial" w:hAnsi="Arial"/>
          <w:sz w:val="18"/>
          <w:szCs w:val="18"/>
          <w:color w:val="auto"/>
        </w:rPr>
      </w:pPr>
    </w:p>
    <w:p>
      <w:pPr>
        <w:jc w:val="both"/>
        <w:ind w:firstLine="1304"/>
        <w:spacing w:after="0" w:line="255" w:lineRule="auto"/>
        <w:tabs>
          <w:tab w:leader="none" w:pos="21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21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right="20" w:firstLine="1304"/>
        <w:spacing w:after="0" w:line="286" w:lineRule="auto"/>
        <w:tabs>
          <w:tab w:leader="none" w:pos="1988"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0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83" w:lineRule="exact"/>
        <w:rPr>
          <w:rFonts w:ascii="Arial" w:cs="Arial" w:eastAsia="Arial" w:hAnsi="Arial"/>
          <w:sz w:val="18"/>
          <w:szCs w:val="18"/>
          <w:color w:val="auto"/>
        </w:rPr>
      </w:pPr>
    </w:p>
    <w:p>
      <w:pPr>
        <w:jc w:val="both"/>
        <w:ind w:firstLine="1304"/>
        <w:spacing w:after="0" w:line="342" w:lineRule="auto"/>
        <w:tabs>
          <w:tab w:leader="none" w:pos="202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23" w:lineRule="exact"/>
        <w:rPr>
          <w:rFonts w:ascii="Arial" w:cs="Arial" w:eastAsia="Arial" w:hAnsi="Arial"/>
          <w:sz w:val="16"/>
          <w:szCs w:val="16"/>
          <w:color w:val="auto"/>
        </w:rPr>
      </w:pPr>
    </w:p>
    <w:p>
      <w:pPr>
        <w:jc w:val="both"/>
        <w:ind w:right="20" w:firstLine="1304"/>
        <w:spacing w:after="0" w:line="263" w:lineRule="auto"/>
        <w:tabs>
          <w:tab w:leader="none" w:pos="20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83" w:lineRule="exact"/>
        <w:rPr>
          <w:rFonts w:ascii="Arial" w:cs="Arial" w:eastAsia="Arial" w:hAnsi="Arial"/>
          <w:sz w:val="18"/>
          <w:szCs w:val="18"/>
          <w:color w:val="auto"/>
        </w:rPr>
      </w:pPr>
    </w:p>
    <w:p>
      <w:pPr>
        <w:ind w:firstLine="1304"/>
        <w:spacing w:after="0" w:line="277" w:lineRule="auto"/>
        <w:tabs>
          <w:tab w:leader="none" w:pos="19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296"/>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Repayment to Issuers</w:t>
      </w:r>
      <w:r>
        <w:rPr>
          <w:rFonts w:ascii="Arial" w:cs="Arial" w:eastAsia="Arial" w:hAnsi="Arial"/>
          <w:sz w:val="16"/>
          <w:szCs w:val="16"/>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Trustee or such paying agent, before being required to make any such repayment, may at the expense of the Issuers cause to be published once, in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6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Reinstatement</w:t>
      </w:r>
      <w:r>
        <w:rPr>
          <w:rFonts w:ascii="Arial" w:cs="Arial" w:eastAsia="Arial" w:hAnsi="Arial"/>
          <w:sz w:val="16"/>
          <w:szCs w:val="16"/>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SUBSIDIARY GUARANTEES</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left="-8" w:firstLine="1304"/>
        <w:spacing w:after="0" w:line="284" w:lineRule="auto"/>
        <w:tabs>
          <w:tab w:leader="none" w:pos="2129" w:val="left"/>
        </w:tabs>
        <w:numPr>
          <w:ilvl w:val="1"/>
          <w:numId w:val="73"/>
        </w:numPr>
        <w:rPr>
          <w:rFonts w:ascii="Arial" w:cs="Arial" w:eastAsia="Arial" w:hAnsi="Arial"/>
          <w:sz w:val="16"/>
          <w:szCs w:val="16"/>
          <w:color w:val="auto"/>
        </w:rPr>
      </w:pPr>
      <w:r>
        <w:rPr>
          <w:rFonts w:ascii="Arial" w:cs="Arial" w:eastAsia="Arial" w:hAnsi="Arial"/>
          <w:sz w:val="16"/>
          <w:szCs w:val="16"/>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w:t>
      </w:r>
    </w:p>
    <w:p>
      <w:pPr>
        <w:spacing w:after="0" w:line="4" w:lineRule="exact"/>
        <w:rPr>
          <w:rFonts w:ascii="Arial" w:cs="Arial" w:eastAsia="Arial" w:hAnsi="Arial"/>
          <w:sz w:val="16"/>
          <w:szCs w:val="16"/>
          <w:color w:val="auto"/>
        </w:rPr>
      </w:pPr>
    </w:p>
    <w:p>
      <w:pPr>
        <w:ind w:left="-8" w:firstLine="8"/>
        <w:spacing w:after="0" w:line="260" w:lineRule="auto"/>
        <w:tabs>
          <w:tab w:leader="none" w:pos="26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failure of any Holder or Trustee to exercise any right or remedy against any other guarantor of the Note Obligations; or (vi) any change in the ownership of such Subsidiary Guarantor, except as provided in Section 9.02 hereof.</w:t>
      </w:r>
    </w:p>
    <w:p>
      <w:pPr>
        <w:spacing w:after="0" w:line="185" w:lineRule="exact"/>
        <w:rPr>
          <w:rFonts w:ascii="Arial" w:cs="Arial" w:eastAsia="Arial" w:hAnsi="Arial"/>
          <w:sz w:val="18"/>
          <w:szCs w:val="18"/>
          <w:color w:val="auto"/>
        </w:rPr>
      </w:pPr>
    </w:p>
    <w:p>
      <w:pPr>
        <w:jc w:val="both"/>
        <w:ind w:left="-8" w:firstLine="1304"/>
        <w:spacing w:after="0" w:line="263" w:lineRule="auto"/>
        <w:tabs>
          <w:tab w:leader="none" w:pos="21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83" w:lineRule="exact"/>
        <w:rPr>
          <w:rFonts w:ascii="Arial" w:cs="Arial" w:eastAsia="Arial" w:hAnsi="Arial"/>
          <w:sz w:val="18"/>
          <w:szCs w:val="18"/>
          <w:color w:val="auto"/>
        </w:rPr>
      </w:pPr>
    </w:p>
    <w:p>
      <w:pPr>
        <w:jc w:val="both"/>
        <w:ind w:left="-8" w:firstLine="1304"/>
        <w:spacing w:after="0" w:line="253" w:lineRule="auto"/>
        <w:tabs>
          <w:tab w:leader="none" w:pos="220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96" w:lineRule="exact"/>
        <w:rPr>
          <w:rFonts w:ascii="Arial" w:cs="Arial" w:eastAsia="Arial" w:hAnsi="Arial"/>
          <w:sz w:val="18"/>
          <w:szCs w:val="18"/>
          <w:color w:val="auto"/>
        </w:rPr>
      </w:pPr>
    </w:p>
    <w:p>
      <w:pPr>
        <w:jc w:val="both"/>
        <w:ind w:left="-8" w:firstLine="1304"/>
        <w:spacing w:after="0" w:line="286" w:lineRule="auto"/>
        <w:tabs>
          <w:tab w:leader="none" w:pos="1938" w:val="left"/>
        </w:tabs>
        <w:numPr>
          <w:ilvl w:val="1"/>
          <w:numId w:val="74"/>
        </w:numPr>
        <w:rPr>
          <w:rFonts w:ascii="Arial" w:cs="Arial" w:eastAsia="Arial" w:hAnsi="Arial"/>
          <w:sz w:val="17"/>
          <w:szCs w:val="17"/>
          <w:color w:val="auto"/>
        </w:rPr>
      </w:pPr>
      <w:r>
        <w:rPr>
          <w:rFonts w:ascii="Arial" w:cs="Arial" w:eastAsia="Arial" w:hAnsi="Arial"/>
          <w:sz w:val="17"/>
          <w:szCs w:val="17"/>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65" w:lineRule="exact"/>
        <w:rPr>
          <w:rFonts w:ascii="Arial" w:cs="Arial" w:eastAsia="Arial" w:hAnsi="Arial"/>
          <w:sz w:val="17"/>
          <w:szCs w:val="17"/>
          <w:color w:val="auto"/>
        </w:rPr>
      </w:pPr>
    </w:p>
    <w:p>
      <w:pPr>
        <w:jc w:val="both"/>
        <w:ind w:left="-8" w:firstLine="1304"/>
        <w:spacing w:after="0" w:line="293" w:lineRule="auto"/>
        <w:tabs>
          <w:tab w:leader="none" w:pos="203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0" w:name="page71"/>
    <w:bookmarkEnd w:id="70"/>
    <w:p>
      <w:pPr>
        <w:jc w:val="both"/>
        <w:ind w:firstLine="1304"/>
        <w:spacing w:after="0" w:line="254" w:lineRule="auto"/>
        <w:tabs>
          <w:tab w:leader="none" w:pos="19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94" w:lineRule="exact"/>
        <w:rPr>
          <w:rFonts w:ascii="Arial" w:cs="Arial" w:eastAsia="Arial" w:hAnsi="Arial"/>
          <w:sz w:val="18"/>
          <w:szCs w:val="18"/>
          <w:color w:val="auto"/>
        </w:rPr>
      </w:pPr>
    </w:p>
    <w:p>
      <w:pPr>
        <w:ind w:right="20" w:firstLine="1304"/>
        <w:spacing w:after="0" w:line="277" w:lineRule="auto"/>
        <w:tabs>
          <w:tab w:leader="none" w:pos="19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7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Modification</w:t>
      </w:r>
      <w:r>
        <w:rPr>
          <w:rFonts w:ascii="Arial" w:cs="Arial" w:eastAsia="Arial" w:hAnsi="Arial"/>
          <w:sz w:val="16"/>
          <w:szCs w:val="16"/>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296"/>
        <w:spacing w:after="0" w:line="271"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Execution of Supplemental Indenture for Future Subsidiary Guarantors</w:t>
      </w:r>
      <w:r>
        <w:rPr>
          <w:rFonts w:ascii="Arial" w:cs="Arial" w:eastAsia="Arial" w:hAnsi="Arial"/>
          <w:sz w:val="17"/>
          <w:szCs w:val="17"/>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84" w:lineRule="exact"/>
        <w:rPr>
          <w:sz w:val="20"/>
          <w:szCs w:val="20"/>
          <w:color w:val="auto"/>
        </w:rPr>
      </w:pPr>
    </w:p>
    <w:p>
      <w:pPr>
        <w:jc w:val="both"/>
        <w:ind w:firstLine="1304"/>
        <w:spacing w:after="0" w:line="263" w:lineRule="auto"/>
        <w:tabs>
          <w:tab w:leader="none" w:pos="20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83" w:lineRule="exact"/>
        <w:rPr>
          <w:rFonts w:ascii="Arial" w:cs="Arial" w:eastAsia="Arial" w:hAnsi="Arial"/>
          <w:sz w:val="18"/>
          <w:szCs w:val="18"/>
          <w:color w:val="auto"/>
        </w:rPr>
      </w:pPr>
    </w:p>
    <w:p>
      <w:pPr>
        <w:ind w:left="2020" w:hanging="716"/>
        <w:spacing w:after="0"/>
        <w:tabs>
          <w:tab w:leader="none" w:pos="2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any sale or other disposition of all of the Equity Interests of a Subsidiary Guarantor, to any Person that is not an Affiliate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either of the Issuers; or</w:t>
      </w:r>
    </w:p>
    <w:p>
      <w:pPr>
        <w:spacing w:after="0" w:line="210" w:lineRule="exact"/>
        <w:rPr>
          <w:rFonts w:ascii="Arial" w:cs="Arial" w:eastAsia="Arial" w:hAnsi="Arial"/>
          <w:sz w:val="16"/>
          <w:szCs w:val="16"/>
          <w:color w:val="auto"/>
        </w:rPr>
      </w:pPr>
    </w:p>
    <w:p>
      <w:pPr>
        <w:ind w:firstLine="1304"/>
        <w:spacing w:after="0" w:line="277" w:lineRule="auto"/>
        <w:tabs>
          <w:tab w:leader="none" w:pos="19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Additional Amendments</w:t>
      </w:r>
      <w:r>
        <w:rPr>
          <w:rFonts w:ascii="Arial" w:cs="Arial" w:eastAsia="Arial" w:hAnsi="Arial"/>
          <w:sz w:val="16"/>
          <w:szCs w:val="16"/>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spacing w:after="0" w:line="2" w:lineRule="exact"/>
        <w:rPr>
          <w:sz w:val="20"/>
          <w:szCs w:val="20"/>
          <w:color w:val="auto"/>
        </w:rPr>
      </w:pPr>
    </w:p>
    <w:p>
      <w:pPr>
        <w:ind w:firstLine="8"/>
        <w:spacing w:after="0" w:line="260" w:lineRule="auto"/>
        <w:tabs>
          <w:tab w:leader="none" w:pos="3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or (a)(vii)” of this Supplemental Indenture; and (D) “Article X” in the Original Indenture shall be deemed to be references to “Article VI” of this Supplemental Indenture.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1300"/>
        <w:spacing w:after="0"/>
        <w:tabs>
          <w:tab w:leader="none" w:pos="254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Integral Part</w:t>
      </w:r>
      <w:r>
        <w:rPr>
          <w:rFonts w:ascii="Arial" w:cs="Arial" w:eastAsia="Arial" w:hAnsi="Arial"/>
          <w:sz w:val="16"/>
          <w:szCs w:val="16"/>
          <w:color w:val="auto"/>
        </w:rPr>
        <w:t>. This Supplemental Indenture constitutes an integral part of the Indenture.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AND THE NOTES SHALL BE GOVERNED BY AND CONSTRUED IN ACCORDANCE WITH THE LAWS OF THE STATE OF NEW YORK.</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Recitals; Trustee Makes No Representation; Trustee’s Rights and Duties</w:t>
      </w:r>
      <w:r>
        <w:rPr>
          <w:rFonts w:ascii="Arial" w:cs="Arial" w:eastAsia="Arial" w:hAnsi="Arial"/>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left="3960"/>
        <w:spacing w:after="0"/>
        <w:rPr>
          <w:sz w:val="20"/>
          <w:szCs w:val="20"/>
          <w:color w:val="auto"/>
        </w:rPr>
      </w:pPr>
      <w:r>
        <w:rPr>
          <w:rFonts w:ascii="Arial" w:cs="Arial" w:eastAsia="Arial" w:hAnsi="Arial"/>
          <w:sz w:val="18"/>
          <w:szCs w:val="18"/>
          <w:color w:val="auto"/>
        </w:rPr>
        <w:t>SIGNATURES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PAA GP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its General Partner</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Plains AAP, L.P.</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Sole Member</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Plains All American GP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648"/>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PAA FINANCE CORP.</w:t>
      </w:r>
    </w:p>
    <w:p>
      <w:pPr>
        <w:spacing w:after="0" w:line="200" w:lineRule="exact"/>
        <w:rPr>
          <w:sz w:val="20"/>
          <w:szCs w:val="20"/>
          <w:color w:val="auto"/>
        </w:rPr>
      </w:pPr>
    </w:p>
    <w:p>
      <w:pPr>
        <w:spacing w:after="0" w:line="24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Sharon Spurlin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Treasurer</w:t>
      </w:r>
    </w:p>
    <w:p>
      <w:pPr>
        <w:spacing w:after="0" w:line="211"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Signature Page to Thirty-First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4" w:name="page75"/>
    <w:bookmarkEnd w:id="74"/>
    <w:p>
      <w:pPr>
        <w:ind w:left="4520"/>
        <w:spacing w:after="0"/>
        <w:rPr>
          <w:sz w:val="20"/>
          <w:szCs w:val="20"/>
          <w:color w:val="auto"/>
        </w:rPr>
      </w:pPr>
      <w:r>
        <w:rPr>
          <w:rFonts w:ascii="Arial" w:cs="Arial" w:eastAsia="Arial" w:hAnsi="Arial"/>
          <w:sz w:val="18"/>
          <w:szCs w:val="18"/>
          <w:b w:val="1"/>
          <w:bCs w:val="1"/>
          <w:u w:val="single" w:color="auto"/>
          <w:color w:val="auto"/>
        </w:rPr>
        <w:t>TRUSTEE</w:t>
      </w:r>
      <w:r>
        <w:rPr>
          <w:rFonts w:ascii="Arial" w:cs="Arial" w:eastAsia="Arial" w:hAnsi="Arial"/>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Alejandro Hoyos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Thirty-First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EXHIBIT A</w:t>
            </w:r>
          </w:p>
        </w:tc>
      </w:tr>
      <w:tr>
        <w:trPr>
          <w:trHeight w:val="453"/>
        </w:trPr>
        <w:tc>
          <w:tcPr>
            <w:tcW w:w="2820" w:type="dxa"/>
            <w:vAlign w:val="bottom"/>
          </w:tcPr>
          <w:p>
            <w:pPr>
              <w:spacing w:after="0"/>
              <w:rPr>
                <w:sz w:val="24"/>
                <w:szCs w:val="24"/>
                <w:color w:val="auto"/>
              </w:rPr>
            </w:pPr>
          </w:p>
        </w:tc>
        <w:tc>
          <w:tcPr>
            <w:tcW w:w="8420" w:type="dxa"/>
            <w:vAlign w:val="bottom"/>
            <w:gridSpan w:val="3"/>
          </w:tcPr>
          <w:p>
            <w:pPr>
              <w:jc w:val="center"/>
              <w:ind w:right="2730"/>
              <w:spacing w:after="0"/>
              <w:rPr>
                <w:sz w:val="20"/>
                <w:szCs w:val="20"/>
                <w:color w:val="auto"/>
              </w:rPr>
            </w:pPr>
            <w:r>
              <w:rPr>
                <w:rFonts w:ascii="Arial" w:cs="Arial" w:eastAsia="Arial" w:hAnsi="Arial"/>
                <w:sz w:val="18"/>
                <w:szCs w:val="18"/>
                <w:color w:val="auto"/>
                <w:w w:val="92"/>
              </w:rPr>
              <w:t>(Form of Face of Note)</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CUSIP 72650R BN1</w:t>
            </w: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No. __</w:t>
            </w:r>
          </w:p>
        </w:tc>
      </w:tr>
      <w:tr>
        <w:trPr>
          <w:trHeight w:val="392"/>
        </w:trPr>
        <w:tc>
          <w:tcPr>
            <w:tcW w:w="2820" w:type="dxa"/>
            <w:vAlign w:val="bottom"/>
          </w:tcPr>
          <w:p>
            <w:pPr>
              <w:spacing w:after="0"/>
              <w:rPr>
                <w:sz w:val="20"/>
                <w:szCs w:val="20"/>
                <w:color w:val="auto"/>
              </w:rPr>
            </w:pPr>
            <w:r>
              <w:rPr>
                <w:rFonts w:ascii="Arial" w:cs="Arial" w:eastAsia="Arial" w:hAnsi="Arial"/>
                <w:sz w:val="18"/>
                <w:szCs w:val="18"/>
                <w:color w:val="auto"/>
              </w:rPr>
              <w:t>ISIN US72650RBN17</w:t>
            </w:r>
          </w:p>
        </w:tc>
        <w:tc>
          <w:tcPr>
            <w:tcW w:w="8420" w:type="dxa"/>
            <w:vAlign w:val="bottom"/>
            <w:gridSpan w:val="3"/>
          </w:tcPr>
          <w:p>
            <w:pPr>
              <w:jc w:val="right"/>
              <w:spacing w:after="0"/>
              <w:rPr>
                <w:sz w:val="20"/>
                <w:szCs w:val="20"/>
                <w:color w:val="auto"/>
              </w:rPr>
            </w:pPr>
            <w:r>
              <w:rPr>
                <w:rFonts w:ascii="Arial" w:cs="Arial" w:eastAsia="Arial" w:hAnsi="Arial"/>
                <w:sz w:val="18"/>
                <w:szCs w:val="18"/>
                <w:color w:val="auto"/>
              </w:rPr>
              <w:t>$__________</w:t>
            </w:r>
          </w:p>
        </w:tc>
      </w:tr>
      <w:tr>
        <w:trPr>
          <w:trHeight w:val="438"/>
        </w:trPr>
        <w:tc>
          <w:tcPr>
            <w:tcW w:w="2820" w:type="dxa"/>
            <w:vAlign w:val="bottom"/>
          </w:tcPr>
          <w:p>
            <w:pPr>
              <w:spacing w:after="0"/>
              <w:rPr>
                <w:sz w:val="24"/>
                <w:szCs w:val="24"/>
                <w:color w:val="auto"/>
              </w:rPr>
            </w:pPr>
          </w:p>
        </w:tc>
        <w:tc>
          <w:tcPr>
            <w:tcW w:w="7520" w:type="dxa"/>
            <w:vAlign w:val="bottom"/>
          </w:tcPr>
          <w:p>
            <w:pPr>
              <w:jc w:val="center"/>
              <w:ind w:right="1810"/>
              <w:spacing w:after="0"/>
              <w:rPr>
                <w:sz w:val="20"/>
                <w:szCs w:val="20"/>
                <w:color w:val="auto"/>
              </w:rPr>
            </w:pPr>
            <w:r>
              <w:rPr>
                <w:rFonts w:ascii="Arial" w:cs="Arial" w:eastAsia="Arial" w:hAnsi="Arial"/>
                <w:sz w:val="18"/>
                <w:szCs w:val="18"/>
                <w:color w:val="auto"/>
                <w:w w:val="97"/>
              </w:rPr>
              <w:t>PLAINS ALL AMERICAN PIPELINE, L.P.</w:t>
            </w:r>
          </w:p>
        </w:tc>
        <w:tc>
          <w:tcPr>
            <w:tcW w:w="900" w:type="dxa"/>
            <w:vAlign w:val="bottom"/>
            <w:tcBorders>
              <w:top w:val="single" w:sz="8" w:color="auto"/>
            </w:tcBorders>
            <w:gridSpan w:val="2"/>
          </w:tcPr>
          <w:p>
            <w:pPr>
              <w:spacing w:after="0"/>
              <w:rPr>
                <w:sz w:val="24"/>
                <w:szCs w:val="24"/>
                <w:color w:val="auto"/>
              </w:rPr>
            </w:pPr>
          </w:p>
        </w:tc>
      </w:tr>
      <w:tr>
        <w:trPr>
          <w:trHeight w:val="230"/>
        </w:trPr>
        <w:tc>
          <w:tcPr>
            <w:tcW w:w="2820" w:type="dxa"/>
            <w:vAlign w:val="bottom"/>
          </w:tcPr>
          <w:p>
            <w:pPr>
              <w:spacing w:after="0"/>
              <w:rPr>
                <w:sz w:val="20"/>
                <w:szCs w:val="20"/>
                <w:color w:val="auto"/>
              </w:rPr>
            </w:pPr>
          </w:p>
        </w:tc>
        <w:tc>
          <w:tcPr>
            <w:tcW w:w="8420" w:type="dxa"/>
            <w:vAlign w:val="bottom"/>
            <w:gridSpan w:val="3"/>
          </w:tcPr>
          <w:p>
            <w:pPr>
              <w:jc w:val="center"/>
              <w:ind w:right="2710"/>
              <w:spacing w:after="0"/>
              <w:rPr>
                <w:sz w:val="20"/>
                <w:szCs w:val="20"/>
                <w:color w:val="auto"/>
              </w:rPr>
            </w:pPr>
            <w:r>
              <w:rPr>
                <w:rFonts w:ascii="Arial" w:cs="Arial" w:eastAsia="Arial" w:hAnsi="Arial"/>
                <w:sz w:val="18"/>
                <w:szCs w:val="18"/>
                <w:color w:val="auto"/>
                <w:w w:val="93"/>
              </w:rPr>
              <w:t>PAA FINANCE CORP.</w:t>
            </w:r>
          </w:p>
        </w:tc>
      </w:tr>
      <w:tr>
        <w:trPr>
          <w:trHeight w:val="432"/>
        </w:trPr>
        <w:tc>
          <w:tcPr>
            <w:tcW w:w="2820" w:type="dxa"/>
            <w:vAlign w:val="bottom"/>
          </w:tcPr>
          <w:p>
            <w:pPr>
              <w:spacing w:after="0"/>
              <w:rPr>
                <w:sz w:val="24"/>
                <w:szCs w:val="24"/>
                <w:color w:val="auto"/>
              </w:rPr>
            </w:pPr>
          </w:p>
        </w:tc>
        <w:tc>
          <w:tcPr>
            <w:tcW w:w="8420" w:type="dxa"/>
            <w:vAlign w:val="bottom"/>
            <w:gridSpan w:val="3"/>
          </w:tcPr>
          <w:p>
            <w:pPr>
              <w:jc w:val="center"/>
              <w:ind w:right="2730"/>
              <w:spacing w:after="0"/>
              <w:rPr>
                <w:sz w:val="20"/>
                <w:szCs w:val="20"/>
                <w:color w:val="auto"/>
              </w:rPr>
            </w:pPr>
            <w:r>
              <w:rPr>
                <w:rFonts w:ascii="Arial" w:cs="Arial" w:eastAsia="Arial" w:hAnsi="Arial"/>
                <w:sz w:val="18"/>
                <w:szCs w:val="18"/>
                <w:color w:val="auto"/>
                <w:w w:val="89"/>
              </w:rPr>
              <w:t>3.800% Senior Notes due 2030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 or registered assigns, the principal sum of _______________ Dollars [or such greater or lesser amount as may be endorsed on the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attached hereto]</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on September 15, 2030.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18"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182"/>
        </w:trPr>
        <w:tc>
          <w:tcPr>
            <w:tcW w:w="420" w:type="dxa"/>
            <w:vAlign w:val="bottom"/>
          </w:tcPr>
          <w:p>
            <w:pPr>
              <w:spacing w:after="0"/>
              <w:rPr>
                <w:sz w:val="15"/>
                <w:szCs w:val="15"/>
                <w:color w:val="auto"/>
              </w:rPr>
            </w:pPr>
          </w:p>
        </w:tc>
        <w:tc>
          <w:tcPr>
            <w:tcW w:w="51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Name:</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1783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7" w:lineRule="exact"/>
        <w:rPr>
          <w:sz w:val="20"/>
          <w:szCs w:val="20"/>
          <w:color w:val="auto"/>
        </w:rPr>
      </w:pPr>
    </w:p>
    <w:p>
      <w:pPr>
        <w:ind w:left="120" w:hanging="112"/>
        <w:spacing w:after="0"/>
        <w:tabs>
          <w:tab w:leader="none" w:pos="120" w:val="left"/>
        </w:tabs>
        <w:numPr>
          <w:ilvl w:val="0"/>
          <w:numId w:val="78"/>
        </w:numPr>
        <w:rPr>
          <w:rFonts w:ascii="Arial" w:cs="Arial" w:eastAsia="Arial" w:hAnsi="Arial"/>
          <w:sz w:val="30"/>
          <w:szCs w:val="30"/>
          <w:color w:val="auto"/>
          <w:vertAlign w:val="superscript"/>
        </w:rPr>
      </w:pPr>
      <w:r>
        <w:rPr>
          <w:rFonts w:ascii="Arial" w:cs="Arial" w:eastAsia="Arial" w:hAnsi="Arial"/>
          <w:sz w:val="18"/>
          <w:szCs w:val="18"/>
          <w:color w:val="auto"/>
        </w:rPr>
        <w:t>To be included only if the Note is issued in global form.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3.800% Senior Notes due 2030</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29"/>
          <w:szCs w:val="29"/>
          <w:color w:val="auto"/>
          <w:vertAlign w:val="superscript"/>
        </w:rPr>
        <w:t>2</w:t>
      </w:r>
    </w:p>
    <w:p>
      <w:pPr>
        <w:spacing w:after="0" w:line="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jc w:val="both"/>
        <w:ind w:firstLine="1304"/>
        <w:spacing w:after="0" w:line="253" w:lineRule="auto"/>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3.800% per annum from June 11, 2020 until maturity. The Issuers shall pay interest semi-annually on March 15 and September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September 15, 2020.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94" w:lineRule="exact"/>
        <w:rPr>
          <w:rFonts w:ascii="Arial" w:cs="Arial" w:eastAsia="Arial" w:hAnsi="Arial"/>
          <w:sz w:val="18"/>
          <w:szCs w:val="18"/>
          <w:color w:val="auto"/>
        </w:rPr>
      </w:pPr>
    </w:p>
    <w:p>
      <w:pPr>
        <w:jc w:val="both"/>
        <w:ind w:firstLine="1304"/>
        <w:spacing w:after="0" w:line="288" w:lineRule="auto"/>
        <w:tabs>
          <w:tab w:leader="none" w:pos="209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xml:space="preserve">. The Issuers shall pay interest on the Notes (except defaulted interest) to the Persons who are registered Holders of Notes at the close of business on the March 1 or September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830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1" w:lineRule="exact"/>
        <w:rPr>
          <w:sz w:val="20"/>
          <w:szCs w:val="20"/>
          <w:color w:val="auto"/>
        </w:rPr>
      </w:pPr>
    </w:p>
    <w:p>
      <w:pPr>
        <w:ind w:left="120" w:hanging="112"/>
        <w:spacing w:after="0"/>
        <w:tabs>
          <w:tab w:leader="none" w:pos="120" w:val="left"/>
        </w:tabs>
        <w:numPr>
          <w:ilvl w:val="0"/>
          <w:numId w:val="80"/>
        </w:numPr>
        <w:rPr>
          <w:rFonts w:ascii="Arial" w:cs="Arial" w:eastAsia="Arial" w:hAnsi="Arial"/>
          <w:sz w:val="30"/>
          <w:szCs w:val="30"/>
          <w:color w:val="auto"/>
          <w:vertAlign w:val="superscript"/>
        </w:rPr>
      </w:pPr>
      <w:r>
        <w:rPr>
          <w:rFonts w:ascii="Arial" w:cs="Arial" w:eastAsia="Arial" w:hAnsi="Arial"/>
          <w:sz w:val="18"/>
          <w:szCs w:val="18"/>
          <w:color w:val="auto"/>
        </w:rPr>
        <w:t>To be included only if the Note is issued in global form.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1304"/>
        <w:spacing w:after="0" w:line="263" w:lineRule="auto"/>
        <w:tabs>
          <w:tab w:leader="none" w:pos="198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83" w:lineRule="exact"/>
        <w:rPr>
          <w:rFonts w:ascii="Arial" w:cs="Arial" w:eastAsia="Arial" w:hAnsi="Arial"/>
          <w:sz w:val="18"/>
          <w:szCs w:val="18"/>
          <w:color w:val="auto"/>
        </w:rPr>
      </w:pPr>
    </w:p>
    <w:p>
      <w:pPr>
        <w:jc w:val="both"/>
        <w:ind w:firstLine="1304"/>
        <w:spacing w:after="0" w:line="268" w:lineRule="auto"/>
        <w:tabs>
          <w:tab w:leader="none" w:pos="2187"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Issuers issued the Notes under an Indenture dated as of September 25, 2002 (the “Original Indenture”), as supplemented by the Thirty-Second Supplemental Indenture dated as of June 11, 2020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84" w:lineRule="exact"/>
        <w:rPr>
          <w:rFonts w:ascii="Arial" w:cs="Arial" w:eastAsia="Arial" w:hAnsi="Arial"/>
          <w:sz w:val="17"/>
          <w:szCs w:val="17"/>
          <w:color w:val="auto"/>
        </w:rPr>
      </w:pPr>
    </w:p>
    <w:p>
      <w:pPr>
        <w:ind w:left="1980" w:hanging="676"/>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2100" w:hanging="796"/>
        <w:spacing w:after="0"/>
        <w:tabs>
          <w:tab w:leader="none" w:pos="21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jc w:val="both"/>
        <w:ind w:firstLine="1304"/>
        <w:spacing w:after="0" w:line="254" w:lineRule="auto"/>
        <w:tabs>
          <w:tab w:leader="none" w:pos="21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redeem the Notes before the Par Call Date,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redeemed that would have been due if the Notes matured on the Par Call Date (not including any portion of those payments of interest accrued as of the date of redemption) discounted to the date of redemption on a semi-annual basis (assuming a 360-day year consisting of twelve 30-day months) at the Adjusted Treasury Rate (as defined below) plus 45 basis points, plus, in either case, accrued and unpaid interest to the date of redemption (subject to the right of Holders on the relevant record date to receive interest due on the relevant interest payment date).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304"/>
        <w:spacing w:after="0" w:line="263" w:lineRule="auto"/>
        <w:tabs>
          <w:tab w:leader="none" w:pos="2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 Call Date” means June 15, 2030 (three months prior to the maturity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“Quotation Agent” means a Primary Treasury Dealer (as defined below) appointed by the Issuers.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“Reference Treasury Dealer” means J.P. Morgan Securities LLC, Barclays Capital Inc., BofA Securities, Inc. and RBC Capital Markets, LLC or their respective successors and affiliates; provided, however, if any of the foregoing shall cease to be a primary U.S. Government securities dealer in the United States (a “Primary Treasury Dealer”), the Issuers shall substitute therefor another Primary Treasury Dealer.</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left="-20" w:firstLine="1304"/>
        <w:spacing w:after="0" w:line="290" w:lineRule="auto"/>
        <w:tabs>
          <w:tab w:leader="none" w:pos="2086"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Notice of Redemption; Selection of Notes</w:t>
      </w:r>
      <w:r>
        <w:rPr>
          <w:rFonts w:ascii="Arial" w:cs="Arial" w:eastAsia="Arial" w:hAnsi="Arial"/>
          <w:sz w:val="16"/>
          <w:szCs w:val="16"/>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65" w:lineRule="exact"/>
        <w:rPr>
          <w:rFonts w:ascii="Arial" w:cs="Arial" w:eastAsia="Arial" w:hAnsi="Arial"/>
          <w:sz w:val="16"/>
          <w:szCs w:val="16"/>
          <w:color w:val="auto"/>
        </w:rPr>
      </w:pPr>
    </w:p>
    <w:p>
      <w:pPr>
        <w:jc w:val="both"/>
        <w:ind w:left="-20" w:firstLine="1304"/>
        <w:spacing w:after="0" w:line="272" w:lineRule="auto"/>
        <w:tabs>
          <w:tab w:leader="none" w:pos="204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77" w:lineRule="exact"/>
        <w:rPr>
          <w:rFonts w:ascii="Arial" w:cs="Arial" w:eastAsia="Arial" w:hAnsi="Arial"/>
          <w:sz w:val="17"/>
          <w:szCs w:val="17"/>
          <w:color w:val="auto"/>
        </w:rPr>
      </w:pPr>
    </w:p>
    <w:p>
      <w:pPr>
        <w:ind w:left="1960" w:hanging="676"/>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225" w:lineRule="exact"/>
        <w:rPr>
          <w:rFonts w:ascii="Arial" w:cs="Arial" w:eastAsia="Arial" w:hAnsi="Arial"/>
          <w:sz w:val="18"/>
          <w:szCs w:val="18"/>
          <w:color w:val="auto"/>
        </w:rPr>
      </w:pPr>
    </w:p>
    <w:p>
      <w:pPr>
        <w:jc w:val="both"/>
        <w:ind w:left="-20" w:firstLine="1304"/>
        <w:spacing w:after="0" w:line="275" w:lineRule="auto"/>
        <w:tabs>
          <w:tab w:leader="none" w:pos="235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Amendment, Supplement and Waiver</w:t>
      </w:r>
      <w:r>
        <w:rPr>
          <w:rFonts w:ascii="Arial" w:cs="Arial" w:eastAsia="Arial" w:hAnsi="Arial"/>
          <w:sz w:val="17"/>
          <w:szCs w:val="17"/>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0" w:name="page81"/>
    <w:bookmarkEnd w:id="80"/>
    <w:p>
      <w:pPr>
        <w:jc w:val="both"/>
        <w:ind w:left="-8" w:firstLine="1304"/>
        <w:spacing w:after="0" w:line="291" w:lineRule="auto"/>
        <w:tabs>
          <w:tab w:leader="none" w:pos="2053"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Events of Default with respect to the Notes include: (i) default for 60 days in the payment when due of interest on the Notes; (ii) default in payment when due of principal of or premium, if any, on the Notes at maturity, upon redemption or otherwise,</w:t>
      </w:r>
    </w:p>
    <w:p>
      <w:pPr>
        <w:jc w:val="both"/>
        <w:ind w:left="-8" w:firstLine="8"/>
        <w:spacing w:after="0" w:line="281" w:lineRule="auto"/>
        <w:tabs>
          <w:tab w:leader="none" w:pos="319"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failure by an Issuer or any Subsidiary Guarantor for 90 days after notice to comply with any of the other agreements in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need not be given, and an Event of Default shall occur, 90 days after any breach of the provisions of Section 6.01 of the Supplemental Indenture);</w:t>
      </w:r>
    </w:p>
    <w:p>
      <w:pPr>
        <w:spacing w:after="0" w:line="1" w:lineRule="exact"/>
        <w:rPr>
          <w:rFonts w:ascii="Arial" w:cs="Arial" w:eastAsia="Arial" w:hAnsi="Arial"/>
          <w:sz w:val="16"/>
          <w:szCs w:val="16"/>
          <w:color w:val="auto"/>
        </w:rPr>
      </w:pPr>
    </w:p>
    <w:p>
      <w:pPr>
        <w:jc w:val="both"/>
        <w:ind w:left="-8" w:firstLine="8"/>
        <w:spacing w:after="0" w:line="266" w:lineRule="auto"/>
        <w:tabs>
          <w:tab w:leader="none" w:pos="305"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81" w:name="page82"/>
    <w:bookmarkEnd w:id="81"/>
    <w:p>
      <w:pPr>
        <w:ind w:right="20" w:firstLine="1304"/>
        <w:spacing w:after="0" w:line="308" w:lineRule="auto"/>
        <w:tabs>
          <w:tab w:leader="none" w:pos="214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Trustee Dealings with Issuers</w:t>
      </w:r>
      <w:r>
        <w:rPr>
          <w:rFonts w:ascii="Arial" w:cs="Arial" w:eastAsia="Arial" w:hAnsi="Arial"/>
          <w:sz w:val="17"/>
          <w:szCs w:val="17"/>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46" w:lineRule="exact"/>
        <w:rPr>
          <w:rFonts w:ascii="Arial" w:cs="Arial" w:eastAsia="Arial" w:hAnsi="Arial"/>
          <w:sz w:val="17"/>
          <w:szCs w:val="17"/>
          <w:color w:val="auto"/>
        </w:rPr>
      </w:pPr>
    </w:p>
    <w:p>
      <w:pPr>
        <w:jc w:val="both"/>
        <w:ind w:firstLine="1304"/>
        <w:spacing w:after="0" w:line="279" w:lineRule="auto"/>
        <w:tabs>
          <w:tab w:leader="none" w:pos="2169"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Recourse Against Others</w:t>
      </w:r>
      <w:r>
        <w:rPr>
          <w:rFonts w:ascii="Arial" w:cs="Arial" w:eastAsia="Arial" w:hAnsi="Arial"/>
          <w:sz w:val="17"/>
          <w:szCs w:val="17"/>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71" w:lineRule="exact"/>
        <w:rPr>
          <w:rFonts w:ascii="Arial" w:cs="Arial" w:eastAsia="Arial" w:hAnsi="Arial"/>
          <w:sz w:val="17"/>
          <w:szCs w:val="17"/>
          <w:color w:val="auto"/>
        </w:rPr>
      </w:pPr>
    </w:p>
    <w:p>
      <w:pPr>
        <w:ind w:left="2200" w:hanging="896"/>
        <w:spacing w:after="0"/>
        <w:tabs>
          <w:tab w:leader="none" w:pos="220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Authentication</w:t>
      </w:r>
      <w:r>
        <w:rPr>
          <w:rFonts w:ascii="Arial" w:cs="Arial" w:eastAsia="Arial" w:hAnsi="Arial"/>
          <w:sz w:val="16"/>
          <w:szCs w:val="16"/>
          <w:color w:val="auto"/>
        </w:rPr>
        <w:t>. This Note shall not be valid until authenticated by the manual signature of the Trustee or an authenticating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211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211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Issuers shall furnish to any Holder upon written request and without charge a copy of the Indenture. Requests may be made 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494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 _________________________________________________________________________________ agent to transfer this Note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books of the Issuers. The agent may substitute another to act for him.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Date: _____________</w:t>
            </w:r>
          </w:p>
        </w:tc>
        <w:tc>
          <w:tcPr>
            <w:tcW w:w="458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1940" w:type="dxa"/>
            <w:vAlign w:val="bottom"/>
          </w:tcPr>
          <w:p>
            <w:pPr>
              <w:spacing w:after="0"/>
              <w:rPr>
                <w:sz w:val="24"/>
                <w:szCs w:val="24"/>
                <w:color w:val="auto"/>
              </w:rPr>
            </w:pPr>
          </w:p>
        </w:tc>
        <w:tc>
          <w:tcPr>
            <w:tcW w:w="9300" w:type="dxa"/>
            <w:vAlign w:val="bottom"/>
            <w:gridSpan w:val="2"/>
          </w:tcPr>
          <w:p>
            <w:pPr>
              <w:ind w:left="3140"/>
              <w:spacing w:after="0"/>
              <w:rPr>
                <w:sz w:val="20"/>
                <w:szCs w:val="20"/>
                <w:color w:val="auto"/>
              </w:rPr>
            </w:pPr>
            <w:r>
              <w:rPr>
                <w:rFonts w:ascii="Arial" w:cs="Arial" w:eastAsia="Arial" w:hAnsi="Arial"/>
                <w:sz w:val="18"/>
                <w:szCs w:val="18"/>
                <w:color w:val="auto"/>
              </w:rPr>
              <w:t>Your Signature:</w:t>
            </w:r>
          </w:p>
        </w:tc>
      </w:tr>
      <w:tr>
        <w:trPr>
          <w:trHeight w:val="224"/>
        </w:trPr>
        <w:tc>
          <w:tcPr>
            <w:tcW w:w="1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(Sign exactly as your name appears on the face of this Note)</w:t>
            </w:r>
          </w:p>
        </w:tc>
      </w:tr>
      <w:tr>
        <w:trPr>
          <w:trHeight w:val="403"/>
        </w:trPr>
        <w:tc>
          <w:tcPr>
            <w:tcW w:w="1940" w:type="dxa"/>
            <w:vAlign w:val="bottom"/>
          </w:tcPr>
          <w:p>
            <w:pPr>
              <w:spacing w:after="0"/>
              <w:rPr>
                <w:sz w:val="20"/>
                <w:szCs w:val="20"/>
                <w:color w:val="auto"/>
              </w:rPr>
            </w:pPr>
            <w:r>
              <w:rPr>
                <w:rFonts w:ascii="Arial" w:cs="Arial" w:eastAsia="Arial" w:hAnsi="Arial"/>
                <w:sz w:val="18"/>
                <w:szCs w:val="18"/>
                <w:color w:val="auto"/>
              </w:rPr>
              <w:t>Signature Guarantee:</w:t>
            </w:r>
          </w:p>
        </w:tc>
        <w:tc>
          <w:tcPr>
            <w:tcW w:w="9300" w:type="dxa"/>
            <w:vAlign w:val="bottom"/>
            <w:gridSpan w:val="2"/>
          </w:tcPr>
          <w:p>
            <w:pPr>
              <w:ind w:left="320"/>
              <w:spacing w:after="0"/>
              <w:rPr>
                <w:sz w:val="20"/>
                <w:szCs w:val="20"/>
                <w:color w:val="auto"/>
              </w:rPr>
            </w:pPr>
            <w:r>
              <w:rPr>
                <w:rFonts w:ascii="Arial" w:cs="Arial" w:eastAsia="Arial" w:hAnsi="Arial"/>
                <w:sz w:val="18"/>
                <w:szCs w:val="18"/>
                <w:color w:val="auto"/>
                <w:w w:val="97"/>
              </w:rPr>
              <w:t>(Signature must be guaranteed by a financial institution that is a member of the Securities Transfer Agent Medallion</w:t>
            </w:r>
          </w:p>
        </w:tc>
      </w:tr>
      <w:tr>
        <w:trPr>
          <w:trHeight w:val="216"/>
        </w:trPr>
        <w:tc>
          <w:tcPr>
            <w:tcW w:w="1940" w:type="dxa"/>
            <w:vAlign w:val="bottom"/>
          </w:tcPr>
          <w:p>
            <w:pPr>
              <w:spacing w:after="0"/>
              <w:rPr>
                <w:sz w:val="18"/>
                <w:szCs w:val="18"/>
                <w:color w:val="auto"/>
              </w:rPr>
            </w:pPr>
          </w:p>
        </w:tc>
        <w:tc>
          <w:tcPr>
            <w:tcW w:w="9300" w:type="dxa"/>
            <w:vAlign w:val="bottom"/>
            <w:gridSpan w:val="2"/>
          </w:tcPr>
          <w:p>
            <w:pPr>
              <w:ind w:left="320"/>
              <w:spacing w:after="0"/>
              <w:rPr>
                <w:sz w:val="20"/>
                <w:szCs w:val="20"/>
                <w:color w:val="auto"/>
              </w:rPr>
            </w:pPr>
            <w:r>
              <w:rPr>
                <w:rFonts w:ascii="Arial" w:cs="Arial" w:eastAsia="Arial" w:hAnsi="Arial"/>
                <w:sz w:val="18"/>
                <w:szCs w:val="18"/>
                <w:color w:val="auto"/>
                <w:w w:val="95"/>
              </w:rPr>
              <w:t>Program (“STAMP”), the Stock Exchange Medallion Program (“SEMP”), the New York Stock Exchange, Inc. Medallion</w:t>
            </w:r>
          </w:p>
        </w:tc>
      </w:tr>
      <w:tr>
        <w:trPr>
          <w:trHeight w:val="216"/>
        </w:trPr>
        <w:tc>
          <w:tcPr>
            <w:tcW w:w="1940" w:type="dxa"/>
            <w:vAlign w:val="bottom"/>
          </w:tcPr>
          <w:p>
            <w:pPr>
              <w:spacing w:after="0"/>
              <w:rPr>
                <w:sz w:val="18"/>
                <w:szCs w:val="18"/>
                <w:color w:val="auto"/>
              </w:rPr>
            </w:pPr>
          </w:p>
        </w:tc>
        <w:tc>
          <w:tcPr>
            <w:tcW w:w="9300" w:type="dxa"/>
            <w:vAlign w:val="bottom"/>
            <w:gridSpan w:val="2"/>
          </w:tcPr>
          <w:p>
            <w:pPr>
              <w:ind w:left="320"/>
              <w:spacing w:after="0"/>
              <w:rPr>
                <w:sz w:val="20"/>
                <w:szCs w:val="20"/>
                <w:color w:val="auto"/>
              </w:rPr>
            </w:pPr>
            <w:r>
              <w:rPr>
                <w:rFonts w:ascii="Arial" w:cs="Arial" w:eastAsia="Arial" w:hAnsi="Arial"/>
                <w:sz w:val="18"/>
                <w:szCs w:val="18"/>
                <w:color w:val="auto"/>
                <w:w w:val="92"/>
              </w:rPr>
              <w:t>Signature Program (“MSP”) or such other signature guarantee program as may be determined by the Registrar in addition</w:t>
            </w:r>
          </w:p>
        </w:tc>
      </w:tr>
      <w:tr>
        <w:trPr>
          <w:trHeight w:val="230"/>
        </w:trPr>
        <w:tc>
          <w:tcPr>
            <w:tcW w:w="1940" w:type="dxa"/>
            <w:vAlign w:val="bottom"/>
          </w:tcPr>
          <w:p>
            <w:pPr>
              <w:spacing w:after="0"/>
              <w:rPr>
                <w:sz w:val="20"/>
                <w:szCs w:val="20"/>
                <w:color w:val="auto"/>
              </w:rPr>
            </w:pPr>
          </w:p>
        </w:tc>
        <w:tc>
          <w:tcPr>
            <w:tcW w:w="9300" w:type="dxa"/>
            <w:vAlign w:val="bottom"/>
            <w:gridSpan w:val="2"/>
          </w:tcPr>
          <w:p>
            <w:pPr>
              <w:ind w:left="320"/>
              <w:spacing w:after="0"/>
              <w:rPr>
                <w:sz w:val="20"/>
                <w:szCs w:val="20"/>
                <w:color w:val="auto"/>
              </w:rPr>
            </w:pPr>
            <w:r>
              <w:rPr>
                <w:rFonts w:ascii="Arial" w:cs="Arial" w:eastAsia="Arial" w:hAnsi="Arial"/>
                <w:sz w:val="18"/>
                <w:szCs w:val="18"/>
                <w:color w:val="auto"/>
                <w:w w:val="91"/>
              </w:rPr>
              <w:t>to, or in substitution for, STAMP, SEMP or MSP, all in accordance with the Securities Exchange Act of 1934, as amended.)</w:t>
            </w:r>
          </w:p>
        </w:tc>
      </w:tr>
      <w:tr>
        <w:trPr>
          <w:trHeight w:val="648"/>
        </w:trPr>
        <w:tc>
          <w:tcPr>
            <w:tcW w:w="194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gridSpan w:val="2"/>
          </w:tcPr>
          <w:p>
            <w:pPr>
              <w:ind w:left="3560"/>
              <w:spacing w:after="0"/>
              <w:rPr>
                <w:sz w:val="20"/>
                <w:szCs w:val="20"/>
                <w:color w:val="auto"/>
              </w:rPr>
            </w:pPr>
            <w:r>
              <w:rPr>
                <w:rFonts w:ascii="Arial" w:cs="Arial" w:eastAsia="Arial" w:hAnsi="Arial"/>
                <w:sz w:val="18"/>
                <w:szCs w:val="18"/>
                <w:color w:val="auto"/>
              </w:rPr>
              <w:t>A-8</w:t>
            </w:r>
          </w:p>
        </w:tc>
      </w:tr>
    </w:tbl>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SCHEDULE OF INCREASES OR DECREASES IN THE GLOBAL NOTE</w:t>
      </w:r>
      <w:r>
        <w:rPr>
          <w:rFonts w:ascii="Arial" w:cs="Arial" w:eastAsia="Arial" w:hAnsi="Arial"/>
          <w:sz w:val="29"/>
          <w:szCs w:val="29"/>
          <w:b w:val="1"/>
          <w:bCs w:val="1"/>
          <w:color w:val="auto"/>
          <w:vertAlign w:val="superscript"/>
        </w:rPr>
        <w:t>3</w:t>
      </w:r>
    </w:p>
    <w:p>
      <w:pPr>
        <w:spacing w:after="0" w:line="139" w:lineRule="exact"/>
        <w:rPr>
          <w:sz w:val="20"/>
          <w:szCs w:val="20"/>
          <w:color w:val="auto"/>
        </w:rPr>
      </w:pPr>
    </w:p>
    <w:p>
      <w:pPr>
        <w:ind w:left="1300"/>
        <w:spacing w:after="0"/>
        <w:tabs>
          <w:tab w:leader="none" w:pos="5700" w:val="left"/>
        </w:tabs>
        <w:rPr>
          <w:sz w:val="20"/>
          <w:szCs w:val="20"/>
          <w:color w:val="auto"/>
        </w:rPr>
      </w:pPr>
      <w:r>
        <w:rPr>
          <w:rFonts w:ascii="Arial" w:cs="Arial" w:eastAsia="Arial" w:hAnsi="Arial"/>
          <w:sz w:val="18"/>
          <w:szCs w:val="18"/>
          <w:color w:val="auto"/>
        </w:rPr>
        <w:t>The original principal amount of this Global Note is $</w:t>
      </w:r>
      <w:r>
        <w:rPr>
          <w:sz w:val="20"/>
          <w:szCs w:val="20"/>
          <w:color w:val="auto"/>
        </w:rPr>
        <w:tab/>
      </w:r>
      <w:r>
        <w:rPr>
          <w:rFonts w:ascii="Arial" w:cs="Arial" w:eastAsia="Arial" w:hAnsi="Arial"/>
          <w:sz w:val="16"/>
          <w:szCs w:val="16"/>
          <w:color w:val="auto"/>
        </w:rPr>
        <w:t>. The following increases or decreases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-10160</wp:posOffset>
            </wp:positionV>
            <wp:extent cx="3429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1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Amount of</w:t>
            </w: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Amount of</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21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decrease in</w:t>
            </w: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increase in</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this Global Note</w:t>
            </w:r>
          </w:p>
        </w:tc>
        <w:tc>
          <w:tcPr>
            <w:tcW w:w="21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authorized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Principal Amount</w:t>
            </w: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Principal Amount</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following such</w:t>
            </w:r>
          </w:p>
        </w:tc>
        <w:tc>
          <w:tcPr>
            <w:tcW w:w="21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signatory of</w:t>
            </w:r>
          </w:p>
        </w:tc>
      </w:tr>
      <w:tr>
        <w:trPr>
          <w:trHeight w:val="216"/>
        </w:trPr>
        <w:tc>
          <w:tcPr>
            <w:tcW w:w="2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Date of</w:t>
            </w: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2"/>
              </w:rPr>
              <w:t>of</w:t>
            </w:r>
          </w:p>
        </w:tc>
        <w:tc>
          <w:tcPr>
            <w:tcW w:w="22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2"/>
              </w:rPr>
              <w:t>of</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decrease</w:t>
            </w:r>
          </w:p>
        </w:tc>
        <w:tc>
          <w:tcPr>
            <w:tcW w:w="21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Trustee or Note</w:t>
            </w:r>
          </w:p>
        </w:tc>
      </w:tr>
      <w:tr>
        <w:trPr>
          <w:trHeight w:val="234"/>
        </w:trPr>
        <w:tc>
          <w:tcPr>
            <w:tcW w:w="2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6"/>
              </w:rPr>
              <w:t>Exchange</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this Global Note</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this Global Note</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(or increase)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1783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30"/>
          <w:szCs w:val="30"/>
          <w:color w:val="auto"/>
          <w:vertAlign w:val="superscript"/>
        </w:rPr>
      </w:pPr>
      <w:r>
        <w:rPr>
          <w:rFonts w:ascii="Arial" w:cs="Arial" w:eastAsia="Arial" w:hAnsi="Arial"/>
          <w:sz w:val="18"/>
          <w:szCs w:val="18"/>
          <w:color w:val="auto"/>
        </w:rPr>
        <w:t>To be included only if the Note is issued in global form.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SUPPLEMENTAL INDENTURE (this “Supplemental Indenture”), dated as of ___________________, among Plains All American</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(or its successor), a Delaware limited partnership (the “Partnership”), and U.S. Bank National Association, as trustee under the indenture referred to below (the “Trustee”).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Thirty-Second Supplemental Indenture (the “Thirty-Second Supplemental Indenture” and, together with the Original Indenture, the “Indenture”) dated as of June 11, 2020, among the Issuers and the Trustee, providing for the issuance of the Issuers’ 3.800% Senior Notes due 2030 (the “Notes”);</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WHEREAS, Section 5.05 of the Thirty-Second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84" w:lineRule="exact"/>
        <w:rPr>
          <w:sz w:val="20"/>
          <w:szCs w:val="20"/>
          <w:color w:val="auto"/>
        </w:rPr>
      </w:pPr>
    </w:p>
    <w:p>
      <w:pPr>
        <w:ind w:left="1480" w:hanging="176"/>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600" w:hanging="296"/>
        <w:spacing w:after="0"/>
        <w:tabs>
          <w:tab w:leader="none" w:pos="1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0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left="-20" w:firstLine="1304"/>
        <w:spacing w:after="0" w:line="255" w:lineRule="auto"/>
        <w:tabs>
          <w:tab w:leader="none" w:pos="205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Thirty-Second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88" w:lineRule="exact"/>
        <w:rPr>
          <w:rFonts w:ascii="Arial" w:cs="Arial" w:eastAsia="Arial" w:hAnsi="Arial"/>
          <w:sz w:val="18"/>
          <w:szCs w:val="18"/>
          <w:color w:val="auto"/>
        </w:rPr>
      </w:pPr>
    </w:p>
    <w:p>
      <w:pPr>
        <w:jc w:val="both"/>
        <w:ind w:left="-20" w:firstLine="1304"/>
        <w:spacing w:after="0" w:line="266" w:lineRule="auto"/>
        <w:tabs>
          <w:tab w:leader="none" w:pos="241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THIS SUPPLEMENTAL INDENTURE SHALL BE DEEMED TO BE A NEW YORK CONTRACT, AND FOR ALL PURPOSES SHALL BE CONSTRUED IN ACCORDANCE WITH, THE LAWS OF THE STATE OF NEW YORK.</w:t>
      </w:r>
    </w:p>
    <w:p>
      <w:pPr>
        <w:spacing w:after="0" w:line="179" w:lineRule="exact"/>
        <w:rPr>
          <w:rFonts w:ascii="Arial" w:cs="Arial" w:eastAsia="Arial" w:hAnsi="Arial"/>
          <w:sz w:val="18"/>
          <w:szCs w:val="18"/>
          <w:color w:val="auto"/>
        </w:rPr>
      </w:pPr>
    </w:p>
    <w:p>
      <w:pPr>
        <w:jc w:val="both"/>
        <w:ind w:left="-20" w:firstLine="1304"/>
        <w:spacing w:after="0" w:line="257" w:lineRule="auto"/>
        <w:tabs>
          <w:tab w:leader="none" w:pos="209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Recitals; Trustee Makes No Representation; Trustee’s Rights and Duties.</w:t>
      </w:r>
      <w:r>
        <w:rPr>
          <w:rFonts w:ascii="Arial" w:cs="Arial" w:eastAsia="Arial" w:hAnsi="Arial"/>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7" w:lineRule="exact"/>
        <w:rPr>
          <w:rFonts w:ascii="Arial" w:cs="Arial" w:eastAsia="Arial" w:hAnsi="Arial"/>
          <w:sz w:val="18"/>
          <w:szCs w:val="18"/>
          <w:color w:val="auto"/>
        </w:rPr>
      </w:pPr>
    </w:p>
    <w:p>
      <w:pPr>
        <w:ind w:left="-20" w:firstLine="1304"/>
        <w:spacing w:after="0" w:line="277"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960" w:hanging="676"/>
        <w:spacing w:after="0"/>
        <w:tabs>
          <w:tab w:leader="none" w:pos="19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tabs>
          <w:tab w:leader="none" w:pos="9180" w:val="left"/>
        </w:tabs>
        <w:rPr>
          <w:sz w:val="20"/>
          <w:szCs w:val="20"/>
          <w:color w:val="auto"/>
        </w:rPr>
      </w:pPr>
      <w:r>
        <w:rPr>
          <w:rFonts w:ascii="Arial" w:cs="Arial" w:eastAsia="Arial" w:hAnsi="Arial"/>
          <w:sz w:val="18"/>
          <w:szCs w:val="18"/>
          <w:color w:val="auto"/>
        </w:rPr>
        <w:t>By: Plains All American GP LLC, its General</w:t>
      </w:r>
      <w:r>
        <w:rPr>
          <w:sz w:val="20"/>
          <w:szCs w:val="20"/>
          <w:color w:val="auto"/>
        </w:rPr>
        <w:tab/>
      </w:r>
      <w:r>
        <w:rPr>
          <w:rFonts w:ascii="Arial" w:cs="Arial" w:eastAsia="Arial" w:hAnsi="Arial"/>
          <w:sz w:val="15"/>
          <w:szCs w:val="15"/>
          <w:color w:val="auto"/>
        </w:rPr>
        <w:t>Partner</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[SUBSIDIARY GUARANTOR],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i w:val="1"/>
          <w:i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39900" cy="31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399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June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have acted as counsel to 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with respect to certain legal matters in connection with the registration by the Partnership and PAA Finance Corp., a Delaware corporation and wholly owned subsidiary of the Partnership (“</w:t>
      </w:r>
      <w:r>
        <w:rPr>
          <w:rFonts w:ascii="Arial" w:cs="Arial" w:eastAsia="Arial" w:hAnsi="Arial"/>
          <w:sz w:val="16"/>
          <w:szCs w:val="16"/>
          <w:b w:val="1"/>
          <w:bCs w:val="1"/>
          <w:color w:val="auto"/>
        </w:rPr>
        <w:t>PAA Finance,</w:t>
      </w:r>
      <w:r>
        <w:rPr>
          <w:rFonts w:ascii="Arial" w:cs="Arial" w:eastAsia="Arial" w:hAnsi="Arial"/>
          <w:sz w:val="16"/>
          <w:szCs w:val="16"/>
          <w:color w:val="auto"/>
        </w:rPr>
        <w:t>” and together with the Partnership, the “</w:t>
      </w:r>
      <w:r>
        <w:rPr>
          <w:rFonts w:ascii="Arial" w:cs="Arial" w:eastAsia="Arial" w:hAnsi="Arial"/>
          <w:sz w:val="16"/>
          <w:szCs w:val="16"/>
          <w:b w:val="1"/>
          <w:bCs w:val="1"/>
          <w:color w:val="auto"/>
        </w:rPr>
        <w:t>Issuers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the offer and sale by the Issuers of $750,000,000 aggregate principal amount of 3.800% Senior Notes due 2030 (the “</w:t>
      </w:r>
      <w:r>
        <w:rPr>
          <w:rFonts w:ascii="Arial" w:cs="Arial" w:eastAsia="Arial" w:hAnsi="Arial"/>
          <w:sz w:val="16"/>
          <w:szCs w:val="16"/>
          <w:b w:val="1"/>
          <w:bCs w:val="1"/>
          <w:color w:val="auto"/>
        </w:rPr>
        <w:t>Notes</w:t>
      </w:r>
      <w:r>
        <w:rPr>
          <w:rFonts w:ascii="Arial" w:cs="Arial" w:eastAsia="Arial" w:hAnsi="Arial"/>
          <w:sz w:val="16"/>
          <w:szCs w:val="16"/>
          <w:color w:val="auto"/>
        </w:rPr>
        <w:t>”), to be issued and sold pursuant to the Underwriting Agreement dated June 8, 2020, by and among the Issuers and the Underwriters named therein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Notes are being offered and sold pursuant to a prospectus supplement dated June 8, 2020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Rule 424(b)(5) on June 9, 2020, to the prospectus dated September 14, 2018, (such prospectus, as amended and supplemented by the Prospectus Supplement, the “</w:t>
      </w:r>
      <w:r>
        <w:rPr>
          <w:rFonts w:ascii="Arial" w:cs="Arial" w:eastAsia="Arial" w:hAnsi="Arial"/>
          <w:sz w:val="18"/>
          <w:szCs w:val="18"/>
          <w:b w:val="1"/>
          <w:bCs w:val="1"/>
          <w:color w:val="auto"/>
        </w:rPr>
        <w:t>Prospectus</w:t>
      </w:r>
      <w:r>
        <w:rPr>
          <w:rFonts w:ascii="Arial" w:cs="Arial" w:eastAsia="Arial" w:hAnsi="Arial"/>
          <w:sz w:val="18"/>
          <w:szCs w:val="18"/>
          <w:color w:val="auto"/>
        </w:rPr>
        <w:t>”), included in and forming part of the Registration Statement on Form S-3 (Registration No. 333-227358)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Capitalized terms used but not defined herein shall have the meanings given such terms in the Underwriting Agreement.</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The Notes are to be issued as securities pursuant to that certain Indenture, dated as of September 25, 2002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among the Issuers, and U.S. Bank National Association, as successor to Wachovia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the Thirty-Second Supplemental Indenture thereto, to be dated as of June 11, 2020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by and among the Issuers and the Trustee (the Base Indenture, as so supplemented by the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Arial" w:cs="Arial" w:eastAsia="Arial" w:hAnsi="Arial"/>
          <w:sz w:val="16"/>
          <w:szCs w:val="16"/>
          <w:b w:val="1"/>
          <w:bCs w:val="1"/>
          <w:color w:val="auto"/>
        </w:rPr>
        <w:t>General Partner</w:t>
      </w:r>
      <w:r>
        <w:rPr>
          <w:rFonts w:ascii="Arial" w:cs="Arial" w:eastAsia="Arial" w:hAnsi="Arial"/>
          <w:sz w:val="16"/>
          <w:szCs w:val="16"/>
          <w:color w:val="auto"/>
        </w:rPr>
        <w:t>”), which is the general partner of the Partnership, of Plains AAP, L.P., a Delaware limited partnership (“</w:t>
      </w:r>
      <w:r>
        <w:rPr>
          <w:rFonts w:ascii="Arial" w:cs="Arial" w:eastAsia="Arial" w:hAnsi="Arial"/>
          <w:sz w:val="16"/>
          <w:szCs w:val="16"/>
          <w:b w:val="1"/>
          <w:bCs w:val="1"/>
          <w:color w:val="auto"/>
        </w:rPr>
        <w:t>Plains</w:t>
      </w:r>
      <w:r>
        <w:rPr>
          <w:rFonts w:ascii="Arial" w:cs="Arial" w:eastAsia="Arial" w:hAnsi="Arial"/>
          <w:sz w:val="16"/>
          <w:szCs w:val="16"/>
          <w:color w:val="auto"/>
        </w:rPr>
        <w:t xml:space="preserve"> </w:t>
      </w:r>
      <w:r>
        <w:rPr>
          <w:rFonts w:ascii="Arial" w:cs="Arial" w:eastAsia="Arial" w:hAnsi="Arial"/>
          <w:sz w:val="16"/>
          <w:szCs w:val="16"/>
          <w:b w:val="1"/>
          <w:bCs w:val="1"/>
          <w:color w:val="auto"/>
        </w:rPr>
        <w:t>AAP</w:t>
      </w:r>
      <w:r>
        <w:rPr>
          <w:rFonts w:ascii="Arial" w:cs="Arial" w:eastAsia="Arial" w:hAnsi="Arial"/>
          <w:sz w:val="16"/>
          <w:szCs w:val="16"/>
          <w:color w:val="auto"/>
        </w:rPr>
        <w:t>”), which owns a 100% membership interest in the General Partner, of Plains All American GP LLC, a Delaware limited liability company (“</w:t>
      </w:r>
      <w:r>
        <w:rPr>
          <w:rFonts w:ascii="Arial" w:cs="Arial" w:eastAsia="Arial" w:hAnsi="Arial"/>
          <w:sz w:val="16"/>
          <w:szCs w:val="16"/>
          <w:b w:val="1"/>
          <w:bCs w:val="1"/>
          <w:color w:val="auto"/>
        </w:rPr>
        <w:t>GP LLC</w:t>
      </w:r>
      <w:r>
        <w:rPr>
          <w:rFonts w:ascii="Arial" w:cs="Arial" w:eastAsia="Arial" w:hAnsi="Arial"/>
          <w:sz w:val="16"/>
          <w:szCs w:val="16"/>
          <w:color w:val="auto"/>
        </w:rPr>
        <w:t>”), which is the general partner of Plains AAP, of Plains GP Holdings, L.P., a Delaware limited partnership (“</w:t>
      </w:r>
      <w:r>
        <w:rPr>
          <w:rFonts w:ascii="Arial" w:cs="Arial" w:eastAsia="Arial" w:hAnsi="Arial"/>
          <w:sz w:val="16"/>
          <w:szCs w:val="16"/>
          <w:b w:val="1"/>
          <w:bCs w:val="1"/>
          <w:color w:val="auto"/>
        </w:rPr>
        <w:t>PAGP</w:t>
      </w:r>
      <w:r>
        <w:rPr>
          <w:rFonts w:ascii="Arial" w:cs="Arial" w:eastAsia="Arial" w:hAnsi="Arial"/>
          <w:sz w:val="16"/>
          <w:szCs w:val="16"/>
          <w:color w:val="auto"/>
        </w:rPr>
        <w:t>”), which owns a 100%</w:t>
      </w:r>
      <w:r>
        <w:rPr>
          <w:rFonts w:ascii="Arial" w:cs="Arial" w:eastAsia="Arial" w:hAnsi="Arial"/>
          <w:sz w:val="16"/>
          <w:szCs w:val="16"/>
          <w:b w:val="1"/>
          <w:bCs w:val="1"/>
          <w:color w:val="auto"/>
        </w:rPr>
        <w:t xml:space="preserve"> </w:t>
      </w:r>
      <w:r>
        <w:rPr>
          <w:rFonts w:ascii="Arial" w:cs="Arial" w:eastAsia="Arial" w:hAnsi="Arial"/>
          <w:sz w:val="16"/>
          <w:szCs w:val="16"/>
          <w:color w:val="auto"/>
        </w:rPr>
        <w:t>membership interest in GP LLC, and of PAA GP Holdings, LLC, a Delaware limited liability company, which is the general partner of PAGP; (iv) the bylaws and certificate of incorporation of PAA Finance; (v) the Underwriting Agreement, a copy of which is being filed with the Securities and Exchange Commission, together with this Exhibit 5.1, as an exhibit to the Partnership’s Current Report on Form 8-K in connection with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880" w:type="dxa"/>
            <w:vAlign w:val="bottom"/>
          </w:tcPr>
          <w:p>
            <w:pPr>
              <w:ind w:left="94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360" w:type="dxa"/>
            <w:vAlign w:val="bottom"/>
          </w:tcPr>
          <w:p>
            <w:pPr>
              <w:spacing w:after="0"/>
              <w:rPr>
                <w:sz w:val="20"/>
                <w:szCs w:val="20"/>
                <w:color w:val="auto"/>
              </w:rPr>
            </w:pPr>
            <w:r>
              <w:rPr>
                <w:rFonts w:ascii="Arial" w:cs="Arial" w:eastAsia="Arial" w:hAnsi="Arial"/>
                <w:sz w:val="18"/>
                <w:szCs w:val="18"/>
                <w:color w:val="auto"/>
              </w:rPr>
              <w:t>Austin Dallas Dubai Hong Kong Houston London New York</w:t>
            </w:r>
          </w:p>
        </w:tc>
        <w:tc>
          <w:tcPr>
            <w:tcW w:w="5880" w:type="dxa"/>
            <w:vAlign w:val="bottom"/>
          </w:tcPr>
          <w:p>
            <w:pPr>
              <w:ind w:left="940"/>
              <w:spacing w:after="0"/>
              <w:rPr>
                <w:sz w:val="20"/>
                <w:szCs w:val="20"/>
                <w:color w:val="auto"/>
              </w:rPr>
            </w:pPr>
            <w:r>
              <w:rPr>
                <w:rFonts w:ascii="Arial" w:cs="Arial" w:eastAsia="Arial" w:hAnsi="Arial"/>
                <w:sz w:val="18"/>
                <w:szCs w:val="18"/>
                <w:color w:val="auto"/>
              </w:rPr>
              <w:t>Houston, TX 77002-6760</w:t>
            </w:r>
          </w:p>
        </w:tc>
      </w:tr>
      <w:tr>
        <w:trPr>
          <w:trHeight w:val="234"/>
        </w:trPr>
        <w:tc>
          <w:tcPr>
            <w:tcW w:w="536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5880" w:type="dxa"/>
            <w:vAlign w:val="bottom"/>
          </w:tcPr>
          <w:p>
            <w:pPr>
              <w:ind w:left="94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675"/>
        </w:trPr>
        <w:tc>
          <w:tcPr>
            <w:tcW w:w="5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88" w:name="page89"/>
    <w:bookmarkEnd w:id="88"/>
    <w:p>
      <w:pPr>
        <w:ind w:left="9712"/>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4864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48640" cy="291465"/>
                    </a:xfrm>
                    <a:prstGeom prst="rect">
                      <a:avLst/>
                    </a:prstGeom>
                    <a:noFill/>
                  </pic:spPr>
                </pic:pic>
              </a:graphicData>
            </a:graphic>
          </wp:anchor>
        </w:drawing>
        <w:t>June 11, 2020 Page 2</w:t>
      </w:r>
    </w:p>
    <w:p>
      <w:pPr>
        <w:sectPr>
          <w:pgSz w:w="11900" w:h="16838" w:orient="portrait"/>
          <w:cols w:equalWidth="0" w:num="1">
            <w:col w:w="11232"/>
          </w:cols>
          <w:pgMar w:left="328" w:top="1030" w:right="339" w:bottom="1440" w:gutter="0" w:footer="0" w:header="0"/>
        </w:sectPr>
      </w:pPr>
    </w:p>
    <w:p>
      <w:pPr>
        <w:spacing w:after="0" w:line="381" w:lineRule="exact"/>
        <w:rPr>
          <w:sz w:val="20"/>
          <w:szCs w:val="20"/>
          <w:color w:val="auto"/>
        </w:rPr>
      </w:pPr>
    </w:p>
    <w:p>
      <w:pPr>
        <w:ind w:left="652"/>
        <w:spacing w:after="0"/>
        <w:rPr>
          <w:sz w:val="20"/>
          <w:szCs w:val="20"/>
          <w:color w:val="auto"/>
        </w:rPr>
      </w:pPr>
      <w:r>
        <w:rPr>
          <w:rFonts w:ascii="Arial" w:cs="Arial" w:eastAsia="Arial" w:hAnsi="Arial"/>
          <w:sz w:val="17"/>
          <w:szCs w:val="17"/>
          <w:color w:val="auto"/>
        </w:rPr>
        <w:t>Based upon and subject to the foregoing and the assumptions, limitations and qualifications set forth herein, we are of the opinion that when</w:t>
      </w:r>
    </w:p>
    <w:p>
      <w:pPr>
        <w:spacing w:after="0" w:line="35" w:lineRule="exact"/>
        <w:rPr>
          <w:sz w:val="20"/>
          <w:szCs w:val="20"/>
          <w:color w:val="auto"/>
        </w:rPr>
      </w:pPr>
    </w:p>
    <w:p>
      <w:pPr>
        <w:jc w:val="both"/>
        <w:ind w:left="-8" w:firstLine="8"/>
        <w:spacing w:after="0" w:line="302" w:lineRule="auto"/>
        <w:tabs>
          <w:tab w:leader="none" w:pos="2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w:t>
      </w:r>
    </w:p>
    <w:p>
      <w:pPr>
        <w:spacing w:after="0" w:line="15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left="-8" w:firstLine="656"/>
        <w:spacing w:after="0" w:line="308" w:lineRule="auto"/>
        <w:tabs>
          <w:tab w:leader="none" w:pos="1183" w:val="left"/>
        </w:tabs>
        <w:numPr>
          <w:ilvl w:val="1"/>
          <w:numId w:val="94"/>
        </w:numPr>
        <w:rPr>
          <w:rFonts w:ascii="Arial" w:cs="Arial" w:eastAsia="Arial" w:hAnsi="Arial"/>
          <w:sz w:val="17"/>
          <w:szCs w:val="17"/>
          <w:color w:val="auto"/>
        </w:rPr>
      </w:pPr>
      <w:r>
        <w:rPr>
          <w:rFonts w:ascii="Arial" w:cs="Arial" w:eastAsia="Arial" w:hAnsi="Arial"/>
          <w:sz w:val="17"/>
          <w:szCs w:val="17"/>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46" w:lineRule="exact"/>
        <w:rPr>
          <w:rFonts w:ascii="Arial" w:cs="Arial" w:eastAsia="Arial" w:hAnsi="Arial"/>
          <w:sz w:val="17"/>
          <w:szCs w:val="17"/>
          <w:color w:val="auto"/>
        </w:rPr>
      </w:pPr>
    </w:p>
    <w:p>
      <w:pPr>
        <w:jc w:val="both"/>
        <w:ind w:left="-8" w:firstLine="656"/>
        <w:spacing w:after="0" w:line="291" w:lineRule="auto"/>
        <w:tabs>
          <w:tab w:leader="none" w:pos="1208" w:val="left"/>
        </w:tabs>
        <w:numPr>
          <w:ilvl w:val="1"/>
          <w:numId w:val="94"/>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jc w:val="both"/>
        <w:ind w:left="-8" w:firstLine="8"/>
        <w:spacing w:after="0" w:line="253" w:lineRule="auto"/>
        <w:tabs>
          <w:tab w:leader="none" w:pos="3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030" w:right="339" w:bottom="1440" w:gutter="0" w:footer="0" w:header="0"/>
          <w:type w:val="continuous"/>
        </w:sectPr>
      </w:pPr>
    </w:p>
    <w:bookmarkStart w:id="89" w:name="page90"/>
    <w:bookmarkEnd w:id="89"/>
    <w:p>
      <w:pPr>
        <w:ind w:left="97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4864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91465"/>
                    </a:xfrm>
                    <a:prstGeom prst="rect">
                      <a:avLst/>
                    </a:prstGeom>
                    <a:noFill/>
                  </pic:spPr>
                </pic:pic>
              </a:graphicData>
            </a:graphic>
          </wp:anchor>
        </w:drawing>
        <w:t>June 11, 2020 Page 3</w:t>
      </w:r>
    </w:p>
    <w:p>
      <w:pPr>
        <w:sectPr>
          <w:pgSz w:w="11900" w:h="16838" w:orient="portrait"/>
          <w:cols w:equalWidth="0" w:num="1">
            <w:col w:w="11240"/>
          </w:cols>
          <w:pgMar w:left="320" w:top="1030" w:right="339" w:bottom="1440" w:gutter="0" w:footer="0" w:header="0"/>
        </w:sectPr>
      </w:pPr>
    </w:p>
    <w:p>
      <w:pPr>
        <w:spacing w:after="0" w:line="381" w:lineRule="exact"/>
        <w:rPr>
          <w:sz w:val="20"/>
          <w:szCs w:val="20"/>
          <w:color w:val="auto"/>
        </w:rPr>
      </w:pPr>
    </w:p>
    <w:p>
      <w:pPr>
        <w:ind w:left="1220" w:hanging="564"/>
        <w:spacing w:after="0"/>
        <w:tabs>
          <w:tab w:leader="none" w:pos="1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This opinion is limited in all respects to the laws of the State of New York. We do not express any opinions as to the laws of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210" w:lineRule="exact"/>
        <w:rPr>
          <w:rFonts w:ascii="Arial" w:cs="Arial" w:eastAsia="Arial" w:hAnsi="Arial"/>
          <w:sz w:val="17"/>
          <w:szCs w:val="17"/>
          <w:color w:val="auto"/>
        </w:rPr>
      </w:pPr>
    </w:p>
    <w:p>
      <w:pPr>
        <w:jc w:val="both"/>
        <w:ind w:firstLine="656"/>
        <w:spacing w:after="0" w:line="263" w:lineRule="auto"/>
        <w:tabs>
          <w:tab w:leader="none" w:pos="12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1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3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lvl w:ilvl="1">
      <w:lvlJc w:val="left"/>
      <w:lvlText w:val="·"/>
      <w:numFmt w:val="bullet"/>
      <w:start w:val="1"/>
    </w:lvl>
  </w:abstractNum>
  <w:abstractNum w:abstractNumId="2">
    <w:nsid w:val="579478FE"/>
    <w:multiLevelType w:val="hybridMultilevel"/>
    <w:lvl w:ilvl="0">
      <w:lvlJc w:val="left"/>
      <w:lvlText w:val="(%1)"/>
      <w:numFmt w:val="lowerLetter"/>
      <w:start w:val="4"/>
    </w:lvl>
  </w:abstractNum>
  <w:abstractNum w:abstractNumId="3">
    <w:nsid w:val="749ABB43"/>
    <w:multiLevelType w:val="hybridMultilevel"/>
    <w:lvl w:ilvl="0">
      <w:lvlJc w:val="left"/>
      <w:lvlText w:val="%1"/>
      <w:numFmt w:val="decimal"/>
      <w:start w:val="104"/>
    </w:lvl>
  </w:abstractNum>
  <w:abstractNum w:abstractNumId="4">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1BA026FA"/>
    <w:multiLevelType w:val="hybridMultilevel"/>
    <w:lvl w:ilvl="0">
      <w:lvlJc w:val="left"/>
      <w:lvlText w:val="(%1)"/>
      <w:numFmt w:val="lowerRoman"/>
      <w:start w:val="8"/>
    </w:lvl>
  </w:abstractNum>
  <w:abstractNum w:abstractNumId="6">
    <w:nsid w:val="79A1DEAA"/>
    <w:multiLevelType w:val="hybridMultilevel"/>
    <w:lvl w:ilvl="0">
      <w:lvlJc w:val="left"/>
      <w:lvlText w:val="(%1)"/>
      <w:numFmt w:val="lowerLetter"/>
      <w:start w:val="2"/>
    </w:lvl>
  </w:abstractNum>
  <w:abstractNum w:abstractNumId="7">
    <w:nsid w:val="75C6C33A"/>
    <w:multiLevelType w:val="hybridMultilevel"/>
    <w:lvl w:ilvl="0">
      <w:lvlJc w:val="left"/>
      <w:lvlText w:val="(%1)"/>
      <w:numFmt w:val="lowerLetter"/>
      <w:start w:val="3"/>
    </w:lvl>
  </w:abstractNum>
  <w:abstractNum w:abstractNumId="8">
    <w:nsid w:val="12E685FB"/>
    <w:multiLevelType w:val="hybridMultilevel"/>
    <w:lvl w:ilvl="0">
      <w:lvlJc w:val="left"/>
      <w:lvlText w:val="(%1)"/>
      <w:numFmt w:val="lowerLetter"/>
      <w:start w:val="8"/>
    </w:lvl>
  </w:abstractNum>
  <w:abstractNum w:abstractNumId="9">
    <w:nsid w:val="70C6A529"/>
    <w:multiLevelType w:val="hybridMultilevel"/>
    <w:lvl w:ilvl="0">
      <w:lvlJc w:val="left"/>
      <w:lvlText w:val="(%1)"/>
      <w:numFmt w:val="lowerLetter"/>
      <w:start w:val="11"/>
    </w:lvl>
  </w:abstractNum>
  <w:abstractNum w:abstractNumId="10">
    <w:nsid w:val="520EEDD1"/>
    <w:multiLevelType w:val="hybridMultilevel"/>
    <w:lvl w:ilvl="0">
      <w:lvlJc w:val="left"/>
      <w:lvlText w:val="(%1)"/>
      <w:numFmt w:val="lowerLetter"/>
      <w:start w:val="14"/>
    </w:lvl>
  </w:abstractNum>
  <w:abstractNum w:abstractNumId="11">
    <w:nsid w:val="374A3FE6"/>
    <w:multiLevelType w:val="hybridMultilevel"/>
    <w:lvl w:ilvl="0">
      <w:lvlJc w:val="left"/>
      <w:lvlText w:val="%1"/>
      <w:numFmt w:val="lowerRoman"/>
      <w:start w:val="1"/>
    </w:lvl>
    <w:lvl w:ilvl="1">
      <w:lvlJc w:val="left"/>
      <w:lvlText w:val="(%2)"/>
      <w:numFmt w:val="lowerLetter"/>
      <w:start w:val="19"/>
    </w:lvl>
  </w:abstractNum>
  <w:abstractNum w:abstractNumId="12">
    <w:nsid w:val="4F4EF005"/>
    <w:multiLevelType w:val="hybridMultilevel"/>
    <w:lvl w:ilvl="0">
      <w:lvlJc w:val="left"/>
      <w:lvlText w:val="(%1)"/>
      <w:numFmt w:val="lowerRoman"/>
      <w:start w:val="4"/>
    </w:lvl>
    <w:lvl w:ilvl="1">
      <w:lvlJc w:val="left"/>
      <w:lvlText w:val="%2"/>
      <w:numFmt w:val="lowerLetter"/>
      <w:start w:val="1"/>
    </w:lvl>
  </w:abstractNum>
  <w:abstractNum w:abstractNumId="13">
    <w:nsid w:val="23F9C13C"/>
    <w:multiLevelType w:val="hybridMultilevel"/>
    <w:lvl w:ilvl="0">
      <w:lvlJc w:val="left"/>
      <w:lvlText w:val="(%1)"/>
      <w:numFmt w:val="lowerLetter"/>
      <w:start w:val="22"/>
    </w:lvl>
  </w:abstractNum>
  <w:abstractNum w:abstractNumId="14">
    <w:nsid w:val="649BB77C"/>
    <w:multiLevelType w:val="hybridMultilevel"/>
    <w:lvl w:ilvl="0">
      <w:lvlJc w:val="left"/>
      <w:lvlText w:val="(%1)"/>
      <w:numFmt w:val="lowerLetter"/>
      <w:start w:val="26"/>
    </w:lvl>
  </w:abstractNum>
  <w:abstractNum w:abstractNumId="15">
    <w:nsid w:val="275AC794"/>
    <w:multiLevelType w:val="hybridMultilevel"/>
    <w:lvl w:ilvl="0">
      <w:lvlJc w:val="left"/>
      <w:lvlText w:val="(%1)"/>
      <w:numFmt w:val="lowerLetter"/>
      <w:start w:val="27"/>
    </w:lvl>
  </w:abstractNum>
  <w:abstractNum w:abstractNumId="16">
    <w:nsid w:val="39386575"/>
    <w:multiLevelType w:val="hybridMultilevel"/>
    <w:lvl w:ilvl="0">
      <w:lvlJc w:val="left"/>
      <w:lvlText w:val="(%1)"/>
      <w:numFmt w:val="lowerLetter"/>
      <w:start w:val="29"/>
    </w:lvl>
  </w:abstractNum>
  <w:abstractNum w:abstractNumId="17">
    <w:nsid w:val="1CF10FD8"/>
    <w:multiLevelType w:val="hybridMultilevel"/>
    <w:lvl w:ilvl="0">
      <w:lvlJc w:val="left"/>
      <w:lvlText w:val="(%1)"/>
      <w:numFmt w:val="lowerLetter"/>
      <w:start w:val="32"/>
    </w:lvl>
  </w:abstractNum>
  <w:abstractNum w:abstractNumId="18">
    <w:nsid w:val="180115BE"/>
    <w:multiLevelType w:val="hybridMultilevel"/>
    <w:lvl w:ilvl="0">
      <w:lvlJc w:val="left"/>
      <w:lvlText w:val="%1"/>
      <w:numFmt w:val="lowerRoman"/>
      <w:start w:val="1"/>
    </w:lvl>
    <w:lvl w:ilvl="1">
      <w:lvlJc w:val="left"/>
      <w:lvlText w:val="(%2)"/>
      <w:numFmt w:val="lowerLetter"/>
      <w:start w:val="37"/>
    </w:lvl>
  </w:abstractNum>
  <w:abstractNum w:abstractNumId="19">
    <w:nsid w:val="235BA861"/>
    <w:multiLevelType w:val="hybridMultilevel"/>
    <w:lvl w:ilvl="0">
      <w:lvlJc w:val="left"/>
      <w:lvlText w:val="(%1)"/>
      <w:numFmt w:val="lowerRoman"/>
      <w:start w:val="4"/>
    </w:lvl>
    <w:lvl w:ilvl="1">
      <w:lvlJc w:val="left"/>
      <w:lvlText w:val="(%2)"/>
      <w:numFmt w:val="lowerLetter"/>
      <w:start w:val="39"/>
    </w:lvl>
  </w:abstractNum>
  <w:abstractNum w:abstractNumId="20">
    <w:nsid w:val="47398C89"/>
    <w:multiLevelType w:val="hybridMultilevel"/>
    <w:lvl w:ilvl="0">
      <w:lvlJc w:val="left"/>
      <w:lvlText w:val="(%1)"/>
      <w:numFmt w:val="lowerLetter"/>
      <w:start w:val="42"/>
    </w:lvl>
  </w:abstractNum>
  <w:abstractNum w:abstractNumId="21">
    <w:nsid w:val="354FE9F9"/>
    <w:multiLevelType w:val="hybridMultilevel"/>
    <w:lvl w:ilvl="0">
      <w:lvlJc w:val="left"/>
      <w:lvlText w:val="%1."/>
      <w:numFmt w:val="decimal"/>
      <w:start w:val="2"/>
    </w:lvl>
  </w:abstractNum>
  <w:abstractNum w:abstractNumId="22">
    <w:nsid w:val="15B5AF5C"/>
    <w:multiLevelType w:val="hybridMultilevel"/>
    <w:lvl w:ilvl="0">
      <w:lvlJc w:val="left"/>
      <w:lvlText w:val="%1."/>
      <w:numFmt w:val="decimal"/>
      <w:start w:val="4"/>
    </w:lvl>
    <w:lvl w:ilvl="1">
      <w:lvlJc w:val="left"/>
      <w:lvlText w:val="(%2)"/>
      <w:numFmt w:val="lowerLetter"/>
      <w:start w:val="1"/>
    </w:lvl>
  </w:abstractNum>
  <w:abstractNum w:abstractNumId="23">
    <w:nsid w:val="741226BB"/>
    <w:multiLevelType w:val="hybridMultilevel"/>
    <w:lvl w:ilvl="0">
      <w:lvlJc w:val="left"/>
      <w:lvlText w:val="(%1)"/>
      <w:numFmt w:val="lowerLetter"/>
      <w:start w:val="4"/>
    </w:lvl>
  </w:abstractNum>
  <w:abstractNum w:abstractNumId="24">
    <w:nsid w:val="D34B6A8"/>
    <w:multiLevelType w:val="hybridMultilevel"/>
    <w:lvl w:ilvl="0">
      <w:lvlJc w:val="left"/>
      <w:lvlText w:val="(%1)"/>
      <w:numFmt w:val="lowerLetter"/>
      <w:start w:val="7"/>
    </w:lvl>
  </w:abstractNum>
  <w:abstractNum w:abstractNumId="25">
    <w:nsid w:val="10233C99"/>
    <w:multiLevelType w:val="hybridMultilevel"/>
    <w:lvl w:ilvl="0">
      <w:lvlJc w:val="left"/>
      <w:lvlText w:val="(%1)"/>
      <w:numFmt w:val="lowerLetter"/>
      <w:start w:val="11"/>
    </w:lvl>
  </w:abstractNum>
  <w:abstractNum w:abstractNumId="26">
    <w:nsid w:val="3F6AB60F"/>
    <w:multiLevelType w:val="hybridMultilevel"/>
    <w:lvl w:ilvl="0">
      <w:lvlJc w:val="left"/>
      <w:lvlText w:val="%1"/>
      <w:numFmt w:val="decimal"/>
      <w:start w:val="1"/>
    </w:lvl>
    <w:lvl w:ilvl="1">
      <w:lvlJc w:val="left"/>
      <w:lvlText w:val="(%2)"/>
      <w:numFmt w:val="lowerLetter"/>
      <w:start w:val="17"/>
    </w:lvl>
  </w:abstractNum>
  <w:abstractNum w:abstractNumId="27">
    <w:nsid w:val="61574095"/>
    <w:multiLevelType w:val="hybridMultilevel"/>
    <w:lvl w:ilvl="0">
      <w:lvlJc w:val="left"/>
      <w:lvlText w:val="%1."/>
      <w:numFmt w:val="decimal"/>
      <w:start w:val="6"/>
    </w:lvl>
    <w:lvl w:ilvl="1">
      <w:lvlJc w:val="left"/>
      <w:lvlText w:val="(%2)"/>
      <w:numFmt w:val="lowerLetter"/>
      <w:start w:val="1"/>
    </w:lvl>
  </w:abstractNum>
  <w:abstractNum w:abstractNumId="28">
    <w:nsid w:val="7E0C57B1"/>
    <w:multiLevelType w:val="hybridMultilevel"/>
    <w:lvl w:ilvl="0">
      <w:lvlJc w:val="left"/>
      <w:lvlText w:val="(%1)"/>
      <w:numFmt w:val="lowerLetter"/>
      <w:start w:val="3"/>
    </w:lvl>
  </w:abstractNum>
  <w:abstractNum w:abstractNumId="29">
    <w:nsid w:val="77AE35EB"/>
    <w:multiLevelType w:val="hybridMultilevel"/>
    <w:lvl w:ilvl="0">
      <w:lvlJc w:val="left"/>
      <w:lvlText w:val="%1"/>
      <w:numFmt w:val="decimal"/>
      <w:start w:val="1"/>
    </w:lvl>
    <w:lvl w:ilvl="1">
      <w:lvlJc w:val="left"/>
      <w:lvlText w:val="(%2)"/>
      <w:numFmt w:val="lowerLetter"/>
      <w:start w:val="6"/>
    </w:lvl>
  </w:abstractNum>
  <w:abstractNum w:abstractNumId="30">
    <w:nsid w:val="579BE4F1"/>
    <w:multiLevelType w:val="hybridMultilevel"/>
    <w:lvl w:ilvl="0">
      <w:lvlJc w:val="left"/>
      <w:lvlText w:val="%1."/>
      <w:numFmt w:val="decimal"/>
      <w:start w:val="7"/>
    </w:lvl>
    <w:lvl w:ilvl="1">
      <w:lvlJc w:val="left"/>
      <w:lvlText w:val="(%2)"/>
      <w:numFmt w:val="lowerLetter"/>
      <w:start w:val="1"/>
    </w:lvl>
  </w:abstractNum>
  <w:abstractNum w:abstractNumId="31">
    <w:nsid w:val="310C50B3"/>
    <w:multiLevelType w:val="hybridMultilevel"/>
    <w:lvl w:ilvl="0">
      <w:lvlJc w:val="left"/>
      <w:lvlText w:val="(%1)"/>
      <w:numFmt w:val="lowerLetter"/>
      <w:start w:val="3"/>
    </w:lvl>
    <w:lvl w:ilvl="1">
      <w:lvlJc w:val="left"/>
      <w:lvlText w:val="(%2)"/>
      <w:numFmt w:val="lowerRoman"/>
      <w:start w:val="1"/>
    </w:lvl>
  </w:abstractNum>
  <w:abstractNum w:abstractNumId="32">
    <w:nsid w:val="5FF87E05"/>
    <w:multiLevelType w:val="hybridMultilevel"/>
    <w:lvl w:ilvl="0">
      <w:lvlJc w:val="left"/>
      <w:lvlText w:val="(%1)"/>
      <w:numFmt w:val="lowerRoman"/>
      <w:start w:val="5"/>
    </w:lvl>
  </w:abstractNum>
  <w:abstractNum w:abstractNumId="33">
    <w:nsid w:val="2F305DEF"/>
    <w:multiLevelType w:val="hybridMultilevel"/>
    <w:lvl w:ilvl="0">
      <w:lvlJc w:val="left"/>
      <w:lvlText w:val="%1"/>
      <w:numFmt w:val="decimal"/>
      <w:start w:val="1"/>
    </w:lvl>
    <w:lvl w:ilvl="1">
      <w:lvlJc w:val="left"/>
      <w:lvlText w:val="(%2)"/>
      <w:numFmt w:val="lowerRoman"/>
      <w:start w:val="11"/>
    </w:lvl>
  </w:abstractNum>
  <w:abstractNum w:abstractNumId="34">
    <w:nsid w:val="25A70BF7"/>
    <w:multiLevelType w:val="hybridMultilevel"/>
    <w:lvl w:ilvl="0">
      <w:lvlJc w:val="left"/>
      <w:lvlText w:val="(%1)"/>
      <w:numFmt w:val="decimal"/>
      <w:start w:val="2"/>
    </w:lvl>
    <w:lvl w:ilvl="1">
      <w:lvlJc w:val="left"/>
      <w:lvlText w:val="%2"/>
      <w:numFmt w:val="lowerRoman"/>
      <w:start w:val="1"/>
    </w:lvl>
  </w:abstractNum>
  <w:abstractNum w:abstractNumId="35">
    <w:nsid w:val="1DBABF00"/>
    <w:multiLevelType w:val="hybridMultilevel"/>
    <w:lvl w:ilvl="0">
      <w:lvlJc w:val="left"/>
      <w:lvlText w:val="(%1)"/>
      <w:numFmt w:val="lowerRoman"/>
      <w:start w:val="13"/>
    </w:lvl>
  </w:abstractNum>
  <w:abstractNum w:abstractNumId="36">
    <w:nsid w:val="4AD084E9"/>
    <w:multiLevelType w:val="hybridMultilevel"/>
    <w:lvl w:ilvl="0">
      <w:lvlJc w:val="left"/>
      <w:lvlText w:val="(%1)"/>
      <w:numFmt w:val="upperLetter"/>
      <w:start w:val="1"/>
    </w:lvl>
  </w:abstractNum>
  <w:abstractNum w:abstractNumId="37">
    <w:nsid w:val="1F48EAA1"/>
    <w:multiLevelType w:val="hybridMultilevel"/>
    <w:lvl w:ilvl="0">
      <w:lvlJc w:val="left"/>
      <w:lvlText w:val="(%1)"/>
      <w:numFmt w:val="upperLetter"/>
      <w:start w:val="2"/>
    </w:lvl>
  </w:abstractNum>
  <w:abstractNum w:abstractNumId="38">
    <w:nsid w:val="1381823A"/>
    <w:multiLevelType w:val="hybridMultilevel"/>
    <w:lvl w:ilvl="0">
      <w:lvlJc w:val="left"/>
      <w:lvlText w:val="(%1)"/>
      <w:numFmt w:val="lowerLetter"/>
      <w:start w:val="4"/>
    </w:lvl>
    <w:lvl w:ilvl="1">
      <w:lvlJc w:val="left"/>
      <w:lvlText w:val="(%2)"/>
      <w:numFmt w:val="lowerRoman"/>
      <w:start w:val="1"/>
    </w:lvl>
  </w:abstractNum>
  <w:abstractNum w:abstractNumId="39">
    <w:nsid w:val="5DB70AE5"/>
    <w:multiLevelType w:val="hybridMultilevel"/>
    <w:lvl w:ilvl="0">
      <w:lvlJc w:val="left"/>
      <w:lvlText w:val="(%1)"/>
      <w:numFmt w:val="lowerLetter"/>
      <w:start w:val="5"/>
    </w:lvl>
    <w:lvl w:ilvl="1">
      <w:lvlJc w:val="left"/>
      <w:lvlText w:val="(%2)"/>
      <w:numFmt w:val="lowerRoman"/>
      <w:start w:val="1"/>
    </w:lvl>
  </w:abstractNum>
  <w:abstractNum w:abstractNumId="40">
    <w:nsid w:val="100F8FCA"/>
    <w:multiLevelType w:val="hybridMultilevel"/>
    <w:lvl w:ilvl="0">
      <w:lvlJc w:val="left"/>
      <w:lvlText w:val="(%1)"/>
      <w:numFmt w:val="lowerLetter"/>
      <w:start w:val="6"/>
    </w:lvl>
  </w:abstractNum>
  <w:abstractNum w:abstractNumId="41">
    <w:nsid w:val="6590700B"/>
    <w:multiLevelType w:val="hybridMultilevel"/>
    <w:lvl w:ilvl="0">
      <w:lvlJc w:val="left"/>
      <w:lvlText w:val="(%1)"/>
      <w:numFmt w:val="lowerLetter"/>
      <w:start w:val="8"/>
    </w:lvl>
    <w:lvl w:ilvl="1">
      <w:lvlJc w:val="left"/>
      <w:lvlText w:val="(%2)"/>
      <w:numFmt w:val="lowerRoman"/>
      <w:start w:val="1"/>
    </w:lvl>
  </w:abstractNum>
  <w:abstractNum w:abstractNumId="42">
    <w:nsid w:val="15014ACB"/>
    <w:multiLevelType w:val="hybridMultilevel"/>
    <w:lvl w:ilvl="0">
      <w:lvlJc w:val="left"/>
      <w:lvlText w:val="(%1)"/>
      <w:numFmt w:val="lowerLetter"/>
      <w:start w:val="11"/>
    </w:lvl>
  </w:abstractNum>
  <w:abstractNum w:abstractNumId="43">
    <w:nsid w:val="5F5E7FD0"/>
    <w:multiLevelType w:val="hybridMultilevel"/>
    <w:lvl w:ilvl="0">
      <w:lvlJc w:val="left"/>
      <w:lvlText w:val="%1."/>
      <w:numFmt w:val="decimal"/>
      <w:start w:val="8"/>
    </w:lvl>
  </w:abstractNum>
  <w:abstractNum w:abstractNumId="44">
    <w:nsid w:val="98A3148"/>
    <w:multiLevelType w:val="hybridMultilevel"/>
    <w:lvl w:ilvl="0">
      <w:lvlJc w:val="left"/>
      <w:lvlText w:val="%1."/>
      <w:numFmt w:val="decimal"/>
      <w:start w:val="9"/>
    </w:lvl>
  </w:abstractNum>
  <w:abstractNum w:abstractNumId="45">
    <w:nsid w:val="799D0247"/>
    <w:multiLevelType w:val="hybridMultilevel"/>
    <w:lvl w:ilvl="0">
      <w:lvlJc w:val="left"/>
      <w:lvlText w:val="%1"/>
      <w:numFmt w:val="lowerRoman"/>
      <w:start w:val="1"/>
    </w:lvl>
    <w:lvl w:ilvl="1">
      <w:lvlJc w:val="left"/>
      <w:lvlText w:val="%2."/>
      <w:numFmt w:val="decimal"/>
      <w:start w:val="10"/>
    </w:lvl>
  </w:abstractNum>
  <w:abstractNum w:abstractNumId="46">
    <w:nsid w:val="6B94764"/>
    <w:multiLevelType w:val="hybridMultilevel"/>
    <w:lvl w:ilvl="0">
      <w:lvlJc w:val="left"/>
      <w:lvlText w:val="(%1)"/>
      <w:numFmt w:val="lowerRoman"/>
      <w:start w:val="2"/>
    </w:lvl>
    <w:lvl w:ilvl="1">
      <w:lvlJc w:val="left"/>
      <w:lvlText w:val="%2."/>
      <w:numFmt w:val="decimal"/>
      <w:start w:val="11"/>
    </w:lvl>
  </w:abstractNum>
  <w:abstractNum w:abstractNumId="47">
    <w:nsid w:val="42C296BD"/>
    <w:multiLevelType w:val="hybridMultilevel"/>
    <w:lvl w:ilvl="0">
      <w:lvlJc w:val="left"/>
      <w:lvlText w:val="%1."/>
      <w:numFmt w:val="decimal"/>
      <w:start w:val="12"/>
    </w:lvl>
    <w:lvl w:ilvl="1">
      <w:lvlJc w:val="left"/>
      <w:lvlText w:val="(%2)"/>
      <w:numFmt w:val="lowerLetter"/>
      <w:start w:val="1"/>
    </w:lvl>
  </w:abstractNum>
  <w:abstractNum w:abstractNumId="48">
    <w:nsid w:val="168E121F"/>
    <w:multiLevelType w:val="hybridMultilevel"/>
    <w:lvl w:ilvl="0">
      <w:lvlJc w:val="left"/>
      <w:lvlText w:val="%1"/>
      <w:numFmt w:val="lowerRoman"/>
      <w:start w:val="1"/>
    </w:lvl>
    <w:lvl w:ilvl="1">
      <w:lvlJc w:val="left"/>
      <w:lvlText w:val="%2."/>
      <w:numFmt w:val="decimal"/>
      <w:start w:val="15"/>
    </w:lvl>
  </w:abstractNum>
  <w:abstractNum w:abstractNumId="49">
    <w:nsid w:val="1EBA5D23"/>
    <w:multiLevelType w:val="hybridMultilevel"/>
    <w:lvl w:ilvl="0">
      <w:lvlJc w:val="left"/>
      <w:lvlText w:val="(%1)"/>
      <w:numFmt w:val="lowerRoman"/>
      <w:start w:val="3"/>
    </w:lvl>
    <w:lvl w:ilvl="1">
      <w:lvlJc w:val="left"/>
      <w:lvlText w:val="%2."/>
      <w:numFmt w:val="decimal"/>
      <w:start w:val="19"/>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2"/>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1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2"/>
    </w:lvl>
  </w:abstractNum>
  <w:abstractNum w:abstractNumId="58">
    <w:nsid w:val="42963E5A"/>
    <w:multiLevelType w:val="hybridMultilevel"/>
    <w:lvl w:ilvl="0">
      <w:lvlJc w:val="left"/>
      <w:lvlText w:val="(%1)"/>
      <w:numFmt w:val="lowerLetter"/>
      <w:start w:val="3"/>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3"/>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lowerLetter"/>
      <w:start w:val="3"/>
    </w:lvl>
  </w:abstractNum>
  <w:abstractNum w:abstractNumId="65">
    <w:nsid w:val="60B6DF70"/>
    <w:multiLevelType w:val="hybridMultilevel"/>
    <w:lvl w:ilvl="0">
      <w:lvlJc w:val="left"/>
      <w:lvlText w:val="(%1)"/>
      <w:numFmt w:val="lowerRoman"/>
      <w:start w:val="1"/>
    </w:lvl>
  </w:abstractNum>
  <w:abstractNum w:abstractNumId="66">
    <w:nsid w:val="6A5EE64"/>
    <w:multiLevelType w:val="hybridMultilevel"/>
    <w:lvl w:ilvl="0">
      <w:lvlJc w:val="left"/>
      <w:lvlText w:val="(%1)"/>
      <w:numFmt w:val="lowerLetter"/>
      <w:start w:val="1"/>
    </w:lvl>
    <w:lvl w:ilvl="1">
      <w:lvlJc w:val="left"/>
      <w:lvlText w:val="(%2)"/>
      <w:numFmt w:val="lowerRoman"/>
      <w:start w:val="1"/>
    </w:lvl>
  </w:abstractNum>
  <w:abstractNum w:abstractNumId="67">
    <w:nsid w:val="14330624"/>
    <w:multiLevelType w:val="hybridMultilevel"/>
    <w:lvl w:ilvl="0">
      <w:lvlJc w:val="left"/>
      <w:lvlText w:val="(%1)"/>
      <w:numFmt w:val="lowerRoman"/>
      <w:start w:val="5"/>
    </w:lvl>
    <w:lvl w:ilvl="1">
      <w:lvlJc w:val="left"/>
      <w:lvlText w:val="(%2)"/>
      <w:numFmt w:val="upperLetter"/>
      <w:start w:val="1"/>
    </w:lvl>
  </w:abstractNum>
  <w:abstractNum w:abstractNumId="68">
    <w:nsid w:val="7FFFCA11"/>
    <w:multiLevelType w:val="hybridMultilevel"/>
    <w:lvl w:ilvl="0">
      <w:lvlJc w:val="left"/>
      <w:lvlText w:val="(%1)"/>
      <w:numFmt w:val="lowerLetter"/>
      <w:start w:val="2"/>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4"/>
    </w:lvl>
  </w:abstractNum>
  <w:abstractNum w:abstractNumId="72">
    <w:nsid w:val="7FB7E0AA"/>
    <w:multiLevelType w:val="hybridMultilevel"/>
    <w:lvl w:ilvl="0">
      <w:lvlJc w:val="left"/>
      <w:lvlText w:val="%1"/>
      <w:numFmt w:val="lowerLetter"/>
      <w:start w:val="1"/>
    </w:lvl>
    <w:lvl w:ilvl="1">
      <w:lvlJc w:val="left"/>
      <w:lvlText w:val="(%2)"/>
      <w:numFmt w:val="lowerLetter"/>
      <w:start w:val="2"/>
    </w:lvl>
  </w:abstractNum>
  <w:abstractNum w:abstractNumId="73">
    <w:nsid w:val="6EB5BD4"/>
    <w:multiLevelType w:val="hybridMultilevel"/>
    <w:lvl w:ilvl="0">
      <w:lvlJc w:val="left"/>
      <w:lvlText w:val="(%1)"/>
      <w:numFmt w:val="lowerLetter"/>
      <w:start w:val="22"/>
    </w:lvl>
    <w:lvl w:ilvl="1">
      <w:lvlJc w:val="left"/>
      <w:lvlText w:val="(%2)"/>
      <w:numFmt w:val="lowerLetter"/>
      <w:start w:val="3"/>
    </w:lvl>
  </w:abstractNum>
  <w:abstractNum w:abstractNumId="74">
    <w:nsid w:val="6F6DD9AC"/>
    <w:multiLevelType w:val="hybridMultilevel"/>
    <w:lvl w:ilvl="0">
      <w:lvlJc w:val="left"/>
      <w:lvlText w:val="(%1)"/>
      <w:numFmt w:val="lowerLetter"/>
      <w:start w:val="7"/>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lowerRoman"/>
      <w:start w:val="6"/>
    </w:lvl>
  </w:abstractNum>
  <w:abstractNum w:abstractNumId="77">
    <w:nsid w:val="76272110"/>
    <w:multiLevelType w:val="hybridMultilevel"/>
    <w:lvl w:ilvl="0">
      <w:lvlJc w:val="left"/>
      <w:lvlText w:val="1"/>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2"/>
      <w:numFmt w:val="bullet"/>
      <w:start w:val="1"/>
    </w:lvl>
  </w:abstractNum>
  <w:abstractNum w:abstractNumId="80">
    <w:nsid w:val="14E17E33"/>
    <w:multiLevelType w:val="hybridMultilevel"/>
    <w:lvl w:ilvl="0">
      <w:lvlJc w:val="left"/>
      <w:lvlText w:val="%1."/>
      <w:numFmt w:val="decimal"/>
      <w:start w:val="3"/>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2"/>
    </w:lvl>
  </w:abstractNum>
  <w:abstractNum w:abstractNumId="83">
    <w:nsid w:val="68EBC550"/>
    <w:multiLevelType w:val="hybridMultilevel"/>
    <w:lvl w:ilvl="0">
      <w:lvlJc w:val="left"/>
      <w:lvlText w:val="(%1)"/>
      <w:numFmt w:val="lowerLetter"/>
      <w:start w:val="3"/>
    </w:lvl>
  </w:abstractNum>
  <w:abstractNum w:abstractNumId="84">
    <w:nsid w:val="2DF6D648"/>
    <w:multiLevelType w:val="hybridMultilevel"/>
    <w:lvl w:ilvl="0">
      <w:lvlJc w:val="left"/>
      <w:lvlText w:val="%1."/>
      <w:numFmt w:val="decimal"/>
      <w:start w:val="6"/>
    </w:lvl>
  </w:abstractNum>
  <w:abstractNum w:abstractNumId="85">
    <w:nsid w:val="46B7D447"/>
    <w:multiLevelType w:val="hybridMultilevel"/>
    <w:lvl w:ilvl="0">
      <w:lvlJc w:val="left"/>
      <w:lvlText w:val="%1"/>
      <w:numFmt w:val="lowerRoman"/>
      <w:start w:val="1"/>
    </w:lvl>
    <w:lvl w:ilvl="1">
      <w:lvlJc w:val="left"/>
      <w:lvlText w:val="%2."/>
      <w:numFmt w:val="decimal"/>
      <w:start w:val="10"/>
    </w:lvl>
  </w:abstractNum>
  <w:abstractNum w:abstractNumId="86">
    <w:nsid w:val="4A2AC315"/>
    <w:multiLevelType w:val="hybridMultilevel"/>
    <w:lvl w:ilvl="0">
      <w:lvlJc w:val="left"/>
      <w:lvlText w:val="(%1)"/>
      <w:numFmt w:val="lowerRoman"/>
      <w:start w:val="3"/>
    </w:lvl>
    <w:lvl w:ilvl="1">
      <w:lvlJc w:val="left"/>
      <w:lvlText w:val="%2"/>
      <w:numFmt w:val="decimal"/>
      <w:start w:val="1"/>
    </w:lvl>
  </w:abstractNum>
  <w:abstractNum w:abstractNumId="87">
    <w:nsid w:val="39EE015C"/>
    <w:multiLevelType w:val="hybridMultilevel"/>
    <w:lvl w:ilvl="0">
      <w:lvlJc w:val="left"/>
      <w:lvlText w:val="%1."/>
      <w:numFmt w:val="decimal"/>
      <w:start w:val="11"/>
    </w:lvl>
  </w:abstractNum>
  <w:abstractNum w:abstractNumId="88">
    <w:nsid w:val="57FC4FBB"/>
    <w:multiLevelType w:val="hybridMultilevel"/>
    <w:lvl w:ilvl="0">
      <w:lvlJc w:val="left"/>
      <w:lvlText w:val="3"/>
      <w:numFmt w:val="bullet"/>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decimal"/>
      <w:start w:val="2"/>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lowerRoman"/>
      <w:start w:val="1"/>
    </w:lvl>
    <w:lvl w:ilvl="1">
      <w:lvlJc w:val="left"/>
      <w:lvlText w:val="%2."/>
      <w:numFmt w:val="upperLetter"/>
      <w:start w:val="1"/>
    </w:lvl>
  </w:abstractNum>
  <w:abstractNum w:abstractNumId="94">
    <w:nsid w:val="49DA307D"/>
    <w:multiLevelType w:val="hybridMultilevel"/>
    <w:lvl w:ilvl="0">
      <w:lvlJc w:val="left"/>
      <w:lvlText w:val="(%1)"/>
      <w:numFmt w:val="lowerRoman"/>
      <w:start w:val="3"/>
    </w:lvl>
    <w:lvl w:ilvl="1">
      <w:lvlJc w:val="left"/>
      <w:lvlText w:val="%2"/>
      <w:numFmt w:val="upperLetter"/>
      <w:start w:val="1"/>
    </w:lvl>
  </w:abstractNum>
  <w:abstractNum w:abstractNumId="95">
    <w:nsid w:val="7055A5F5"/>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2020-06-11T09:56:35Z</dcterms:created>
  <dcterms:modified xsi:type="dcterms:W3CDTF">2020-06-11T09:56:35Z</dcterms:modified>
</cp:coreProperties>
</file>