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596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961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Chiang Willie CW</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08/24/2015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58"/>
        <w:spacing w:after="0"/>
        <w:rPr>
          <w:sz w:val="20"/>
          <w:szCs w:val="20"/>
          <w:color w:val="auto"/>
        </w:rPr>
      </w:pPr>
      <w:r>
        <w:rPr>
          <w:rFonts w:ascii="Arial" w:cs="Arial" w:eastAsia="Arial" w:hAnsi="Arial"/>
          <w:sz w:val="17"/>
          <w:szCs w:val="17"/>
          <w:color w:val="0000FF"/>
        </w:rPr>
        <w:t>EVP &amp; COO (U.S.)</w:t>
      </w:r>
    </w:p>
    <w:p>
      <w:pPr>
        <w:spacing w:after="0" w:line="328"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60" w:type="dxa"/>
            <w:vAlign w:val="bottom"/>
          </w:tcPr>
          <w:p>
            <w:pPr>
              <w:spacing w:after="0"/>
              <w:rPr>
                <w:sz w:val="20"/>
                <w:szCs w:val="20"/>
                <w:color w:val="auto"/>
              </w:rPr>
            </w:pPr>
            <w:r>
              <w:rPr>
                <w:rFonts w:ascii="Arial" w:cs="Arial" w:eastAsia="Arial" w:hAnsi="Arial"/>
                <w:sz w:val="13"/>
                <w:szCs w:val="13"/>
                <w:color w:val="0000FF"/>
              </w:rPr>
              <w:t>Class B</w:t>
            </w:r>
          </w:p>
        </w:tc>
        <w:tc>
          <w:tcPr>
            <w:tcW w:w="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line="146" w:lineRule="exact"/>
              <w:rPr>
                <w:sz w:val="20"/>
                <w:szCs w:val="20"/>
                <w:color w:val="auto"/>
              </w:rPr>
            </w:pPr>
            <w:r>
              <w:rPr>
                <w:rFonts w:ascii="Arial" w:cs="Arial" w:eastAsia="Arial" w:hAnsi="Arial"/>
                <w:sz w:val="13"/>
                <w:szCs w:val="13"/>
                <w:color w:val="0000FF"/>
              </w:rPr>
              <w:t>Units in</w:t>
            </w:r>
          </w:p>
        </w:tc>
        <w:tc>
          <w:tcPr>
            <w:tcW w:w="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vMerge w:val="restart"/>
          </w:tcPr>
          <w:p>
            <w:pPr>
              <w:jc w:val="right"/>
              <w:ind w:right="205"/>
              <w:spacing w:after="0"/>
              <w:rPr>
                <w:sz w:val="20"/>
                <w:szCs w:val="20"/>
                <w:color w:val="auto"/>
              </w:rPr>
            </w:pPr>
            <w:r>
              <w:rPr>
                <w:rFonts w:ascii="Arial" w:cs="Arial" w:eastAsia="Arial" w:hAnsi="Arial"/>
                <w:sz w:val="11"/>
                <w:szCs w:val="11"/>
                <w:color w:val="008000"/>
              </w:rPr>
              <w:t>(1)(2)</w:t>
            </w:r>
          </w:p>
        </w:tc>
        <w:tc>
          <w:tcPr>
            <w:tcW w:w="660" w:type="dxa"/>
            <w:vAlign w:val="bottom"/>
            <w:vMerge w:val="restart"/>
          </w:tcPr>
          <w:p>
            <w:pPr>
              <w:jc w:val="right"/>
              <w:ind w:right="105"/>
              <w:spacing w:after="0"/>
              <w:rPr>
                <w:sz w:val="20"/>
                <w:szCs w:val="20"/>
                <w:color w:val="auto"/>
              </w:rPr>
            </w:pPr>
            <w:r>
              <w:rPr>
                <w:rFonts w:ascii="Arial" w:cs="Arial" w:eastAsia="Arial" w:hAnsi="Arial"/>
                <w:sz w:val="11"/>
                <w:szCs w:val="11"/>
                <w:color w:val="008000"/>
              </w:rPr>
              <w:t>(1)(2)</w:t>
            </w:r>
          </w:p>
        </w:tc>
        <w:tc>
          <w:tcPr>
            <w:tcW w:w="580" w:type="dxa"/>
            <w:vAlign w:val="bottom"/>
          </w:tcPr>
          <w:p>
            <w:pPr>
              <w:jc w:val="center"/>
              <w:ind w:left="13"/>
              <w:spacing w:after="0" w:line="146" w:lineRule="exact"/>
              <w:rPr>
                <w:sz w:val="20"/>
                <w:szCs w:val="20"/>
                <w:color w:val="auto"/>
              </w:rPr>
            </w:pPr>
            <w:r>
              <w:rPr>
                <w:rFonts w:ascii="Arial" w:cs="Arial" w:eastAsia="Arial" w:hAnsi="Arial"/>
                <w:sz w:val="13"/>
                <w:szCs w:val="13"/>
                <w:color w:val="0000FF"/>
                <w:w w:val="92"/>
              </w:rPr>
              <w:t>Class</w:t>
            </w:r>
          </w:p>
        </w:tc>
        <w:tc>
          <w:tcPr>
            <w:tcW w:w="820" w:type="dxa"/>
            <w:vAlign w:val="bottom"/>
            <w:vMerge w:val="restart"/>
          </w:tcPr>
          <w:p>
            <w:pPr>
              <w:jc w:val="right"/>
              <w:ind w:right="94"/>
              <w:spacing w:after="0"/>
              <w:rPr>
                <w:sz w:val="20"/>
                <w:szCs w:val="20"/>
                <w:color w:val="auto"/>
              </w:rPr>
            </w:pPr>
            <w:r>
              <w:rPr>
                <w:rFonts w:ascii="Arial" w:cs="Arial" w:eastAsia="Arial" w:hAnsi="Arial"/>
                <w:sz w:val="17"/>
                <w:szCs w:val="17"/>
                <w:color w:val="0000FF"/>
              </w:rPr>
              <w:t>936,548</w:t>
            </w: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line="146" w:lineRule="exact"/>
              <w:rPr>
                <w:sz w:val="20"/>
                <w:szCs w:val="20"/>
                <w:color w:val="auto"/>
              </w:rPr>
            </w:pPr>
            <w:r>
              <w:rPr>
                <w:rFonts w:ascii="Arial" w:cs="Arial" w:eastAsia="Arial" w:hAnsi="Arial"/>
                <w:sz w:val="13"/>
                <w:szCs w:val="13"/>
                <w:color w:val="0000FF"/>
              </w:rPr>
              <w:t>Plains</w:t>
            </w:r>
          </w:p>
        </w:tc>
        <w:tc>
          <w:tcPr>
            <w:tcW w:w="660" w:type="dxa"/>
            <w:vAlign w:val="bottom"/>
          </w:tcPr>
          <w:p>
            <w:pPr>
              <w:jc w:val="right"/>
              <w:ind w:righ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80" w:type="dxa"/>
            <w:vAlign w:val="bottom"/>
          </w:tcPr>
          <w:p>
            <w:pPr>
              <w:jc w:val="right"/>
              <w:ind w:right="713"/>
              <w:spacing w:after="0" w:line="146" w:lineRule="exact"/>
              <w:rPr>
                <w:sz w:val="20"/>
                <w:szCs w:val="20"/>
                <w:color w:val="auto"/>
              </w:rPr>
            </w:pPr>
            <w:r>
              <w:rPr>
                <w:rFonts w:ascii="Arial" w:cs="Arial" w:eastAsia="Arial" w:hAnsi="Arial"/>
                <w:sz w:val="13"/>
                <w:szCs w:val="13"/>
                <w:color w:val="0000FF"/>
              </w:rPr>
              <w:t>08/24/2015</w:t>
            </w:r>
          </w:p>
        </w:tc>
        <w:tc>
          <w:tcPr>
            <w:tcW w:w="1180" w:type="dxa"/>
            <w:vAlign w:val="bottom"/>
          </w:tcPr>
          <w:p>
            <w:pPr>
              <w:ind w:left="760"/>
              <w:spacing w:after="0" w:line="146" w:lineRule="exact"/>
              <w:rPr>
                <w:sz w:val="20"/>
                <w:szCs w:val="20"/>
                <w:color w:val="auto"/>
              </w:rPr>
            </w:pPr>
            <w:r>
              <w:rPr>
                <w:rFonts w:ascii="Arial" w:cs="Arial" w:eastAsia="Arial" w:hAnsi="Arial"/>
                <w:sz w:val="13"/>
                <w:szCs w:val="13"/>
                <w:color w:val="0000FF"/>
              </w:rPr>
              <w:t>A</w:t>
            </w:r>
          </w:p>
        </w:tc>
        <w:tc>
          <w:tcPr>
            <w:tcW w:w="1180" w:type="dxa"/>
            <w:vAlign w:val="bottom"/>
          </w:tcPr>
          <w:p>
            <w:pPr>
              <w:jc w:val="right"/>
              <w:ind w:right="273"/>
              <w:spacing w:after="0" w:line="146" w:lineRule="exact"/>
              <w:rPr>
                <w:sz w:val="20"/>
                <w:szCs w:val="20"/>
                <w:color w:val="auto"/>
              </w:rPr>
            </w:pPr>
            <w:r>
              <w:rPr>
                <w:rFonts w:ascii="Arial" w:cs="Arial" w:eastAsia="Arial" w:hAnsi="Arial"/>
                <w:sz w:val="13"/>
                <w:szCs w:val="13"/>
                <w:color w:val="0000FF"/>
              </w:rPr>
              <w:t>1,000,000</w:t>
            </w:r>
          </w:p>
        </w:tc>
        <w:tc>
          <w:tcPr>
            <w:tcW w:w="8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jc w:val="center"/>
              <w:ind w:left="13"/>
              <w:spacing w:after="0" w:line="146" w:lineRule="exact"/>
              <w:rPr>
                <w:sz w:val="20"/>
                <w:szCs w:val="20"/>
                <w:color w:val="auto"/>
              </w:rPr>
            </w:pPr>
            <w:r>
              <w:rPr>
                <w:rFonts w:ascii="Arial" w:cs="Arial" w:eastAsia="Arial" w:hAnsi="Arial"/>
                <w:sz w:val="13"/>
                <w:szCs w:val="13"/>
                <w:color w:val="0000FF"/>
              </w:rPr>
              <w:t>A</w:t>
            </w:r>
          </w:p>
        </w:tc>
        <w:tc>
          <w:tcPr>
            <w:tcW w:w="820" w:type="dxa"/>
            <w:vAlign w:val="bottom"/>
            <w:vMerge w:val="continue"/>
          </w:tcPr>
          <w:p>
            <w:pPr>
              <w:spacing w:after="0"/>
              <w:rPr>
                <w:sz w:val="12"/>
                <w:szCs w:val="12"/>
                <w:color w:val="auto"/>
              </w:rPr>
            </w:pPr>
          </w:p>
        </w:tc>
        <w:tc>
          <w:tcPr>
            <w:tcW w:w="560" w:type="dxa"/>
            <w:vAlign w:val="bottom"/>
          </w:tcPr>
          <w:p>
            <w:pPr>
              <w:jc w:val="right"/>
              <w:ind w:right="2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tcPr>
          <w:p>
            <w:pPr>
              <w:jc w:val="right"/>
              <w:ind w:right="213"/>
              <w:spacing w:after="0" w:line="146" w:lineRule="exact"/>
              <w:rPr>
                <w:sz w:val="20"/>
                <w:szCs w:val="20"/>
                <w:color w:val="auto"/>
              </w:rPr>
            </w:pPr>
            <w:r>
              <w:rPr>
                <w:rFonts w:ascii="Arial" w:cs="Arial" w:eastAsia="Arial" w:hAnsi="Arial"/>
                <w:sz w:val="13"/>
                <w:szCs w:val="13"/>
                <w:color w:val="0000FF"/>
              </w:rPr>
              <w:t>1,000,000</w:t>
            </w:r>
          </w:p>
        </w:tc>
        <w:tc>
          <w:tcPr>
            <w:tcW w:w="360" w:type="dxa"/>
            <w:vAlign w:val="bottom"/>
          </w:tcPr>
          <w:p>
            <w:pPr>
              <w:ind w:left="260"/>
              <w:spacing w:after="0" w:line="146" w:lineRule="exact"/>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142"/>
        </w:trPr>
        <w:tc>
          <w:tcPr>
            <w:tcW w:w="760" w:type="dxa"/>
            <w:vAlign w:val="bottom"/>
          </w:tcPr>
          <w:p>
            <w:pPr>
              <w:spacing w:after="0" w:line="142" w:lineRule="exact"/>
              <w:rPr>
                <w:sz w:val="20"/>
                <w:szCs w:val="20"/>
                <w:color w:val="auto"/>
              </w:rPr>
            </w:pPr>
            <w:r>
              <w:rPr>
                <w:rFonts w:ascii="Arial" w:cs="Arial" w:eastAsia="Arial" w:hAnsi="Arial"/>
                <w:sz w:val="13"/>
                <w:szCs w:val="13"/>
                <w:color w:val="0000FF"/>
              </w:rPr>
              <w:t>AAP, L.P.</w:t>
            </w:r>
          </w:p>
        </w:tc>
        <w:tc>
          <w:tcPr>
            <w:tcW w:w="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jc w:val="center"/>
              <w:ind w:left="13"/>
              <w:spacing w:after="0" w:line="142" w:lineRule="exact"/>
              <w:rPr>
                <w:sz w:val="20"/>
                <w:szCs w:val="20"/>
                <w:color w:val="auto"/>
              </w:rPr>
            </w:pPr>
            <w:r>
              <w:rPr>
                <w:rFonts w:ascii="Arial" w:cs="Arial" w:eastAsia="Arial" w:hAnsi="Arial"/>
                <w:sz w:val="13"/>
                <w:szCs w:val="13"/>
                <w:color w:val="0000FF"/>
                <w:w w:val="82"/>
              </w:rPr>
              <w:t>Shares</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20"/>
                <w:szCs w:val="20"/>
                <w:color w:val="auto"/>
              </w:rPr>
            </w:pPr>
            <w:r>
              <w:rPr>
                <w:rFonts w:ascii="Arial" w:cs="Arial" w:eastAsia="Arial" w:hAnsi="Arial"/>
                <w:sz w:val="11"/>
                <w:szCs w:val="11"/>
                <w:color w:val="008000"/>
              </w:rPr>
              <w:t>(1)(2)</w:t>
            </w:r>
          </w:p>
        </w:tc>
        <w:tc>
          <w:tcPr>
            <w:tcW w:w="6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Class B Units in Plains AAP, L.P. represent a profits interest. The Class B Units become earned (entitled to receive distributions) in 25% increments upon payment by Plains All American Pipeline, L.P. ("PAA") of annualized quarterly distributions of $2.90, $3.15, $3.30 and $3.50 per PAA common unit, respectively. The Class B Units are subject to a call right in the event Reporting Person's employment is terminated under certain circumstances prior to December 31, 2022. If Reporting Person remains employed after such date or his employment is terminated under certain circumstances prior to December 31, 2018, the Class B Units will be deemed to have vested.</w:t>
      </w:r>
    </w:p>
    <w:p>
      <w:pPr>
        <w:spacing w:after="0" w:line="28" w:lineRule="exact"/>
        <w:rPr>
          <w:rFonts w:ascii="Arial" w:cs="Arial" w:eastAsia="Arial" w:hAnsi="Arial"/>
          <w:sz w:val="13"/>
          <w:szCs w:val="13"/>
          <w:color w:val="008000"/>
        </w:rPr>
      </w:pPr>
    </w:p>
    <w:p>
      <w:pPr>
        <w:ind w:left="40" w:right="1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After December 31, 2015, Reporting Person has the right to convert his vested Class B Units into a number of Class A Units in Plains AAP, L.P. and Class B Shares in Plains GP Holdings, L.P. equal to the number of Class B Units converted times a conversion factor (which conversion factor will not be more than 1:1 and was approximately 0.937:1 as of the date hereof). Following any such conversion, the resulting Class A Units and Class B Shares are exchangeable for Class A Shares of PAGP on a one-for-one basis.</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Willie CW Chiang</w:t>
            </w:r>
          </w:p>
        </w:tc>
        <w:tc>
          <w:tcPr>
            <w:tcW w:w="7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08/24/2015</w:t>
            </w:r>
          </w:p>
        </w:tc>
      </w:tr>
      <w:tr>
        <w:trPr>
          <w:trHeight w:val="233"/>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2020-01-22T10:02:40Z</dcterms:created>
  <dcterms:modified xsi:type="dcterms:W3CDTF">2020-01-22T10:02:40Z</dcterms:modified>
</cp:coreProperties>
</file>