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6294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940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546735</wp:posOffset>
            </wp:positionV>
            <wp:extent cx="6629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219710</wp:posOffset>
            </wp:positionV>
            <wp:extent cx="16979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99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229870</wp:posOffset>
            </wp:positionV>
            <wp:extent cx="16979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99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700" w:right="240" w:hanging="382"/>
        <w:spacing w:after="0" w:line="267" w:lineRule="auto"/>
        <w:tabs>
          <w:tab w:leader="none" w:pos="865"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June 30, 2015</w:t>
      </w: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266" w:lineRule="exact"/>
        <w:rPr>
          <w:sz w:val="24"/>
          <w:szCs w:val="24"/>
          <w:color w:val="auto"/>
        </w:rPr>
      </w:pPr>
    </w:p>
    <w:p>
      <w:pPr>
        <w:ind w:left="700" w:right="220" w:hanging="382"/>
        <w:spacing w:after="0" w:line="267" w:lineRule="auto"/>
        <w:tabs>
          <w:tab w:leader="none" w:pos="865"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231140</wp:posOffset>
            </wp:positionV>
            <wp:extent cx="169799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99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PLAINS ALL AMERICAN PIPELINE, L.P.</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06"/>
        </w:trPr>
        <w:tc>
          <w:tcPr>
            <w:tcW w:w="6040" w:type="dxa"/>
            <w:vAlign w:val="bottom"/>
            <w:gridSpan w:val="3"/>
          </w:tcPr>
          <w:p>
            <w:pPr>
              <w:jc w:val="center"/>
              <w:ind w:left="2179"/>
              <w:spacing w:after="0"/>
              <w:rPr>
                <w:sz w:val="20"/>
                <w:szCs w:val="20"/>
                <w:color w:val="auto"/>
              </w:rPr>
            </w:pPr>
            <w:r>
              <w:rPr>
                <w:rFonts w:ascii="Arial" w:cs="Arial" w:eastAsia="Arial" w:hAnsi="Arial"/>
                <w:sz w:val="16"/>
                <w:szCs w:val="16"/>
                <w:color w:val="auto"/>
                <w:w w:val="91"/>
              </w:rPr>
              <w:t>(Exact name of registrant as specified in its charter)</w:t>
            </w:r>
          </w:p>
        </w:tc>
        <w:tc>
          <w:tcPr>
            <w:tcW w:w="1380" w:type="dxa"/>
            <w:vAlign w:val="bottom"/>
          </w:tcPr>
          <w:p>
            <w:pPr>
              <w:spacing w:after="0"/>
              <w:rPr>
                <w:sz w:val="17"/>
                <w:szCs w:val="17"/>
                <w:color w:val="auto"/>
              </w:rPr>
            </w:pPr>
          </w:p>
        </w:tc>
      </w:tr>
      <w:tr>
        <w:trPr>
          <w:trHeight w:val="432"/>
        </w:trPr>
        <w:tc>
          <w:tcPr>
            <w:tcW w:w="6040" w:type="dxa"/>
            <w:vAlign w:val="bottom"/>
            <w:gridSpan w:val="3"/>
          </w:tcPr>
          <w:p>
            <w:pPr>
              <w:jc w:val="center"/>
              <w:ind w:right="3060"/>
              <w:spacing w:after="0"/>
              <w:rPr>
                <w:sz w:val="20"/>
                <w:szCs w:val="20"/>
                <w:color w:val="auto"/>
              </w:rPr>
            </w:pPr>
            <w:r>
              <w:rPr>
                <w:rFonts w:ascii="Arial" w:cs="Arial" w:eastAsia="Arial" w:hAnsi="Arial"/>
                <w:sz w:val="16"/>
                <w:szCs w:val="16"/>
                <w:b w:val="1"/>
                <w:bCs w:val="1"/>
                <w:color w:val="auto"/>
                <w:w w:val="93"/>
              </w:rPr>
              <w:t>Delaware</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76-0582150</w:t>
            </w:r>
          </w:p>
        </w:tc>
      </w:tr>
      <w:tr>
        <w:trPr>
          <w:trHeight w:val="243"/>
        </w:trPr>
        <w:tc>
          <w:tcPr>
            <w:tcW w:w="6040" w:type="dxa"/>
            <w:vAlign w:val="bottom"/>
            <w:gridSpan w:val="3"/>
          </w:tcPr>
          <w:p>
            <w:pPr>
              <w:jc w:val="center"/>
              <w:ind w:right="3040"/>
              <w:spacing w:after="0"/>
              <w:rPr>
                <w:sz w:val="20"/>
                <w:szCs w:val="20"/>
                <w:color w:val="auto"/>
              </w:rPr>
            </w:pPr>
            <w:r>
              <w:rPr>
                <w:rFonts w:ascii="Arial" w:cs="Arial" w:eastAsia="Arial" w:hAnsi="Arial"/>
                <w:sz w:val="16"/>
                <w:szCs w:val="16"/>
                <w:color w:val="auto"/>
                <w:w w:val="93"/>
              </w:rPr>
              <w:t>(State or other jurisdiction of</w:t>
            </w:r>
          </w:p>
        </w:tc>
        <w:tc>
          <w:tcPr>
            <w:tcW w:w="1380" w:type="dxa"/>
            <w:vAlign w:val="bottom"/>
          </w:tcPr>
          <w:p>
            <w:pPr>
              <w:jc w:val="center"/>
              <w:ind w:left="99"/>
              <w:spacing w:after="0"/>
              <w:rPr>
                <w:sz w:val="20"/>
                <w:szCs w:val="20"/>
                <w:color w:val="auto"/>
              </w:rPr>
            </w:pPr>
            <w:r>
              <w:rPr>
                <w:rFonts w:ascii="Arial" w:cs="Arial" w:eastAsia="Arial" w:hAnsi="Arial"/>
                <w:sz w:val="16"/>
                <w:szCs w:val="16"/>
                <w:color w:val="auto"/>
                <w:w w:val="95"/>
              </w:rPr>
              <w:t>(I.R.S. Employer</w:t>
            </w:r>
          </w:p>
        </w:tc>
      </w:tr>
      <w:tr>
        <w:trPr>
          <w:trHeight w:val="243"/>
        </w:trPr>
        <w:tc>
          <w:tcPr>
            <w:tcW w:w="6040" w:type="dxa"/>
            <w:vAlign w:val="bottom"/>
            <w:gridSpan w:val="3"/>
          </w:tcPr>
          <w:p>
            <w:pPr>
              <w:jc w:val="center"/>
              <w:ind w:right="3060"/>
              <w:spacing w:after="0"/>
              <w:rPr>
                <w:sz w:val="20"/>
                <w:szCs w:val="20"/>
                <w:color w:val="auto"/>
              </w:rPr>
            </w:pPr>
            <w:r>
              <w:rPr>
                <w:rFonts w:ascii="Arial" w:cs="Arial" w:eastAsia="Arial" w:hAnsi="Arial"/>
                <w:sz w:val="16"/>
                <w:szCs w:val="16"/>
                <w:color w:val="auto"/>
                <w:w w:val="93"/>
              </w:rPr>
              <w:t>incorporation or organization)</w:t>
            </w:r>
          </w:p>
        </w:tc>
        <w:tc>
          <w:tcPr>
            <w:tcW w:w="1380" w:type="dxa"/>
            <w:vAlign w:val="bottom"/>
          </w:tcPr>
          <w:p>
            <w:pPr>
              <w:jc w:val="center"/>
              <w:ind w:left="99"/>
              <w:spacing w:after="0"/>
              <w:rPr>
                <w:sz w:val="20"/>
                <w:szCs w:val="20"/>
                <w:color w:val="auto"/>
              </w:rPr>
            </w:pPr>
            <w:r>
              <w:rPr>
                <w:rFonts w:ascii="Arial" w:cs="Arial" w:eastAsia="Arial" w:hAnsi="Arial"/>
                <w:sz w:val="16"/>
                <w:szCs w:val="16"/>
                <w:color w:val="auto"/>
                <w:w w:val="96"/>
              </w:rPr>
              <w:t>Identification No.)</w:t>
            </w:r>
          </w:p>
        </w:tc>
      </w:tr>
      <w:tr>
        <w:trPr>
          <w:trHeight w:val="729"/>
        </w:trPr>
        <w:tc>
          <w:tcPr>
            <w:tcW w:w="6040" w:type="dxa"/>
            <w:vAlign w:val="bottom"/>
            <w:gridSpan w:val="3"/>
          </w:tcPr>
          <w:p>
            <w:pPr>
              <w:jc w:val="center"/>
              <w:ind w:right="3040"/>
              <w:spacing w:after="0"/>
              <w:rPr>
                <w:sz w:val="20"/>
                <w:szCs w:val="20"/>
                <w:color w:val="auto"/>
              </w:rPr>
            </w:pPr>
            <w:r>
              <w:rPr>
                <w:rFonts w:ascii="Arial" w:cs="Arial" w:eastAsia="Arial" w:hAnsi="Arial"/>
                <w:sz w:val="16"/>
                <w:szCs w:val="16"/>
                <w:b w:val="1"/>
                <w:bCs w:val="1"/>
                <w:color w:val="auto"/>
                <w:w w:val="90"/>
              </w:rPr>
              <w:t>333 Clay Street, Suite 1600, Houston, Texas</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243"/>
        </w:trPr>
        <w:tc>
          <w:tcPr>
            <w:tcW w:w="6040" w:type="dxa"/>
            <w:vAlign w:val="bottom"/>
            <w:gridSpan w:val="3"/>
          </w:tcPr>
          <w:p>
            <w:pPr>
              <w:jc w:val="center"/>
              <w:ind w:right="3060"/>
              <w:spacing w:after="0"/>
              <w:rPr>
                <w:sz w:val="20"/>
                <w:szCs w:val="20"/>
                <w:color w:val="auto"/>
              </w:rPr>
            </w:pPr>
            <w:r>
              <w:rPr>
                <w:rFonts w:ascii="Arial" w:cs="Arial" w:eastAsia="Arial" w:hAnsi="Arial"/>
                <w:sz w:val="16"/>
                <w:szCs w:val="16"/>
                <w:color w:val="auto"/>
                <w:w w:val="94"/>
              </w:rPr>
              <w:t>(Address of principal executive offices)</w:t>
            </w:r>
          </w:p>
        </w:tc>
        <w:tc>
          <w:tcPr>
            <w:tcW w:w="1380" w:type="dxa"/>
            <w:vAlign w:val="bottom"/>
          </w:tcPr>
          <w:p>
            <w:pPr>
              <w:jc w:val="center"/>
              <w:ind w:left="99"/>
              <w:spacing w:after="0"/>
              <w:rPr>
                <w:sz w:val="20"/>
                <w:szCs w:val="20"/>
                <w:color w:val="auto"/>
              </w:rPr>
            </w:pPr>
            <w:r>
              <w:rPr>
                <w:rFonts w:ascii="Arial" w:cs="Arial" w:eastAsia="Arial" w:hAnsi="Arial"/>
                <w:sz w:val="16"/>
                <w:szCs w:val="16"/>
                <w:color w:val="auto"/>
                <w:w w:val="95"/>
              </w:rPr>
              <w:t>(Zip Code)</w:t>
            </w:r>
          </w:p>
        </w:tc>
      </w:tr>
      <w:tr>
        <w:trPr>
          <w:trHeight w:val="482"/>
        </w:trPr>
        <w:tc>
          <w:tcPr>
            <w:tcW w:w="5480" w:type="dxa"/>
            <w:vAlign w:val="bottom"/>
            <w:gridSpan w:val="2"/>
          </w:tcPr>
          <w:p>
            <w:pPr>
              <w:jc w:val="center"/>
              <w:ind w:left="2739"/>
              <w:spacing w:after="0"/>
              <w:rPr>
                <w:sz w:val="20"/>
                <w:szCs w:val="20"/>
                <w:color w:val="auto"/>
              </w:rPr>
            </w:pPr>
            <w:r>
              <w:rPr>
                <w:rFonts w:ascii="Arial" w:cs="Arial" w:eastAsia="Arial" w:hAnsi="Arial"/>
                <w:sz w:val="16"/>
                <w:szCs w:val="16"/>
                <w:b w:val="1"/>
                <w:bCs w:val="1"/>
                <w:color w:val="auto"/>
                <w:w w:val="93"/>
              </w:rPr>
              <w:t>(713) 646-4100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6"/>
        </w:trPr>
        <w:tc>
          <w:tcPr>
            <w:tcW w:w="6040" w:type="dxa"/>
            <w:vAlign w:val="bottom"/>
            <w:gridSpan w:val="3"/>
          </w:tcPr>
          <w:p>
            <w:pPr>
              <w:jc w:val="center"/>
              <w:ind w:left="2199"/>
              <w:spacing w:after="0"/>
              <w:rPr>
                <w:sz w:val="20"/>
                <w:szCs w:val="20"/>
                <w:color w:val="auto"/>
              </w:rPr>
            </w:pPr>
            <w:r>
              <w:rPr>
                <w:rFonts w:ascii="Arial" w:cs="Arial" w:eastAsia="Arial" w:hAnsi="Arial"/>
                <w:sz w:val="16"/>
                <w:szCs w:val="16"/>
                <w:color w:val="auto"/>
                <w:w w:val="91"/>
              </w:rPr>
              <w:t>(Registrant’s telephone number, including area code)</w:t>
            </w:r>
          </w:p>
        </w:tc>
        <w:tc>
          <w:tcPr>
            <w:tcW w:w="1380" w:type="dxa"/>
            <w:vAlign w:val="bottom"/>
          </w:tcPr>
          <w:p>
            <w:pPr>
              <w:spacing w:after="0"/>
              <w:rPr>
                <w:sz w:val="17"/>
                <w:szCs w:val="17"/>
                <w:color w:val="auto"/>
              </w:rPr>
            </w:pPr>
          </w:p>
        </w:tc>
      </w:tr>
      <w:tr>
        <w:trPr>
          <w:trHeight w:val="357"/>
        </w:trPr>
        <w:tc>
          <w:tcPr>
            <w:tcW w:w="2860" w:type="dxa"/>
            <w:vAlign w:val="bottom"/>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-20955</wp:posOffset>
            </wp:positionV>
            <wp:extent cx="16979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990" cy="59690"/>
                    </a:xfrm>
                    <a:prstGeom prst="rect">
                      <a:avLst/>
                    </a:prstGeom>
                    <a:noFill/>
                  </pic:spPr>
                </pic:pic>
              </a:graphicData>
            </a:graphic>
          </wp:anchor>
        </w:drawing>
      </w:r>
    </w:p>
    <w:p>
      <w:pPr>
        <w:spacing w:after="0" w:line="362" w:lineRule="exact"/>
        <w:rPr>
          <w:sz w:val="24"/>
          <w:szCs w:val="24"/>
          <w:color w:val="auto"/>
        </w:rPr>
      </w:pPr>
    </w:p>
    <w:p>
      <w:pPr>
        <w:ind w:right="2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3"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3" w:lineRule="exact"/>
        <w:rPr>
          <w:sz w:val="24"/>
          <w:szCs w:val="24"/>
          <w:color w:val="auto"/>
        </w:rPr>
      </w:pPr>
    </w:p>
    <w:p>
      <w:pPr>
        <w:ind w:right="160" w:firstLine="324"/>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400"/>
          </w:cols>
          <w:pgMar w:left="740" w:top="233" w:right="759" w:bottom="604" w:gutter="0" w:footer="0" w:header="0"/>
        </w:sectPr>
      </w:pPr>
    </w:p>
    <w:p>
      <w:pPr>
        <w:spacing w:after="0" w:line="199"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2" w:lineRule="exact"/>
        <w:rPr>
          <w:sz w:val="24"/>
          <w:szCs w:val="24"/>
          <w:color w:val="auto"/>
        </w:rPr>
      </w:pPr>
    </w:p>
    <w:p>
      <w:pPr>
        <w:sectPr>
          <w:pgSz w:w="11900" w:h="16838" w:orient="portrait"/>
          <w:cols w:equalWidth="0" w:num="4">
            <w:col w:w="3160" w:space="80"/>
            <w:col w:w="3260" w:space="720"/>
            <w:col w:w="1080" w:space="80"/>
            <w:col w:w="2020"/>
          </w:cols>
          <w:pgMar w:left="740" w:top="233" w:right="759" w:bottom="604" w:gutter="0" w:footer="0" w:header="0"/>
          <w:type w:val="continuous"/>
        </w:sectPr>
      </w:pPr>
    </w:p>
    <w:p>
      <w:pPr>
        <w:spacing w:after="0" w:line="114" w:lineRule="exact"/>
        <w:rPr>
          <w:sz w:val="24"/>
          <w:szCs w:val="24"/>
          <w:color w:val="auto"/>
        </w:rPr>
      </w:pPr>
    </w:p>
    <w:p>
      <w:pPr>
        <w:ind w:left="17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4">
            <w:col w:w="3120" w:space="80"/>
            <w:col w:w="2960" w:space="720"/>
            <w:col w:w="1780" w:space="80"/>
            <w:col w:w="1660"/>
          </w:cols>
          <w:pgMar w:left="740" w:top="233" w:right="759" w:bottom="604" w:gutter="0" w:footer="0" w:header="0"/>
          <w:type w:val="continuous"/>
        </w:sectPr>
      </w:pPr>
    </w:p>
    <w:p>
      <w:pPr>
        <w:ind w:left="1040"/>
        <w:spacing w:after="0"/>
        <w:rPr>
          <w:sz w:val="20"/>
          <w:szCs w:val="20"/>
          <w:color w:val="auto"/>
        </w:rPr>
      </w:pPr>
      <w:r>
        <w:rPr>
          <w:rFonts w:ascii="Arial" w:cs="Arial" w:eastAsia="Arial" w:hAnsi="Arial"/>
          <w:sz w:val="16"/>
          <w:szCs w:val="16"/>
          <w:color w:val="auto"/>
        </w:rPr>
        <w:t>(Do not check if a smaller reporting company)</w:t>
      </w:r>
    </w:p>
    <w:p>
      <w:pPr>
        <w:spacing w:after="0" w:line="272"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1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July 31, 2015, there were 397,680,214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629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335280</wp:posOffset>
            </wp:positionV>
            <wp:extent cx="66294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9400" cy="34290"/>
                    </a:xfrm>
                    <a:prstGeom prst="rect">
                      <a:avLst/>
                    </a:prstGeom>
                    <a:noFill/>
                  </pic:spPr>
                </pic:pic>
              </a:graphicData>
            </a:graphic>
          </wp:anchor>
        </w:drawing>
      </w:r>
    </w:p>
    <w:p>
      <w:pPr>
        <w:sectPr>
          <w:pgSz w:w="11900" w:h="16838" w:orient="portrait"/>
          <w:cols w:equalWidth="0" w:num="1">
            <w:col w:w="10400"/>
          </w:cols>
          <w:pgMar w:left="740" w:top="233" w:right="759" w:bottom="60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864870</wp:posOffset>
            </wp:positionH>
            <wp:positionV relativeFrom="page">
              <wp:posOffset>590550</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560" w:type="dxa"/>
            <w:vAlign w:val="bottom"/>
            <w:gridSpan w:val="16"/>
            <w:vMerge w:val="restart"/>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EE"/>
            </w:tcBorders>
            <w:gridSpan w:val="18"/>
            <w:vMerge w:val="continue"/>
          </w:tcPr>
          <w:p>
            <w:pPr>
              <w:spacing w:after="0"/>
              <w:rPr>
                <w:sz w:val="15"/>
                <w:szCs w:val="15"/>
                <w:color w:val="auto"/>
              </w:rPr>
            </w:pPr>
          </w:p>
        </w:tc>
        <w:tc>
          <w:tcPr>
            <w:tcW w:w="5560" w:type="dxa"/>
            <w:vAlign w:val="bottom"/>
            <w:gridSpan w:val="16"/>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 UNAUDITED CONDENSED CONSOLIDATED FINANCIAL STATEMENTS:</w:t>
              </w:r>
            </w:hyperlink>
          </w:p>
        </w:tc>
        <w:tc>
          <w:tcPr>
            <w:tcW w:w="2220" w:type="dxa"/>
            <w:vAlign w:val="bottom"/>
            <w:gridSpan w:val="9"/>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440" w:type="dxa"/>
            <w:vAlign w:val="bottom"/>
            <w:gridSpan w:val="3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2015 and December 31, 2014</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40" w:type="dxa"/>
            <w:vAlign w:val="bottom"/>
            <w:gridSpan w:val="3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For the three and six months ended June 30, 2015 and 2014</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Income/(Loss): For the three and six months ended June</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860" w:type="dxa"/>
            <w:vAlign w:val="bottom"/>
            <w:tcBorders>
              <w:top w:val="single" w:sz="8" w:color="0000EE"/>
            </w:tcBorders>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30, 2015 and 2014</w:t>
              </w:r>
            </w:hyperlink>
          </w:p>
        </w:tc>
        <w:tc>
          <w:tcPr>
            <w:tcW w:w="36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Accumulated Other Comprehensive Income/(Loss): For the six</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40" w:type="dxa"/>
            <w:vAlign w:val="bottom"/>
            <w:tcBorders>
              <w:top w:val="single" w:sz="8" w:color="0000EE"/>
            </w:tcBorders>
            <w:gridSpan w:val="3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months ended June 30, 2015 and 2014</w:t>
              </w:r>
            </w:hyperlink>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738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six months ended June 30, 2015 and 2014</w:t>
              </w:r>
            </w:hyperlink>
          </w:p>
        </w:tc>
        <w:tc>
          <w:tcPr>
            <w:tcW w:w="1060" w:type="dxa"/>
            <w:vAlign w:val="bottom"/>
            <w:gridSpan w:val="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Partners’ Capital: For the six months ended June 30,</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3"/>
              </w:rPr>
            </w:pPr>
            <w:hyperlink w:anchor="page8">
              <w:r>
                <w:rPr>
                  <w:rFonts w:ascii="Arial" w:cs="Arial" w:eastAsia="Arial" w:hAnsi="Arial"/>
                  <w:sz w:val="18"/>
                  <w:szCs w:val="18"/>
                  <w:color w:val="0000EE"/>
                  <w:w w:val="83"/>
                </w:rPr>
                <w:t>2015 and 2014</w:t>
              </w:r>
            </w:hyperlink>
          </w:p>
        </w:tc>
        <w:tc>
          <w:tcPr>
            <w:tcW w:w="6240" w:type="dxa"/>
            <w:vAlign w:val="bottom"/>
            <w:tcBorders>
              <w:top w:val="single" w:sz="8" w:color="0000EE"/>
            </w:tcBorders>
            <w:gridSpan w:val="22"/>
          </w:tcPr>
          <w:p>
            <w:pPr>
              <w:spacing w:after="0"/>
              <w:rPr>
                <w:sz w:val="19"/>
                <w:szCs w:val="19"/>
                <w:color w:val="auto"/>
              </w:rPr>
            </w:pPr>
          </w:p>
        </w:tc>
        <w:tc>
          <w:tcPr>
            <w:tcW w:w="96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440" w:type="dxa"/>
            <w:vAlign w:val="bottom"/>
            <w:gridSpan w:val="3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320" w:type="dxa"/>
            <w:vAlign w:val="bottom"/>
            <w:gridSpan w:val="2"/>
          </w:tcPr>
          <w:p>
            <w:pPr>
              <w:ind w:left="160"/>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8120" w:type="dxa"/>
            <w:vAlign w:val="bottom"/>
            <w:gridSpan w:val="31"/>
          </w:tcPr>
          <w:p>
            <w:pPr>
              <w:ind w:left="20"/>
              <w:spacing w:after="0"/>
              <w:rPr>
                <w:rFonts w:ascii="Arial" w:cs="Arial" w:eastAsia="Arial" w:hAnsi="Arial"/>
                <w:sz w:val="18"/>
                <w:szCs w:val="18"/>
                <w:color w:val="0000EE"/>
              </w:rPr>
            </w:pPr>
            <w:hyperlink w:anchor="page9">
              <w:r>
                <w:rPr>
                  <w:rFonts w:ascii="Arial" w:cs="Arial" w:eastAsia="Arial" w:hAnsi="Arial"/>
                  <w:sz w:val="18"/>
                  <w:szCs w:val="18"/>
                  <w:color w:val="0000EE"/>
                </w:rPr>
                <w:t>Organization and Basis of Consolidation and Presentation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8120" w:type="dxa"/>
            <w:vAlign w:val="bottom"/>
            <w:gridSpan w:val="31"/>
          </w:tcPr>
          <w:p>
            <w:pPr>
              <w:ind w:left="20"/>
              <w:spacing w:after="0"/>
              <w:rPr>
                <w:rFonts w:ascii="Arial" w:cs="Arial" w:eastAsia="Arial" w:hAnsi="Arial"/>
                <w:sz w:val="18"/>
                <w:szCs w:val="18"/>
                <w:color w:val="0000EE"/>
              </w:rPr>
            </w:pPr>
            <w:hyperlink w:anchor="page10">
              <w:r>
                <w:rPr>
                  <w:rFonts w:ascii="Arial" w:cs="Arial" w:eastAsia="Arial" w:hAnsi="Arial"/>
                  <w:sz w:val="18"/>
                  <w:szCs w:val="18"/>
                  <w:color w:val="0000EE"/>
                </w:rPr>
                <w:t>Recent Accounting Pronouncements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8120" w:type="dxa"/>
            <w:vAlign w:val="bottom"/>
            <w:gridSpan w:val="31"/>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Net Income Per Limited Partner Unit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4.</w:t>
              </w:r>
            </w:hyperlink>
          </w:p>
        </w:tc>
        <w:tc>
          <w:tcPr>
            <w:tcW w:w="8120" w:type="dxa"/>
            <w:vAlign w:val="bottom"/>
            <w:gridSpan w:val="3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Accounts Receivable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5.</w:t>
              </w:r>
            </w:hyperlink>
          </w:p>
        </w:tc>
        <w:tc>
          <w:tcPr>
            <w:tcW w:w="8120" w:type="dxa"/>
            <w:vAlign w:val="bottom"/>
            <w:gridSpan w:val="31"/>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Inventory, Linefill and Base Gas and Long-term Inventory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6.</w:t>
              </w:r>
            </w:hyperlink>
          </w:p>
        </w:tc>
        <w:tc>
          <w:tcPr>
            <w:tcW w:w="8120" w:type="dxa"/>
            <w:vAlign w:val="bottom"/>
            <w:gridSpan w:val="31"/>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Debt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7.</w:t>
              </w:r>
            </w:hyperlink>
          </w:p>
        </w:tc>
        <w:tc>
          <w:tcPr>
            <w:tcW w:w="8120" w:type="dxa"/>
            <w:vAlign w:val="bottom"/>
            <w:gridSpan w:val="3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Partners’ Capital and Distributions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8.</w:t>
              </w:r>
            </w:hyperlink>
          </w:p>
        </w:tc>
        <w:tc>
          <w:tcPr>
            <w:tcW w:w="8120" w:type="dxa"/>
            <w:vAlign w:val="bottom"/>
            <w:gridSpan w:val="31"/>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Derivatives and Risk Management Activities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3"/>
          </w:tcPr>
          <w:p>
            <w:pPr>
              <w:ind w:left="360"/>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9.</w:t>
              </w:r>
            </w:hyperlink>
          </w:p>
        </w:tc>
        <w:tc>
          <w:tcPr>
            <w:tcW w:w="8120" w:type="dxa"/>
            <w:vAlign w:val="bottom"/>
            <w:gridSpan w:val="31"/>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Equity-Indexed Compensation Plans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10. Commitments and Contingencies</w:t>
              </w:r>
            </w:hyperlink>
          </w:p>
        </w:tc>
        <w:tc>
          <w:tcPr>
            <w:tcW w:w="120" w:type="dxa"/>
            <w:vAlign w:val="bottom"/>
            <w:tcBorders>
              <w:top w:val="single" w:sz="8" w:color="0000EE"/>
            </w:tcBorders>
            <w:gridSpan w:val="3"/>
          </w:tcPr>
          <w:p>
            <w:pPr>
              <w:spacing w:after="0"/>
              <w:rPr>
                <w:sz w:val="19"/>
                <w:szCs w:val="19"/>
                <w:color w:val="auto"/>
              </w:rPr>
            </w:pPr>
          </w:p>
        </w:tc>
        <w:tc>
          <w:tcPr>
            <w:tcW w:w="5460" w:type="dxa"/>
            <w:vAlign w:val="bottom"/>
            <w:gridSpan w:val="1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11. Operating Segments</w:t>
              </w:r>
            </w:hyperlink>
          </w:p>
        </w:tc>
        <w:tc>
          <w:tcPr>
            <w:tcW w:w="6540" w:type="dxa"/>
            <w:vAlign w:val="bottom"/>
            <w:gridSpan w:val="2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20" w:type="dxa"/>
            <w:vAlign w:val="bottom"/>
            <w:gridSpan w:val="3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12. Related Party Transactions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 2. MANAGEMENT’S DISCUSSION AND ANALYSIS OF FINANCIAL CONDITION AND RESULTS</w:t>
              </w:r>
            </w:hyperlink>
          </w:p>
        </w:tc>
        <w:tc>
          <w:tcPr>
            <w:tcW w:w="58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Item 3. QUANTITATIVE AND QUALITATIVE DISCLOSURES ABOUT MARKET RISK</w:t>
              </w:r>
            </w:hyperlink>
          </w:p>
        </w:tc>
        <w:tc>
          <w:tcPr>
            <w:tcW w:w="1940" w:type="dxa"/>
            <w:vAlign w:val="bottom"/>
            <w:gridSpan w:val="7"/>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Item 4. CONTROLS AND PROCEDURES</w:t>
              </w:r>
            </w:hyperlink>
          </w:p>
        </w:tc>
        <w:tc>
          <w:tcPr>
            <w:tcW w:w="5460" w:type="dxa"/>
            <w:vAlign w:val="bottom"/>
            <w:gridSpan w:val="1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66"/>
        </w:trPr>
        <w:tc>
          <w:tcPr>
            <w:tcW w:w="8640" w:type="dxa"/>
            <w:vAlign w:val="bottom"/>
            <w:gridSpan w:val="34"/>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1. LEGAL PROCEEDINGS</w:t>
              </w:r>
            </w:hyperlink>
          </w:p>
        </w:tc>
        <w:tc>
          <w:tcPr>
            <w:tcW w:w="320" w:type="dxa"/>
            <w:vAlign w:val="bottom"/>
            <w:tcBorders>
              <w:top w:val="single" w:sz="8" w:color="0000EE"/>
            </w:tcBorders>
            <w:gridSpan w:val="2"/>
          </w:tcPr>
          <w:p>
            <w:pPr>
              <w:spacing w:after="0"/>
              <w:rPr>
                <w:sz w:val="19"/>
                <w:szCs w:val="19"/>
                <w:color w:val="auto"/>
              </w:rPr>
            </w:pPr>
          </w:p>
        </w:tc>
        <w:tc>
          <w:tcPr>
            <w:tcW w:w="5880" w:type="dxa"/>
            <w:vAlign w:val="bottom"/>
            <w:gridSpan w:val="1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Item 1A. RISK FACTORS</w:t>
              </w:r>
            </w:hyperlink>
          </w:p>
        </w:tc>
        <w:tc>
          <w:tcPr>
            <w:tcW w:w="6700" w:type="dxa"/>
            <w:vAlign w:val="bottom"/>
            <w:gridSpan w:val="2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640" w:type="dxa"/>
            <w:vAlign w:val="bottom"/>
            <w:gridSpan w:val="3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620" w:type="dxa"/>
            <w:vAlign w:val="bottom"/>
            <w:tcBorders>
              <w:top w:val="single" w:sz="8" w:color="0000EE"/>
            </w:tcBorders>
            <w:gridSpan w:val="2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 DEFAULTS UPON SENIOR SECURITIES</w:t>
              </w:r>
            </w:hyperlink>
          </w:p>
        </w:tc>
        <w:tc>
          <w:tcPr>
            <w:tcW w:w="202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30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4. MINE SAFETY DISCLOSURES</w:t>
              </w:r>
            </w:hyperlink>
          </w:p>
        </w:tc>
        <w:tc>
          <w:tcPr>
            <w:tcW w:w="780" w:type="dxa"/>
            <w:vAlign w:val="bottom"/>
            <w:tcBorders>
              <w:top w:val="single" w:sz="8" w:color="0000EE"/>
            </w:tcBorders>
            <w:gridSpan w:val="5"/>
          </w:tcPr>
          <w:p>
            <w:pPr>
              <w:spacing w:after="0"/>
              <w:rPr>
                <w:sz w:val="19"/>
                <w:szCs w:val="19"/>
                <w:color w:val="auto"/>
              </w:rPr>
            </w:pPr>
          </w:p>
        </w:tc>
        <w:tc>
          <w:tcPr>
            <w:tcW w:w="4860" w:type="dxa"/>
            <w:vAlign w:val="bottom"/>
            <w:gridSpan w:val="1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640" w:type="dxa"/>
            <w:vAlign w:val="bottom"/>
            <w:gridSpan w:val="3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5. 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6. EXHIBITS</w:t>
              </w:r>
            </w:hyperlink>
          </w:p>
        </w:tc>
        <w:tc>
          <w:tcPr>
            <w:tcW w:w="1060" w:type="dxa"/>
            <w:vAlign w:val="bottom"/>
            <w:tcBorders>
              <w:top w:val="single" w:sz="8" w:color="0000EE"/>
            </w:tcBorders>
            <w:gridSpan w:val="7"/>
          </w:tcPr>
          <w:p>
            <w:pPr>
              <w:spacing w:after="0"/>
              <w:rPr>
                <w:sz w:val="19"/>
                <w:szCs w:val="19"/>
                <w:color w:val="auto"/>
              </w:rPr>
            </w:pPr>
          </w:p>
        </w:tc>
        <w:tc>
          <w:tcPr>
            <w:tcW w:w="6200" w:type="dxa"/>
            <w:vAlign w:val="bottom"/>
            <w:gridSpan w:val="21"/>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640" w:type="dxa"/>
            <w:vAlign w:val="bottom"/>
            <w:gridSpan w:val="3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80" w:type="dxa"/>
            <w:vAlign w:val="bottom"/>
            <w:gridSpan w:val="2"/>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LONG-TERM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$16 and $18, respectively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COMMITMENTS AND CONTINGENCIES (NOTE 10)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tcPr>
          <w:p>
            <w:pPr>
              <w:spacing w:after="0" w:line="189" w:lineRule="exact"/>
              <w:rPr>
                <w:sz w:val="20"/>
                <w:szCs w:val="20"/>
                <w:color w:val="auto"/>
              </w:rPr>
            </w:pPr>
            <w:r>
              <w:rPr>
                <w:rFonts w:ascii="Arial" w:cs="Arial" w:eastAsia="Arial" w:hAnsi="Arial"/>
                <w:sz w:val="18"/>
                <w:szCs w:val="18"/>
                <w:b w:val="1"/>
                <w:bCs w:val="1"/>
                <w:color w:val="auto"/>
              </w:rPr>
              <w:t>PARTNERS’ CAPITAL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(397,680,214 and 375,107,793 units outstanding, respectively)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partner</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partners’ capital excluding noncontrolling interests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Total liabilities and partners’ capital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OPERATIONS (in millions, except per unit data)</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6,346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10,856</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11,978</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22,201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Facilities segment revenues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22,878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5,848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10,890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20,950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6,454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12,027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Interest expense (net of capitalized interest of $13, $10, $27 and $22,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20"/>
              <w:spacing w:after="0"/>
              <w:rPr>
                <w:sz w:val="20"/>
                <w:szCs w:val="20"/>
                <w:color w:val="auto"/>
              </w:rPr>
            </w:pPr>
            <w:r>
              <w:rPr>
                <w:rFonts w:ascii="Arial" w:cs="Arial" w:eastAsia="Arial" w:hAnsi="Arial"/>
                <w:sz w:val="18"/>
                <w:szCs w:val="18"/>
                <w:b w:val="1"/>
                <w:bCs w:val="1"/>
                <w:color w:val="auto"/>
              </w:rPr>
              <w:t>LIMITED PARTNERS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GENERAL PARTNER</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BASIC NET INCOME/(LOSS) PER LIMITED PARTNER UNIT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DILUTED NET INCOME/(LOSS) PER LIMITED PARTNER UNIT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3"/>
              </w:rPr>
              <w:t>2014</w:t>
            </w:r>
          </w:p>
        </w:tc>
        <w:tc>
          <w:tcPr>
            <w:tcW w:w="220" w:type="dxa"/>
            <w:vAlign w:val="bottom"/>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288</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r>
      <w:tr>
        <w:trPr>
          <w:trHeight w:val="223"/>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379</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top w:val="single" w:sz="8" w:color="CCEEFF"/>
            </w:tcBorders>
            <w:shd w:val="clear" w:color="auto" w:fill="CCEEFF"/>
          </w:tcPr>
          <w:p>
            <w:pPr>
              <w:spacing w:after="0"/>
              <w:rPr>
                <w:sz w:val="19"/>
                <w:szCs w:val="19"/>
                <w:color w:val="auto"/>
              </w:rPr>
            </w:pPr>
          </w:p>
        </w:tc>
      </w:tr>
      <w:tr>
        <w:trPr>
          <w:trHeight w:val="243"/>
        </w:trPr>
        <w:tc>
          <w:tcPr>
            <w:tcW w:w="5320" w:type="dxa"/>
            <w:vAlign w:val="bottom"/>
          </w:tcPr>
          <w:p>
            <w:pPr>
              <w:ind w:left="220"/>
              <w:spacing w:after="0"/>
              <w:rPr>
                <w:sz w:val="20"/>
                <w:szCs w:val="20"/>
                <w:color w:val="auto"/>
              </w:rPr>
            </w:pPr>
            <w:r>
              <w:rPr>
                <w:rFonts w:ascii="Arial" w:cs="Arial" w:eastAsia="Arial" w:hAnsi="Arial"/>
                <w:sz w:val="18"/>
                <w:szCs w:val="18"/>
                <w:color w:val="auto"/>
              </w:rPr>
              <w:t>Comprehensive income attributable to noncontrolling interests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r>
      <w:tr>
        <w:trPr>
          <w:trHeight w:val="217"/>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48"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ACCUMULATED OTHER COMPREHENSIVE INCOME/(LOSS) (in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644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Pr>
          <w:p>
            <w:pPr>
              <w:spacing w:after="0"/>
              <w:rPr>
                <w:sz w:val="19"/>
                <w:szCs w:val="19"/>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23"/>
        </w:trPr>
        <w:tc>
          <w:tcPr>
            <w:tcW w:w="6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r>
      <w:tr>
        <w:trPr>
          <w:trHeight w:val="243"/>
        </w:trPr>
        <w:tc>
          <w:tcPr>
            <w:tcW w:w="64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60" w:type="dxa"/>
            <w:vAlign w:val="bottom"/>
            <w:tcBorders>
              <w:bottom w:val="single" w:sz="8" w:color="CCEEFF"/>
            </w:tcBorders>
          </w:tcPr>
          <w:p>
            <w:pPr>
              <w:spacing w:after="0"/>
              <w:rPr>
                <w:sz w:val="19"/>
                <w:szCs w:val="19"/>
                <w:color w:val="auto"/>
              </w:rPr>
            </w:pPr>
          </w:p>
        </w:tc>
      </w:tr>
      <w:tr>
        <w:trPr>
          <w:trHeight w:val="21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501"/>
        </w:trPr>
        <w:tc>
          <w:tcPr>
            <w:tcW w:w="6440" w:type="dxa"/>
            <w:vAlign w:val="bottom"/>
          </w:tcPr>
          <w:p>
            <w:pPr>
              <w:spacing w:after="0"/>
              <w:rPr>
                <w:sz w:val="24"/>
                <w:szCs w:val="2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644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Pr>
          <w:p>
            <w:pPr>
              <w:spacing w:after="0"/>
              <w:rPr>
                <w:sz w:val="19"/>
                <w:szCs w:val="19"/>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23"/>
        </w:trPr>
        <w:tc>
          <w:tcPr>
            <w:tcW w:w="6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43"/>
        </w:trPr>
        <w:tc>
          <w:tcPr>
            <w:tcW w:w="64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1"/>
                <w:szCs w:val="21"/>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tcPr>
          <w:p>
            <w:pPr>
              <w:spacing w:after="0"/>
              <w:rPr>
                <w:sz w:val="19"/>
                <w:szCs w:val="19"/>
                <w:color w:val="auto"/>
              </w:rPr>
            </w:pPr>
          </w:p>
        </w:tc>
      </w:tr>
      <w:tr>
        <w:trPr>
          <w:trHeight w:val="21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0" w:right="186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CASH FLOWS (in millions)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6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center"/>
              <w:ind w:left="3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672</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Equity-indexed compensation expense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Inventory valuation adjustments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(benefit)/expense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Gain on sales of linefill and base gas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foreign currency revaluation</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Settlement of terminated interest rate hedging instruments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earnings in unconsolidated entities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Distributions from unconsolidated entities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Changes in assets and liabilities, net of acquisitions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r>
      <w:tr>
        <w:trPr>
          <w:trHeight w:val="223"/>
        </w:trPr>
        <w:tc>
          <w:tcPr>
            <w:tcW w:w="6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40" w:type="dxa"/>
            <w:vAlign w:val="bottom"/>
            <w:tcBorders>
              <w:top w:val="single" w:sz="8" w:color="CCEEFF"/>
            </w:tcBorders>
            <w:shd w:val="clear" w:color="auto" w:fill="CCEEFF"/>
          </w:tcPr>
          <w:p>
            <w:pPr>
              <w:spacing w:after="0"/>
              <w:rPr>
                <w:sz w:val="19"/>
                <w:szCs w:val="19"/>
                <w:color w:val="auto"/>
              </w:rPr>
            </w:pPr>
          </w:p>
        </w:tc>
      </w:tr>
      <w:tr>
        <w:trPr>
          <w:trHeight w:val="240"/>
        </w:trPr>
        <w:tc>
          <w:tcPr>
            <w:tcW w:w="6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Cash paid in connection with acquisitions, net of cash acquired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Additions to property, equipment and other</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(918)</w:t>
            </w: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Investment in unconsolidated entities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(67)</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Cash received for sales of linefill and base gas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Cash paid for purchases of linefill and base gas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(140)</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assets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(1,101)</w:t>
            </w:r>
          </w:p>
        </w:tc>
      </w:tr>
      <w:tr>
        <w:trPr>
          <w:trHeight w:val="240"/>
        </w:trPr>
        <w:tc>
          <w:tcPr>
            <w:tcW w:w="6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Net borrowings/(repayments) under commercial paper program (Note 6)</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(344)</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senior notes (Note 6)</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Repayments of senior notes (Note 6)</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the issuance of common units (Note 7)</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Contributions from general partner</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paid to common unitholders (Note 7)</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w:t>
            </w: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Distributions paid to general partner (Note 7)</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(222)</w:t>
            </w:r>
          </w:p>
        </w:tc>
      </w:tr>
      <w:tr>
        <w:trPr>
          <w:trHeight w:val="24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paid to noncontrolling interests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r>
      <w:tr>
        <w:trPr>
          <w:trHeight w:val="240"/>
        </w:trPr>
        <w:tc>
          <w:tcPr>
            <w:tcW w:w="6080" w:type="dxa"/>
            <w:vAlign w:val="bottom"/>
          </w:tcPr>
          <w:p>
            <w:pPr>
              <w:spacing w:after="0"/>
              <w:rPr>
                <w:sz w:val="20"/>
                <w:szCs w:val="20"/>
                <w:color w:val="auto"/>
              </w:rPr>
            </w:pPr>
            <w:r>
              <w:rPr>
                <w:rFonts w:ascii="Arial" w:cs="Arial" w:eastAsia="Arial" w:hAnsi="Arial"/>
                <w:sz w:val="16"/>
                <w:szCs w:val="16"/>
                <w:color w:val="auto"/>
              </w:rPr>
              <w:t>Other financing activities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r>
      <w:tr>
        <w:trPr>
          <w:trHeight w:val="223"/>
        </w:trPr>
        <w:tc>
          <w:tcPr>
            <w:tcW w:w="6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financing activities</w:t>
            </w:r>
          </w:p>
        </w:tc>
        <w:tc>
          <w:tcPr>
            <w:tcW w:w="1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Borders>
              <w:top w:val="single" w:sz="8" w:color="CCEEFF"/>
            </w:tcBorders>
            <w:shd w:val="clear" w:color="auto" w:fill="CCEEFF"/>
          </w:tcPr>
          <w:p>
            <w:pPr>
              <w:spacing w:after="0"/>
              <w:rPr>
                <w:sz w:val="19"/>
                <w:szCs w:val="19"/>
                <w:color w:val="auto"/>
              </w:rPr>
            </w:pPr>
          </w:p>
        </w:tc>
      </w:tr>
      <w:tr>
        <w:trPr>
          <w:trHeight w:val="240"/>
        </w:trPr>
        <w:tc>
          <w:tcPr>
            <w:tcW w:w="6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Effect of translation adjustment on cash</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43"/>
        </w:trPr>
        <w:tc>
          <w:tcPr>
            <w:tcW w:w="6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r>
      <w:tr>
        <w:trPr>
          <w:trHeight w:val="240"/>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1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tcPr>
          <w:p>
            <w:pPr>
              <w:spacing w:after="0"/>
              <w:rPr>
                <w:sz w:val="20"/>
                <w:szCs w:val="20"/>
                <w:color w:val="auto"/>
              </w:rPr>
            </w:pPr>
          </w:p>
        </w:tc>
      </w:tr>
      <w:tr>
        <w:trPr>
          <w:trHeight w:val="220"/>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9"/>
                <w:szCs w:val="19"/>
                <w:color w:val="auto"/>
              </w:rPr>
            </w:pPr>
          </w:p>
        </w:tc>
      </w:tr>
      <w:tr>
        <w:trPr>
          <w:trHeight w:val="243"/>
        </w:trPr>
        <w:tc>
          <w:tcPr>
            <w:tcW w:w="60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Cash paid for:</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0"/>
        </w:trPr>
        <w:tc>
          <w:tcPr>
            <w:tcW w:w="6080" w:type="dxa"/>
            <w:vAlign w:val="bottom"/>
          </w:tcPr>
          <w:p>
            <w:pPr>
              <w:ind w:left="220"/>
              <w:spacing w:after="0"/>
              <w:rPr>
                <w:sz w:val="20"/>
                <w:szCs w:val="20"/>
                <w:color w:val="auto"/>
              </w:rPr>
            </w:pPr>
            <w:r>
              <w:rPr>
                <w:rFonts w:ascii="Arial" w:cs="Arial" w:eastAsia="Arial" w:hAnsi="Arial"/>
                <w:sz w:val="16"/>
                <w:szCs w:val="16"/>
                <w:color w:val="auto"/>
              </w:rPr>
              <w:t>Interest, net of amounts capitalized</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20"/>
                <w:szCs w:val="20"/>
                <w:color w:val="auto"/>
              </w:rPr>
            </w:pPr>
          </w:p>
        </w:tc>
      </w:tr>
      <w:tr>
        <w:trPr>
          <w:trHeight w:val="246"/>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net of amounts refunded</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694"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0" w:right="94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Partners’ Capital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3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Excluding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760" w:type="dxa"/>
            <w:vAlign w:val="bottom"/>
          </w:tcPr>
          <w:p>
            <w:pPr>
              <w:spacing w:after="0"/>
              <w:rPr>
                <w:sz w:val="19"/>
                <w:szCs w:val="19"/>
                <w:color w:val="auto"/>
              </w:rPr>
            </w:pPr>
          </w:p>
        </w:tc>
        <w:tc>
          <w:tcPr>
            <w:tcW w:w="1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9"/>
                <w:szCs w:val="19"/>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9"/>
                <w:szCs w:val="19"/>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Partners’</w:t>
            </w:r>
          </w:p>
        </w:tc>
      </w:tr>
      <w:tr>
        <w:trPr>
          <w:trHeight w:val="237"/>
        </w:trPr>
        <w:tc>
          <w:tcPr>
            <w:tcW w:w="376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Units</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7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7,793</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60" w:type="dxa"/>
            <w:vAlign w:val="bottom"/>
            <w:shd w:val="clear" w:color="auto" w:fill="CCEEFF"/>
          </w:tcPr>
          <w:p>
            <w:pPr>
              <w:spacing w:after="0"/>
              <w:rPr>
                <w:sz w:val="21"/>
                <w:szCs w:val="21"/>
                <w:color w:val="auto"/>
              </w:rPr>
            </w:pPr>
          </w:p>
        </w:tc>
      </w:tr>
      <w:tr>
        <w:trPr>
          <w:trHeight w:val="217"/>
        </w:trPr>
        <w:tc>
          <w:tcPr>
            <w:tcW w:w="37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60" w:type="dxa"/>
            <w:vAlign w:val="bottom"/>
            <w:tcBorders>
              <w:top w:val="single" w:sz="8" w:color="CCEEFF"/>
            </w:tcBorders>
          </w:tcPr>
          <w:p>
            <w:pPr>
              <w:spacing w:after="0"/>
              <w:rPr>
                <w:sz w:val="18"/>
                <w:szCs w:val="18"/>
                <w:color w:val="auto"/>
              </w:rPr>
            </w:pP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r>
      <w:tr>
        <w:trPr>
          <w:trHeight w:val="243"/>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1,099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21"/>
                <w:szCs w:val="21"/>
                <w:color w:val="auto"/>
              </w:rPr>
            </w:pP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02"/>
        </w:trPr>
        <w:tc>
          <w:tcPr>
            <w:tcW w:w="3760" w:type="dxa"/>
            <w:vAlign w:val="bottom"/>
          </w:tcPr>
          <w:p>
            <w:pPr>
              <w:ind w:left="100"/>
              <w:spacing w:after="0" w:line="201" w:lineRule="exact"/>
              <w:rPr>
                <w:sz w:val="20"/>
                <w:szCs w:val="20"/>
                <w:color w:val="auto"/>
              </w:rPr>
            </w:pPr>
            <w:r>
              <w:rPr>
                <w:rFonts w:ascii="Arial" w:cs="Arial" w:eastAsia="Arial" w:hAnsi="Arial"/>
                <w:sz w:val="18"/>
                <w:szCs w:val="18"/>
                <w:color w:val="auto"/>
                <w:w w:val="96"/>
              </w:rPr>
              <w:t>Settlement of employee income tax withholding</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760" w:type="dxa"/>
            <w:vAlign w:val="bottom"/>
          </w:tcPr>
          <w:p>
            <w:pPr>
              <w:ind w:left="300"/>
              <w:spacing w:after="0"/>
              <w:rPr>
                <w:sz w:val="20"/>
                <w:szCs w:val="20"/>
                <w:color w:val="auto"/>
              </w:rPr>
            </w:pPr>
            <w:r>
              <w:rPr>
                <w:rFonts w:ascii="Arial" w:cs="Arial" w:eastAsia="Arial" w:hAnsi="Arial"/>
                <w:sz w:val="18"/>
                <w:szCs w:val="18"/>
                <w:color w:val="auto"/>
              </w:rPr>
              <w:t>obligations under LTIP</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1"/>
                <w:szCs w:val="21"/>
                <w:color w:val="auto"/>
              </w:rPr>
            </w:pPr>
          </w:p>
        </w:tc>
      </w:tr>
      <w:tr>
        <w:trPr>
          <w:trHeight w:val="243"/>
        </w:trPr>
        <w:tc>
          <w:tcPr>
            <w:tcW w:w="376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397.7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60" w:type="dxa"/>
            <w:vAlign w:val="bottom"/>
          </w:tcPr>
          <w:p>
            <w:pPr>
              <w:spacing w:after="0"/>
              <w:rPr>
                <w:sz w:val="18"/>
                <w:szCs w:val="18"/>
                <w:color w:val="auto"/>
              </w:rPr>
            </w:pPr>
          </w:p>
        </w:tc>
      </w:tr>
      <w:tr>
        <w:trPr>
          <w:trHeight w:val="501"/>
        </w:trPr>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Partners’ Capital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Excluding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760" w:type="dxa"/>
            <w:vAlign w:val="bottom"/>
          </w:tcPr>
          <w:p>
            <w:pPr>
              <w:spacing w:after="0"/>
              <w:rPr>
                <w:sz w:val="19"/>
                <w:szCs w:val="19"/>
                <w:color w:val="auto"/>
              </w:rPr>
            </w:pPr>
          </w:p>
        </w:tc>
        <w:tc>
          <w:tcPr>
            <w:tcW w:w="1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9"/>
                <w:szCs w:val="19"/>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9"/>
                <w:szCs w:val="19"/>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Partners’</w:t>
            </w:r>
          </w:p>
        </w:tc>
      </w:tr>
      <w:tr>
        <w:trPr>
          <w:trHeight w:val="237"/>
        </w:trPr>
        <w:tc>
          <w:tcPr>
            <w:tcW w:w="376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Units</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7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359.1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7,349</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20"/>
                <w:szCs w:val="20"/>
                <w:color w:val="auto"/>
              </w:rPr>
            </w:pPr>
          </w:p>
        </w:tc>
      </w:tr>
      <w:tr>
        <w:trPr>
          <w:trHeight w:val="243"/>
        </w:trPr>
        <w:tc>
          <w:tcPr>
            <w:tcW w:w="37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60" w:type="dxa"/>
            <w:vAlign w:val="bottom"/>
            <w:tcBorders>
              <w:top w:val="single" w:sz="8" w:color="CCEEFF"/>
            </w:tcBorders>
          </w:tcPr>
          <w:p>
            <w:pPr>
              <w:spacing w:after="0"/>
              <w:rPr>
                <w:sz w:val="21"/>
                <w:szCs w:val="21"/>
                <w:color w:val="auto"/>
              </w:rPr>
            </w:pP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r>
      <w:tr>
        <w:trPr>
          <w:trHeight w:val="243"/>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21"/>
                <w:szCs w:val="21"/>
                <w:color w:val="auto"/>
              </w:rPr>
            </w:pP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r>
      <w:tr>
        <w:trPr>
          <w:trHeight w:val="202"/>
        </w:trPr>
        <w:tc>
          <w:tcPr>
            <w:tcW w:w="3760" w:type="dxa"/>
            <w:vAlign w:val="bottom"/>
          </w:tcPr>
          <w:p>
            <w:pPr>
              <w:ind w:left="100"/>
              <w:spacing w:after="0" w:line="201" w:lineRule="exact"/>
              <w:rPr>
                <w:sz w:val="20"/>
                <w:szCs w:val="20"/>
                <w:color w:val="auto"/>
              </w:rPr>
            </w:pPr>
            <w:r>
              <w:rPr>
                <w:rFonts w:ascii="Arial" w:cs="Arial" w:eastAsia="Arial" w:hAnsi="Arial"/>
                <w:sz w:val="18"/>
                <w:szCs w:val="18"/>
                <w:color w:val="auto"/>
                <w:w w:val="96"/>
              </w:rPr>
              <w:t>Settlement of employee income tax withholding</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760" w:type="dxa"/>
            <w:vAlign w:val="bottom"/>
          </w:tcPr>
          <w:p>
            <w:pPr>
              <w:ind w:left="300"/>
              <w:spacing w:after="0"/>
              <w:rPr>
                <w:sz w:val="20"/>
                <w:szCs w:val="20"/>
                <w:color w:val="auto"/>
              </w:rPr>
            </w:pPr>
            <w:r>
              <w:rPr>
                <w:rFonts w:ascii="Arial" w:cs="Arial" w:eastAsia="Arial" w:hAnsi="Arial"/>
                <w:sz w:val="18"/>
                <w:szCs w:val="18"/>
                <w:color w:val="auto"/>
              </w:rPr>
              <w:t>obligations under LTIP</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r>
      <w:tr>
        <w:trPr>
          <w:trHeight w:val="243"/>
        </w:trPr>
        <w:tc>
          <w:tcPr>
            <w:tcW w:w="376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43"/>
        </w:trPr>
        <w:tc>
          <w:tcPr>
            <w:tcW w:w="3760" w:type="dxa"/>
            <w:vAlign w:val="bottom"/>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7"/>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20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June 30, 2015, owned an approximate 37% limited partner interest in AAP.</w:t>
      </w:r>
    </w:p>
    <w:p>
      <w:pPr>
        <w:spacing w:after="0" w:line="21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Accumulated other comprehensive income/(loss)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Billion cubic feet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British thermal unit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Canadian dollar</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DERs</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United States Environmental Protection Agency</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Financial Accounting Standards Board</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Generally accepted accounting principles in the United States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Intercontinental Exchange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London Interbank Offered Rate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Long-term incentive plan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Thousand cubic feet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MLP</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Natural gas liquids, including ethane, propane and butane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New York Mercantile Exchange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Oxy</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PLA</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Pipeline loss allowance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   United States Securities and Exchange Commission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7600" w:type="dxa"/>
            <w:vAlign w:val="bottom"/>
          </w:tcPr>
          <w:p>
            <w:pPr>
              <w:ind w:left="120"/>
              <w:spacing w:after="0"/>
              <w:rPr>
                <w:sz w:val="20"/>
                <w:szCs w:val="20"/>
                <w:color w:val="auto"/>
              </w:rPr>
            </w:pPr>
            <w:r>
              <w:rPr>
                <w:rFonts w:ascii="Arial" w:cs="Arial" w:eastAsia="Arial" w:hAnsi="Arial"/>
                <w:sz w:val="18"/>
                <w:szCs w:val="18"/>
                <w:color w:val="auto"/>
              </w:rPr>
              <w:t>West Texas Intermediate</w:t>
            </w:r>
          </w:p>
        </w:tc>
      </w:tr>
      <w:tr>
        <w:trPr>
          <w:trHeight w:val="89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tcPr>
          <w:p>
            <w:pPr>
              <w:ind w:left="2940"/>
              <w:spacing w:after="0"/>
              <w:rPr>
                <w:sz w:val="20"/>
                <w:szCs w:val="20"/>
                <w:color w:val="auto"/>
              </w:rPr>
            </w:pPr>
            <w:r>
              <w:rPr>
                <w:rFonts w:ascii="Arial" w:cs="Arial" w:eastAsia="Arial" w:hAnsi="Arial"/>
                <w:sz w:val="18"/>
                <w:szCs w:val="18"/>
                <w:color w:val="auto"/>
              </w:rPr>
              <w:t>8</w:t>
            </w: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600" w:type="dxa"/>
            <w:vAlign w:val="bottom"/>
            <w:tcBorders>
              <w:bottom w:val="single" w:sz="8" w:color="9A9A9A"/>
            </w:tcBorders>
          </w:tcPr>
          <w:p>
            <w:pPr>
              <w:spacing w:after="0"/>
              <w:rPr>
                <w:sz w:val="9"/>
                <w:szCs w:val="9"/>
                <w:color w:val="auto"/>
              </w:rPr>
            </w:pPr>
          </w:p>
        </w:tc>
      </w:tr>
      <w:tr>
        <w:trPr>
          <w:trHeight w:val="20"/>
        </w:trPr>
        <w:tc>
          <w:tcPr>
            <w:tcW w:w="10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7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2014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PAA. The condensed consolidated balance sheet data as of December 31, 2014 was derived from audited financial statements, but does not include all disclosures required by GAAP. The results of operations for the three and six months ended June 30, 2015 should not be taken as indicative of results to be expected for the entire year.</w:t>
      </w:r>
    </w:p>
    <w:p>
      <w:pPr>
        <w:spacing w:after="0" w:line="20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5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April 2015, the FASB issued guidance to simplify the presentation of debt issuance costs in entities’ financial statements. Under this revised guidance, an entity will present such costs as a direct reduction from the related debt liability (rather than as an asset under current guidance). Additionally, amortization of the debt issuance costs will be reported as interest expense. This guidance will become effective for interim and annual periods beginning after December 15, 2015 and will be adopted retrospectively to all prior periods. Early adoption is permitted for financial statements that have not been previously issued. We expect to adopt this guidance on January 1, 2016, and we are currently evaluating the effect that adopting this guidance will have on our financial position, results of operations and cash flows.</w:t>
      </w:r>
    </w:p>
    <w:p>
      <w:pPr>
        <w:spacing w:after="0" w:line="19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 (i) 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expect to adopt this guidance on January 1, 2016, and we are currently evaluating the effect that adopting this guidance will have on our financial position, results of operations and cash flows.</w:t>
      </w:r>
    </w:p>
    <w:p>
      <w:pPr>
        <w:spacing w:after="0" w:line="19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July 2015, the FASB voted to approve a one-year deferral of the effective date of this standard, with final guidance expected to be issued by the end of the third quarter of 2015. This deferral would make the guidance effective for interim and annual periods beginning after December 15, 2017. Therefore, we currently expect to adopt this guidance on January 1, 2018, and we are evaluating which transition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approach to apply and the effect that adopting this guidance will have on our financial position, results of operations and cash flows.</w:t>
      </w:r>
    </w:p>
    <w:p>
      <w:pPr>
        <w:spacing w:after="0" w:line="19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Limited Partner Unit</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MLPs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calculate basic and diluted net income per limited partner unit by dividing net income attributable to PAA (after deducting the amount allocated to the general partner’s interest,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21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Diluted net income per limited partner unit is computed based on the weighted average number of limited partner units plus the effect of dilutive potential limited partner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limited partner unit repurchase based on the remaining unamortized fair value, as prescribed by the treasury stock method in guidance issued by the FASB. See Note 16 to our Consolidated Financial Statements included in Part IV of our 2014 Annual Report on Form 10-K for a complete discussion of our LTIP awards including specific discussion regarding DERs.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income/(loss) per limited partner unit for the periods indicated (in millions, except per unit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4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6"/>
                <w:szCs w:val="16"/>
                <w:color w:val="auto"/>
              </w:rPr>
            </w:pPr>
          </w:p>
        </w:tc>
        <w:tc>
          <w:tcPr>
            <w:tcW w:w="13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20"/>
              <w:spacing w:after="0"/>
              <w:rPr>
                <w:sz w:val="20"/>
                <w:szCs w:val="20"/>
                <w:color w:val="auto"/>
              </w:rPr>
            </w:pPr>
            <w:r>
              <w:rPr>
                <w:rFonts w:ascii="Arial" w:cs="Arial" w:eastAsia="Arial" w:hAnsi="Arial"/>
                <w:sz w:val="18"/>
                <w:szCs w:val="18"/>
                <w:color w:val="auto"/>
              </w:rPr>
              <w:t>Net income attributable to PAA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8"/>
                <w:szCs w:val="8"/>
                <w:color w:val="auto"/>
              </w:rPr>
              <w:t>(1)</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(289)</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43"/>
        </w:trPr>
        <w:tc>
          <w:tcPr>
            <w:tcW w:w="6260" w:type="dxa"/>
            <w:vAlign w:val="bottom"/>
          </w:tcPr>
          <w:p>
            <w:pPr>
              <w:ind w:left="320"/>
              <w:spacing w:after="0"/>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8"/>
                <w:szCs w:val="8"/>
                <w:color w:val="auto"/>
              </w:rPr>
              <w:t>(1)</w:t>
            </w:r>
          </w:p>
        </w:tc>
        <w:tc>
          <w:tcPr>
            <w:tcW w:w="12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income/(loss) attributable to limited partners</w:t>
            </w: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32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4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8"/>
                <w:szCs w:val="8"/>
                <w:color w:val="auto"/>
              </w:rPr>
              <w:t>(1)</w:t>
            </w: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the two-class method for MLPs</w:t>
            </w:r>
          </w:p>
        </w:tc>
        <w:tc>
          <w:tcPr>
            <w:tcW w:w="1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limited partner units outstanding</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net income/(loss) per limited partner unit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20"/>
              <w:spacing w:after="0"/>
              <w:rPr>
                <w:sz w:val="20"/>
                <w:szCs w:val="20"/>
                <w:color w:val="auto"/>
              </w:rPr>
            </w:pPr>
            <w:r>
              <w:rPr>
                <w:rFonts w:ascii="Arial" w:cs="Arial" w:eastAsia="Arial" w:hAnsi="Arial"/>
                <w:sz w:val="18"/>
                <w:szCs w:val="18"/>
                <w:color w:val="auto"/>
              </w:rPr>
              <w:t>Net income attributable to PAA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8"/>
                <w:szCs w:val="8"/>
                <w:color w:val="auto"/>
              </w:rPr>
              <w:t>(1)</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(289)</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43"/>
        </w:trPr>
        <w:tc>
          <w:tcPr>
            <w:tcW w:w="6260" w:type="dxa"/>
            <w:vAlign w:val="bottom"/>
          </w:tcPr>
          <w:p>
            <w:pPr>
              <w:ind w:left="320"/>
              <w:spacing w:after="0"/>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8"/>
                <w:szCs w:val="8"/>
                <w:color w:val="auto"/>
              </w:rPr>
              <w:t>(1)</w:t>
            </w:r>
          </w:p>
        </w:tc>
        <w:tc>
          <w:tcPr>
            <w:tcW w:w="12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income/(loss) attributable to limited partners</w:t>
            </w: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32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4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8"/>
                <w:szCs w:val="8"/>
                <w:color w:val="auto"/>
              </w:rPr>
              <w:t>(1)</w:t>
            </w: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Net income/(loss) attributable to limited partners in accordance with application</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the two-class method for MLPs</w:t>
            </w:r>
          </w:p>
        </w:tc>
        <w:tc>
          <w:tcPr>
            <w:tcW w:w="1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limited partner units outstanding</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Effect of dilutive securities: Weighted average LTIP units</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weighted average limited partner units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income/(loss) per limited partner unit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80" w:hanging="418"/>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calculate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1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Pursuant to the terms of our partnership agreement, the general partner’s incentive distribution is limited to a percentage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our partnership agreement, basic and diluted net income/(loss) per limited partner unit as reflected in the table above would not have been impacted, as we did not have undistributed earnings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20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June 30, 2015 and December 31, 2014, we had received $115 million and $180 million, respectively, of advance cash payments from third parties to mitigate credit risk. We also received $77 million and $198 million, as of June 30, 2015 and December 31, 2014, respectively, of standby letters of credit to support obligations due from third parties, a portion of which applies to future business. The decrease in standby letters of credit and advance cash payments from third parties as of June 30, 2015 compared to December 31, 2014 is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9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2015 and December 31, 2014, substantially all of our trade accounts receivable (net of allowance for doubtful accounts) were less than 30 days past their scheduled invoice date. Our allowance for doubtful accounts receivable totaled $4 million as of both June 30, 2015 and December 31, 2014. Although we consider our allowance for doubtful accounts receivable to be adequate, actual amounts could vary significantly from estimated amounts.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2"/>
        </w:trPr>
        <w:tc>
          <w:tcPr>
            <w:tcW w:w="2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Unit of</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r>
      <w:tr>
        <w:trPr>
          <w:trHeight w:val="228"/>
        </w:trPr>
        <w:tc>
          <w:tcPr>
            <w:tcW w:w="28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Volumes</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r>
      <w:tr>
        <w:trPr>
          <w:trHeight w:val="237"/>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right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Crude oil</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12,916</w:t>
            </w: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50.25</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1"/>
                <w:szCs w:val="2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12,931</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Natural gas</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16,342</w:t>
            </w: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32,317</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r>
      <w:tr>
        <w:trPr>
          <w:trHeight w:val="223"/>
        </w:trPr>
        <w:tc>
          <w:tcPr>
            <w:tcW w:w="2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Inventory subtotal</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13,195</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NGL</w:t>
            </w: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35.61</w:t>
            </w:r>
          </w:p>
        </w:tc>
        <w:tc>
          <w:tcPr>
            <w:tcW w:w="18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42.90</w:t>
            </w:r>
          </w:p>
        </w:tc>
        <w:tc>
          <w:tcPr>
            <w:tcW w:w="80" w:type="dxa"/>
            <w:vAlign w:val="bottom"/>
          </w:tcPr>
          <w:p>
            <w:pPr>
              <w:spacing w:after="0"/>
              <w:rPr>
                <w:sz w:val="21"/>
                <w:szCs w:val="2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29,812</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1"/>
                <w:szCs w:val="21"/>
                <w:color w:val="auto"/>
              </w:rPr>
            </w:pPr>
          </w:p>
        </w:tc>
      </w:tr>
      <w:tr>
        <w:trPr>
          <w:trHeight w:val="223"/>
        </w:trPr>
        <w:tc>
          <w:tcPr>
            <w:tcW w:w="2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Linefill and base gas subtotal</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8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1"/>
                <w:szCs w:val="21"/>
                <w:color w:val="auto"/>
              </w:rPr>
            </w:pPr>
          </w:p>
        </w:tc>
      </w:tr>
      <w:tr>
        <w:trPr>
          <w:trHeight w:val="243"/>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Borders>
              <w:bottom w:val="single" w:sz="8" w:color="CCEEFF"/>
              <w:right w:val="single" w:sz="8" w:color="auto"/>
            </w:tcBorders>
          </w:tcPr>
          <w:p>
            <w:pPr>
              <w:spacing w:after="0"/>
              <w:rPr>
                <w:sz w:val="21"/>
                <w:szCs w:val="21"/>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1,681</w:t>
            </w:r>
          </w:p>
        </w:tc>
        <w:tc>
          <w:tcPr>
            <w:tcW w:w="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Borders>
              <w:bottom w:val="single" w:sz="8" w:color="CCEEFF"/>
            </w:tcBorders>
          </w:tcPr>
          <w:p>
            <w:pPr>
              <w:spacing w:after="0"/>
              <w:rPr>
                <w:sz w:val="21"/>
                <w:szCs w:val="21"/>
                <w:color w:val="auto"/>
              </w:rPr>
            </w:pPr>
          </w:p>
        </w:tc>
      </w:tr>
      <w:tr>
        <w:trPr>
          <w:trHeight w:val="223"/>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inventory subtotal</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2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7"/>
        </w:trPr>
        <w:tc>
          <w:tcPr>
            <w:tcW w:w="28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340" w:hanging="418"/>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Price per unit of measure is comprised of a weighted average associated with various grades, qualities and locations. Accordingly, these prices may not coincide with any published benchmarks for such products.</w:t>
      </w:r>
    </w:p>
    <w:p>
      <w:pPr>
        <w:spacing w:after="0" w:line="17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six months ended June 30, 2015, which primarily related to the writedown of our NGL inventory due to declines in prices during the first quarter of 2015. The loss was substantially offset by a portion of the derivative mark-to-market gain that was recognized in the fourth quarter of 2014. See Note 8 for discussion of our derivative and risk management activities. During the six months ended June 30, 2014, we recorded a charge of $37 million related to the writedown of our natural gas inventory that was purchased in conjunction with managing natural gas storage deliverability requirements during the extended period of severe cold weather in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Commercial paper notes, bearing a weighted-average interest rate of 0.49% and 0.46%,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respectively </w:t>
            </w:r>
            <w:r>
              <w:rPr>
                <w:rFonts w:ascii="Arial" w:cs="Arial" w:eastAsia="Arial" w:hAnsi="Arial"/>
                <w:sz w:val="8"/>
                <w:szCs w:val="8"/>
                <w:color w:val="auto"/>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0"/>
                <w:szCs w:val="20"/>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Senior notes: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5.25% senior notes due June 2015</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r>
      <w:tr>
        <w:trPr>
          <w:trHeight w:val="243"/>
        </w:trPr>
        <w:tc>
          <w:tcPr>
            <w:tcW w:w="6680" w:type="dxa"/>
            <w:vAlign w:val="bottom"/>
          </w:tcPr>
          <w:p>
            <w:pPr>
              <w:ind w:left="220"/>
              <w:spacing w:after="0"/>
              <w:rPr>
                <w:sz w:val="20"/>
                <w:szCs w:val="20"/>
                <w:color w:val="auto"/>
              </w:rPr>
            </w:pPr>
            <w:r>
              <w:rPr>
                <w:rFonts w:ascii="Arial" w:cs="Arial" w:eastAsia="Arial" w:hAnsi="Arial"/>
                <w:sz w:val="18"/>
                <w:szCs w:val="18"/>
                <w:color w:val="auto"/>
              </w:rPr>
              <w:t>3.95% senior notes due September 2015</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r>
      <w:tr>
        <w:trPr>
          <w:trHeight w:val="223"/>
        </w:trPr>
        <w:tc>
          <w:tcPr>
            <w:tcW w:w="6680" w:type="dxa"/>
            <w:vAlign w:val="bottom"/>
          </w:tcPr>
          <w:p>
            <w:pPr>
              <w:ind w:left="320"/>
              <w:spacing w:after="0"/>
              <w:rPr>
                <w:sz w:val="20"/>
                <w:szCs w:val="20"/>
                <w:color w:val="auto"/>
              </w:rPr>
            </w:pPr>
            <w:r>
              <w:rPr>
                <w:rFonts w:ascii="Arial" w:cs="Arial" w:eastAsia="Arial" w:hAnsi="Arial"/>
                <w:sz w:val="18"/>
                <w:szCs w:val="18"/>
                <w:color w:val="auto"/>
              </w:rPr>
              <w:t>Total short-term debt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r>
      <w:tr>
        <w:trPr>
          <w:trHeight w:val="243"/>
        </w:trPr>
        <w:tc>
          <w:tcPr>
            <w:tcW w:w="6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$16 and $18, respectively</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CEEFF"/>
          </w:tcPr>
          <w:p>
            <w:pPr>
              <w:spacing w:after="0"/>
              <w:rPr>
                <w:sz w:val="21"/>
                <w:szCs w:val="2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 xml:space="preserve">Commercial paper notes, bearing a weighted-average interest rate of 0.49% </w:t>
            </w:r>
            <w:r>
              <w:rPr>
                <w:rFonts w:ascii="Arial" w:cs="Arial" w:eastAsia="Arial" w:hAnsi="Arial"/>
                <w:sz w:val="8"/>
                <w:szCs w:val="8"/>
                <w:color w:val="auto"/>
              </w:rPr>
              <w:t>(2)</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r>
      <w:tr>
        <w:trPr>
          <w:trHeight w:val="223"/>
        </w:trPr>
        <w:tc>
          <w:tcPr>
            <w:tcW w:w="6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120" w:type="dxa"/>
            <w:vAlign w:val="bottom"/>
            <w:tcBorders>
              <w:bottom w:val="single" w:sz="8" w:color="CCEEFF"/>
            </w:tcBorders>
          </w:tcPr>
          <w:p>
            <w:pPr>
              <w:spacing w:after="0"/>
              <w:rPr>
                <w:sz w:val="19"/>
                <w:szCs w:val="19"/>
                <w:color w:val="auto"/>
              </w:rPr>
            </w:pPr>
          </w:p>
        </w:tc>
      </w:tr>
      <w:tr>
        <w:trPr>
          <w:trHeight w:val="21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8"/>
                <w:szCs w:val="8"/>
                <w:color w:val="auto"/>
              </w:rPr>
              <w:t>(3)</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420" w:right="180" w:hanging="418"/>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classified these commercial paper notes as short-term at June 30, 2015 and December 31, 2014 as these notes were primarily designated as working capital borrowings, were required to be repaid within one year and were primarily for hedged NGL and crude oil inventory and NYMEX and ICE margin deposits.</w:t>
      </w:r>
    </w:p>
    <w:p>
      <w:pPr>
        <w:spacing w:after="0" w:line="208" w:lineRule="exact"/>
        <w:rPr>
          <w:rFonts w:ascii="Arial" w:cs="Arial" w:eastAsia="Arial" w:hAnsi="Arial"/>
          <w:sz w:val="18"/>
          <w:szCs w:val="18"/>
          <w:color w:val="auto"/>
        </w:rPr>
      </w:pPr>
    </w:p>
    <w:p>
      <w:pPr>
        <w:ind w:left="420" w:right="560" w:hanging="418"/>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the ability and intent to refinance these commercial paper notes on a long-term basis; therefore, we have classified such notes as long-term at June 30, 2015.</w:t>
      </w:r>
    </w:p>
    <w:p>
      <w:pPr>
        <w:spacing w:after="0" w:line="197" w:lineRule="exact"/>
        <w:rPr>
          <w:rFonts w:ascii="Arial" w:cs="Arial" w:eastAsia="Arial" w:hAnsi="Arial"/>
          <w:sz w:val="18"/>
          <w:szCs w:val="18"/>
          <w:color w:val="auto"/>
        </w:rPr>
      </w:pPr>
    </w:p>
    <w:p>
      <w:pPr>
        <w:ind w:left="420" w:right="20" w:hanging="418"/>
        <w:spacing w:after="0" w:line="290"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fixed-rate senior notes (including current maturities) had a face value of approximately $9.2 billion and $9.3 billion as of June 30, 2015 and December 31, 2014, respectively. We estimated the aggregate fair value of these notes as of June 30, 2015 and December 31, 2014 to be approximately $9.4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Senior unsecured 364-day revolving credit facility</w:t>
      </w:r>
      <w:r>
        <w:rPr>
          <w:rFonts w:ascii="Arial" w:cs="Arial" w:eastAsia="Arial" w:hAnsi="Arial"/>
          <w:sz w:val="18"/>
          <w:szCs w:val="18"/>
          <w:color w:val="auto"/>
        </w:rPr>
        <w:t>. In January 2015, we entered into a 364-day senior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a borrowing capacity of $1.0 billion. Borrowings will accrue interest based, at our election, on either the Eurocurrency Rate or the Base Rate, as defined in the agreement, in each case plus a margin based on our credit rating at the applicable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Total borrowings under our credit agreements and commercial paper program for the six months ended June 30, 2015 and 2014 were approximately $17.9 billion and $34.6 billion, respectively. Total repayments under our credit agreements and commercial paper program were approximately $17.7 billion and $34.9 billion for the six months ended June 30,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2015 and December 31, 2014, we had outstanding letters of credit of $63 million and $87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June 2015, we repaid our $150 million, 5.25% senior notes. We utilized cash on hand and available capacity under our commercial paper program to repay these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six months of 2015, net of reductions to the general partner’s incentive distributions (in millions, except per unit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3"/>
              </w:rPr>
              <w:t>Distributions Paid</w:t>
            </w: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Distributions</w:t>
            </w:r>
          </w:p>
        </w:tc>
      </w:tr>
      <w:tr>
        <w:trPr>
          <w:trHeight w:val="237"/>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Limited</w:t>
            </w:r>
          </w:p>
        </w:tc>
        <w:tc>
          <w:tcPr>
            <w:tcW w:w="240" w:type="dxa"/>
            <w:vAlign w:val="bottom"/>
          </w:tcPr>
          <w:p>
            <w:pPr>
              <w:spacing w:after="0"/>
              <w:rPr>
                <w:sz w:val="20"/>
                <w:szCs w:val="20"/>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7"/>
              </w:rPr>
              <w:t>General Partner</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 limited</w:t>
            </w: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1460" w:type="dxa"/>
            <w:vAlign w:val="bottom"/>
          </w:tcPr>
          <w:p>
            <w:pPr>
              <w:spacing w:after="0" w:line="142" w:lineRule="exact"/>
              <w:rPr>
                <w:sz w:val="20"/>
                <w:szCs w:val="20"/>
                <w:color w:val="auto"/>
              </w:rPr>
            </w:pPr>
            <w:r>
              <w:rPr>
                <w:rFonts w:ascii="Arial" w:cs="Arial" w:eastAsia="Arial" w:hAnsi="Arial"/>
                <w:sz w:val="14"/>
                <w:szCs w:val="14"/>
                <w:b w:val="1"/>
                <w:bCs w:val="1"/>
                <w:color w:val="auto"/>
              </w:rPr>
              <w:t>Distribution 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Partners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8"/>
              </w:rPr>
              <w:t>Incentive</w:t>
            </w: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23"/>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7, 2015</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14, 2015</w:t>
            </w:r>
          </w:p>
        </w:tc>
        <w:tc>
          <w:tcPr>
            <w:tcW w:w="240" w:type="dxa"/>
            <w:vAlign w:val="bottom"/>
            <w:tcBorders>
              <w:top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428</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0.6950</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1480" w:type="dxa"/>
            <w:vAlign w:val="bottom"/>
            <w:gridSpan w:val="2"/>
          </w:tcPr>
          <w:p>
            <w:pPr>
              <w:spacing w:after="0"/>
              <w:rPr>
                <w:sz w:val="20"/>
                <w:szCs w:val="20"/>
                <w:color w:val="auto"/>
              </w:rPr>
            </w:pPr>
            <w:r>
              <w:rPr>
                <w:rFonts w:ascii="Arial" w:cs="Arial" w:eastAsia="Arial" w:hAnsi="Arial"/>
                <w:sz w:val="18"/>
                <w:szCs w:val="18"/>
                <w:color w:val="auto"/>
              </w:rPr>
              <w:t>April 7, 2015</w:t>
            </w:r>
          </w:p>
        </w:tc>
        <w:tc>
          <w:tcPr>
            <w:tcW w:w="1460" w:type="dxa"/>
            <w:vAlign w:val="bottom"/>
          </w:tcPr>
          <w:p>
            <w:pPr>
              <w:spacing w:after="0"/>
              <w:rPr>
                <w:sz w:val="20"/>
                <w:szCs w:val="20"/>
                <w:color w:val="auto"/>
              </w:rPr>
            </w:pPr>
            <w:r>
              <w:rPr>
                <w:rFonts w:ascii="Arial" w:cs="Arial" w:eastAsia="Arial" w:hAnsi="Arial"/>
                <w:sz w:val="18"/>
                <w:szCs w:val="18"/>
                <w:color w:val="auto"/>
              </w:rPr>
              <w:t>May 15, 2015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1"/>
                <w:szCs w:val="21"/>
                <w:color w:val="auto"/>
              </w:rPr>
            </w:pP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420</w:t>
            </w:r>
          </w:p>
        </w:tc>
        <w:tc>
          <w:tcPr>
            <w:tcW w:w="160" w:type="dxa"/>
            <w:vAlign w:val="bottom"/>
            <w:tcBorders>
              <w:right w:val="single" w:sz="8" w:color="auto"/>
            </w:tcBorders>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0.6850</w:t>
            </w:r>
          </w:p>
        </w:tc>
        <w:tc>
          <w:tcPr>
            <w:tcW w:w="120" w:type="dxa"/>
            <w:vAlign w:val="bottom"/>
          </w:tcPr>
          <w:p>
            <w:pPr>
              <w:spacing w:after="0"/>
              <w:rPr>
                <w:sz w:val="21"/>
                <w:szCs w:val="21"/>
                <w:color w:val="auto"/>
              </w:rPr>
            </w:pPr>
          </w:p>
        </w:tc>
      </w:tr>
      <w:tr>
        <w:trPr>
          <w:trHeight w:val="243"/>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8, 2015</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7"/>
              </w:rPr>
              <w:t>February 13, 2015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w:t>
            </w:r>
          </w:p>
        </w:tc>
        <w:tc>
          <w:tcPr>
            <w:tcW w:w="16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1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right="220" w:hanging="358"/>
        <w:spacing w:after="0" w:line="277"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July 31, 2015 for the period April 1, 2015 through June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Continuous Offering Program</w:t>
      </w:r>
      <w:r>
        <w:rPr>
          <w:rFonts w:ascii="Arial" w:cs="Arial" w:eastAsia="Arial" w:hAnsi="Arial"/>
          <w:sz w:val="16"/>
          <w:szCs w:val="16"/>
          <w:color w:val="auto"/>
        </w:rPr>
        <w:t>. During the six months ended June 30, 2015, we issued an aggregate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common units under our continuous offering program, generating proceeds of $59 million, including our general partner’s proportionate capital contribution of $1 million, net of $1 million of commissions to our sales agents.</w:t>
      </w:r>
    </w:p>
    <w:p>
      <w:pPr>
        <w:spacing w:after="0" w:line="17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In March 2015, we completed an underwritten public offering of 21.0 million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proceeds of approximately $1.1 billion, including our general partner’s proportionate capital contribution of $21 million, net of costs associated with the offering.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2015, noncontrolling interests in our subsidiaries consisted of a 25% interest in SLC Pipeline LLC.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w:t>
      </w:r>
    </w:p>
    <w:p>
      <w:pPr>
        <w:ind w:right="260" w:firstLine="2"/>
        <w:spacing w:after="0" w:line="302"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use derivatives to manage the associated risks and to optimize profits. As of June 30, 2015, net derivative positions related to these activities included:</w:t>
      </w:r>
    </w:p>
    <w:p>
      <w:pPr>
        <w:spacing w:after="0" w:line="208" w:lineRule="exact"/>
        <w:rPr>
          <w:sz w:val="20"/>
          <w:szCs w:val="20"/>
          <w:color w:val="auto"/>
        </w:rPr>
      </w:pPr>
    </w:p>
    <w:p>
      <w:pPr>
        <w:ind w:left="740" w:right="220" w:hanging="89"/>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average of 151,600 barrels per day net long position (total of 4.7 million barrels) associated with our crude oil purchases, which was unwound ratably during July 2015 to match monthly average pricing.</w:t>
      </w:r>
    </w:p>
    <w:p>
      <w:pPr>
        <w:spacing w:after="0" w:line="173" w:lineRule="exact"/>
        <w:rPr>
          <w:rFonts w:ascii="Arial" w:cs="Arial" w:eastAsia="Arial" w:hAnsi="Arial"/>
          <w:sz w:val="17"/>
          <w:szCs w:val="17"/>
          <w:color w:val="auto"/>
        </w:rPr>
      </w:pPr>
    </w:p>
    <w:p>
      <w:pPr>
        <w:ind w:left="740" w:right="44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time spread position averaging 17,800 barrels per day (total of 7.6 million barrels), which hedges a portion of our anticipated crude oil lease gathering purchases through October 2016.</w:t>
      </w:r>
    </w:p>
    <w:p>
      <w:pPr>
        <w:spacing w:after="0" w:line="197" w:lineRule="exact"/>
        <w:rPr>
          <w:rFonts w:ascii="Arial" w:cs="Arial" w:eastAsia="Arial" w:hAnsi="Arial"/>
          <w:sz w:val="18"/>
          <w:szCs w:val="18"/>
          <w:color w:val="auto"/>
        </w:rPr>
      </w:pPr>
    </w:p>
    <w:p>
      <w:pPr>
        <w:ind w:left="740" w:right="56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of 35,800 barrels per day (total of 5.5 million barrels) of crude oil grade spread positions through December 2015. These derivatives allow us to lock in grade basis differentials.</w:t>
      </w:r>
    </w:p>
    <w:p>
      <w:pPr>
        <w:spacing w:after="0" w:line="197" w:lineRule="exact"/>
        <w:rPr>
          <w:rFonts w:ascii="Arial" w:cs="Arial" w:eastAsia="Arial" w:hAnsi="Arial"/>
          <w:sz w:val="18"/>
          <w:szCs w:val="18"/>
          <w:color w:val="auto"/>
        </w:rPr>
      </w:pPr>
    </w:p>
    <w:p>
      <w:pPr>
        <w:ind w:left="740" w:right="2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13.9 Bcf through April 2016 related to anticipated sales of natural gas inventory and base gas requirements.</w:t>
      </w:r>
    </w:p>
    <w:p>
      <w:pPr>
        <w:spacing w:after="0" w:line="197" w:lineRule="exact"/>
        <w:rPr>
          <w:rFonts w:ascii="Arial" w:cs="Arial" w:eastAsia="Arial" w:hAnsi="Arial"/>
          <w:sz w:val="18"/>
          <w:szCs w:val="18"/>
          <w:color w:val="auto"/>
        </w:rPr>
      </w:pPr>
    </w:p>
    <w:p>
      <w:pPr>
        <w:ind w:left="740" w:right="20" w:hanging="89"/>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15.3 million barrels through June 2017 related to anticipated purchases and sales of our crude oil, NGL and refined products inventory.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Storage Capacity Utilization — </w:t>
      </w:r>
      <w:r>
        <w:rPr>
          <w:rFonts w:ascii="Arial" w:cs="Arial" w:eastAsia="Arial" w:hAnsi="Arial"/>
          <w:sz w:val="16"/>
          <w:szCs w:val="16"/>
          <w:color w:val="auto"/>
        </w:rPr>
        <w:t>We own a significant amount of crude oil, NGL and refined products storage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June 30, 2015, we used derivatives to manage the risk of not utilizing approximately 0.8 million barrels of storage capacity through January 2016. These positions involve no outright price exposure, but instead enable us to profitably use the capacity to store hedged crude oil.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2015, we had a long natural gas position of 15.2 Bcf through December 2016, a short propane position of 2.9 million barrels through December 2016, a short butane position of 0.9 million barrels through December 2016 and a short WTI position of 0.3 million barrels through December 2016. In addition, we had a long power position of 0.5 million megawatt hours, which hedges a portion of our power supply requirements at our natural gas processing and fractionation plants through December 2018.</w:t>
      </w:r>
    </w:p>
    <w:p>
      <w:pPr>
        <w:spacing w:after="0" w:line="19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primarily of interest rate swaps and treasury locks. As of June 30, 2015, AOCI includes deferred losses of $109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20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have entered into forward starting interest rate swaps to hedge the underlying benchmark interest rate related to forecasted interest payments through 2049. The following table summarizes the terms of our forward starting interest rate swaps as of June 30, 2015 (notional amounts in millions):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and Types of</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Notional</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Expected</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1"/>
              </w:rPr>
              <w:t>Average Rate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Accounting</w:t>
            </w:r>
          </w:p>
        </w:tc>
      </w:tr>
      <w:tr>
        <w:trPr>
          <w:trHeight w:val="228"/>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Hedged Transaction</w:t>
            </w: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Derivatives Employed</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Termination Date</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Locked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r>
      <w:tr>
        <w:trPr>
          <w:trHeight w:val="195"/>
        </w:trPr>
        <w:tc>
          <w:tcPr>
            <w:tcW w:w="2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7 forward starting</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9/15/2015</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3.02</w:t>
            </w:r>
          </w:p>
        </w:tc>
        <w:tc>
          <w:tcPr>
            <w:tcW w:w="26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w:t>
            </w:r>
          </w:p>
        </w:tc>
        <w:tc>
          <w:tcPr>
            <w:tcW w:w="14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swaps (30-year)</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8 forward starting</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9"/>
              </w:rPr>
              <w:t>6/15/2016</w:t>
            </w:r>
          </w:p>
        </w:tc>
        <w:tc>
          <w:tcPr>
            <w:tcW w:w="160" w:type="dxa"/>
            <w:vAlign w:val="bottom"/>
          </w:tcPr>
          <w:p>
            <w:pPr>
              <w:spacing w:after="0"/>
              <w:rPr>
                <w:sz w:val="17"/>
                <w:szCs w:val="17"/>
                <w:color w:val="auto"/>
              </w:rPr>
            </w:pPr>
          </w:p>
        </w:tc>
        <w:tc>
          <w:tcPr>
            <w:tcW w:w="11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3.06 %</w:t>
            </w:r>
          </w:p>
        </w:tc>
        <w:tc>
          <w:tcPr>
            <w:tcW w:w="15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swaps (30-year)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3"/>
              </w:rPr>
              <w:t>8 forward starting</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6/15/2017</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3.14 %</w:t>
            </w:r>
          </w:p>
        </w:tc>
        <w:tc>
          <w:tcPr>
            <w:tcW w:w="15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swaps (30-year)</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8 forward starting</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9"/>
              </w:rPr>
              <w:t>6/15/2018</w:t>
            </w:r>
          </w:p>
        </w:tc>
        <w:tc>
          <w:tcPr>
            <w:tcW w:w="160" w:type="dxa"/>
            <w:vAlign w:val="bottom"/>
          </w:tcPr>
          <w:p>
            <w:pPr>
              <w:spacing w:after="0"/>
              <w:rPr>
                <w:sz w:val="17"/>
                <w:szCs w:val="17"/>
                <w:color w:val="auto"/>
              </w:rPr>
            </w:pPr>
          </w:p>
        </w:tc>
        <w:tc>
          <w:tcPr>
            <w:tcW w:w="11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3.20 %</w:t>
            </w:r>
          </w:p>
        </w:tc>
        <w:tc>
          <w:tcPr>
            <w:tcW w:w="15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swaps (30-year)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3"/>
              </w:rPr>
              <w:t>8 forward starting</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6/14/2019</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2.83 %</w:t>
            </w:r>
          </w:p>
        </w:tc>
        <w:tc>
          <w:tcPr>
            <w:tcW w:w="15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swaps (30-year)</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June 2015, we terminated ten forward starting swaps. These swaps had an aggregate notional amount of $250 million and an average fixed rate of 3.60%. We made a cash payment of approximately $31 million in connection with the termination of these swaps.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2015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Average Exchange Rate</w:t>
            </w:r>
          </w:p>
        </w:tc>
      </w:tr>
      <w:tr>
        <w:trPr>
          <w:trHeight w:val="228"/>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CAD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USD to CAD</w:t>
            </w:r>
          </w:p>
        </w:tc>
      </w:tr>
      <w:tr>
        <w:trPr>
          <w:trHeight w:val="237"/>
        </w:trPr>
        <w:tc>
          <w:tcPr>
            <w:tcW w:w="5700" w:type="dxa"/>
            <w:vAlign w:val="bottom"/>
            <w:tcBorders>
              <w:top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570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60" w:type="dxa"/>
            <w:vAlign w:val="bottom"/>
          </w:tcPr>
          <w:p>
            <w:pPr>
              <w:spacing w:after="0"/>
              <w:rPr>
                <w:sz w:val="21"/>
                <w:szCs w:val="21"/>
                <w:color w:val="auto"/>
              </w:rPr>
            </w:pPr>
          </w:p>
        </w:tc>
      </w:tr>
      <w:tr>
        <w:trPr>
          <w:trHeight w:val="243"/>
        </w:trPr>
        <w:tc>
          <w:tcPr>
            <w:tcW w:w="5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1.25</w:t>
            </w:r>
          </w:p>
        </w:tc>
        <w:tc>
          <w:tcPr>
            <w:tcW w:w="60" w:type="dxa"/>
            <w:vAlign w:val="bottom"/>
            <w:shd w:val="clear" w:color="auto" w:fill="CCEEFF"/>
          </w:tcPr>
          <w:p>
            <w:pPr>
              <w:spacing w:after="0"/>
              <w:rPr>
                <w:sz w:val="21"/>
                <w:szCs w:val="21"/>
                <w:color w:val="auto"/>
              </w:rPr>
            </w:pPr>
          </w:p>
        </w:tc>
      </w:tr>
      <w:tr>
        <w:trPr>
          <w:trHeight w:val="217"/>
        </w:trPr>
        <w:tc>
          <w:tcPr>
            <w:tcW w:w="5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43"/>
        </w:trPr>
        <w:tc>
          <w:tcPr>
            <w:tcW w:w="5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700" w:type="dxa"/>
            <w:vAlign w:val="bottom"/>
          </w:tcPr>
          <w:p>
            <w:pPr>
              <w:jc w:val="right"/>
              <w:ind w:right="11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1.24</w:t>
            </w:r>
          </w:p>
        </w:tc>
        <w:tc>
          <w:tcPr>
            <w:tcW w:w="60" w:type="dxa"/>
            <w:vAlign w:val="bottom"/>
            <w:shd w:val="clear" w:color="auto" w:fill="CCEEFF"/>
          </w:tcPr>
          <w:p>
            <w:pPr>
              <w:spacing w:after="0"/>
              <w:rPr>
                <w:sz w:val="21"/>
                <w:szCs w:val="21"/>
                <w:color w:val="auto"/>
              </w:rPr>
            </w:pPr>
          </w:p>
        </w:tc>
      </w:tr>
      <w:tr>
        <w:trPr>
          <w:trHeight w:val="243"/>
        </w:trPr>
        <w:tc>
          <w:tcPr>
            <w:tcW w:w="57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6"/>
              </w:rPr>
              <w:t>1.22</w:t>
            </w:r>
          </w:p>
        </w:tc>
        <w:tc>
          <w:tcPr>
            <w:tcW w:w="60" w:type="dxa"/>
            <w:vAlign w:val="bottom"/>
            <w:tcBorders>
              <w:bottom w:val="single" w:sz="8" w:color="CCEEFF"/>
            </w:tcBorders>
          </w:tcPr>
          <w:p>
            <w:pPr>
              <w:spacing w:after="0"/>
              <w:rPr>
                <w:sz w:val="21"/>
                <w:szCs w:val="21"/>
                <w:color w:val="auto"/>
              </w:rPr>
            </w:pPr>
          </w:p>
        </w:tc>
      </w:tr>
      <w:tr>
        <w:trPr>
          <w:trHeight w:val="217"/>
        </w:trPr>
        <w:tc>
          <w:tcPr>
            <w:tcW w:w="5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5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 2015</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w w:val="94"/>
              </w:rPr>
              <w:t>Derivatives in Hedging Relationships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21"/>
                <w:szCs w:val="21"/>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Derivatives Not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from AOCI</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Designated</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in Income </w:t>
            </w:r>
            <w:r>
              <w:rPr>
                <w:rFonts w:ascii="Arial" w:cs="Arial" w:eastAsia="Arial" w:hAnsi="Arial"/>
                <w:sz w:val="17"/>
                <w:szCs w:val="17"/>
                <w:b w:val="1"/>
                <w:bCs w:val="1"/>
                <w:color w:val="auto"/>
                <w:vertAlign w:val="superscript"/>
              </w:rPr>
              <w:t>(3)</w:t>
            </w:r>
          </w:p>
        </w:tc>
        <w:tc>
          <w:tcPr>
            <w:tcW w:w="10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80" w:type="dxa"/>
            <w:vAlign w:val="bottom"/>
            <w:tcBorders>
              <w:right w:val="single" w:sz="8" w:color="CCEEFF"/>
            </w:tcBorders>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18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20" w:type="dxa"/>
            <w:vAlign w:val="bottom"/>
            <w:tcBorders>
              <w:right w:val="single" w:sz="8" w:color="CCEEFF"/>
            </w:tcBorders>
            <w:gridSpan w:val="2"/>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 2014</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w w:val="94"/>
              </w:rPr>
              <w:t>Derivatives in Hedging Relationships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Derivatives Not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from AOCI</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21"/>
                <w:szCs w:val="21"/>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Designated</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in Income </w:t>
            </w:r>
            <w:r>
              <w:rPr>
                <w:rFonts w:ascii="Arial" w:cs="Arial" w:eastAsia="Arial" w:hAnsi="Arial"/>
                <w:sz w:val="17"/>
                <w:szCs w:val="17"/>
                <w:b w:val="1"/>
                <w:bCs w:val="1"/>
                <w:color w:val="auto"/>
                <w:vertAlign w:val="superscript"/>
              </w:rPr>
              <w:t>(3)</w:t>
            </w:r>
          </w:p>
        </w:tc>
        <w:tc>
          <w:tcPr>
            <w:tcW w:w="100" w:type="dxa"/>
            <w:vAlign w:val="bottom"/>
          </w:tcPr>
          <w:p>
            <w:pPr>
              <w:spacing w:after="0"/>
              <w:rPr>
                <w:sz w:val="19"/>
                <w:szCs w:val="19"/>
                <w:color w:val="auto"/>
              </w:rPr>
            </w:pPr>
          </w:p>
        </w:tc>
        <w:tc>
          <w:tcPr>
            <w:tcW w:w="11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2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6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 2015</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w w:val="94"/>
              </w:rPr>
              <w:t>Derivatives in Hedging Relationships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Reclassified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Derivatives Not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from AOCI</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Designated</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 a Hedge</w:t>
            </w:r>
          </w:p>
        </w:tc>
        <w:tc>
          <w:tcPr>
            <w:tcW w:w="26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2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00" w:type="dxa"/>
            <w:vAlign w:val="bottom"/>
            <w:tcBorders>
              <w:right w:val="single" w:sz="8" w:color="CCEEFF"/>
            </w:tcBorders>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20" w:type="dxa"/>
            <w:vAlign w:val="bottom"/>
            <w:tcBorders>
              <w:right w:val="single" w:sz="8" w:color="auto"/>
            </w:tcBorders>
            <w:gridSpan w:val="2"/>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 2014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w w:val="94"/>
              </w:rPr>
              <w:t>Derivatives in Hedging Relationships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Derivatives Not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from AOCI</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Designated</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b w:val="1"/>
                <w:bCs w:val="1"/>
                <w:color w:val="auto"/>
                <w:w w:val="88"/>
                <w:vertAlign w:val="superscript"/>
              </w:rPr>
              <w:t>(1)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 xml:space="preserve">in Income </w:t>
            </w:r>
            <w:r>
              <w:rPr>
                <w:rFonts w:ascii="Arial" w:cs="Arial" w:eastAsia="Arial" w:hAnsi="Arial"/>
                <w:sz w:val="17"/>
                <w:szCs w:val="17"/>
                <w:b w:val="1"/>
                <w:bCs w:val="1"/>
                <w:color w:val="auto"/>
                <w:w w:val="88"/>
                <w:vertAlign w:val="superscript"/>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 a Hedge</w:t>
            </w:r>
          </w:p>
        </w:tc>
        <w:tc>
          <w:tcPr>
            <w:tcW w:w="26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Supply and Logistics segment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80" w:type="dxa"/>
            <w:vAlign w:val="bottom"/>
            <w:tcBorders>
              <w:right w:val="single" w:sz="8" w:color="CCEEFF"/>
            </w:tcBorders>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5"/>
                <w:szCs w:val="15"/>
                <w:color w:val="auto"/>
              </w:rPr>
            </w:pP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Recognized in Net Income</w:t>
            </w:r>
          </w:p>
        </w:tc>
        <w:tc>
          <w:tcPr>
            <w:tcW w:w="18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hanging="45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gains/(losses) on cash flow hedges reclassified from AOCI to income during the period.</w:t>
      </w:r>
    </w:p>
    <w:p>
      <w:pPr>
        <w:spacing w:after="0" w:line="265" w:lineRule="exact"/>
        <w:rPr>
          <w:rFonts w:ascii="Arial" w:cs="Arial" w:eastAsia="Arial" w:hAnsi="Arial"/>
          <w:sz w:val="18"/>
          <w:szCs w:val="18"/>
          <w:color w:val="auto"/>
        </w:rPr>
      </w:pPr>
    </w:p>
    <w:p>
      <w:pPr>
        <w:jc w:val="both"/>
        <w:ind w:left="420" w:right="180" w:hanging="418"/>
        <w:spacing w:after="0" w:line="31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three and six months ended June 30, 2015 we reclassified a loss of approximately $4 million from AOCI to Interest expense as a result of anticipated hedged transactions that are probable of not occurring. All of our anticipated hedged transactions were deemed probable of occurring during the three and six months ended June 30,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20" w:hanging="61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represent ineffective portion of cash flow hedges.</w:t>
      </w:r>
    </w:p>
    <w:p>
      <w:pPr>
        <w:spacing w:after="0" w:line="2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June 30, 2015 (in millions):</w:t>
      </w:r>
    </w:p>
    <w:p>
      <w:pPr>
        <w:sectPr>
          <w:pgSz w:w="11900" w:h="16838" w:orient="portrait"/>
          <w:cols w:equalWidth="0" w:num="1">
            <w:col w:w="9100"/>
          </w:cols>
          <w:pgMar w:left="138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hanging="129"/>
        <w:spacing w:after="0" w:line="261" w:lineRule="auto"/>
        <w:rPr>
          <w:sz w:val="20"/>
          <w:szCs w:val="20"/>
          <w:color w:val="auto"/>
        </w:rPr>
      </w:pPr>
      <w:r>
        <w:rPr>
          <w:rFonts w:ascii="Arial" w:cs="Arial" w:eastAsia="Arial" w:hAnsi="Arial"/>
          <w:sz w:val="18"/>
          <w:szCs w:val="18"/>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Asset Derivatives</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Liability Derivatives</w:t>
            </w:r>
          </w:p>
        </w:tc>
        <w:tc>
          <w:tcPr>
            <w:tcW w:w="680" w:type="dxa"/>
            <w:vAlign w:val="bottom"/>
            <w:tcBorders>
              <w:bottom w:val="single" w:sz="8" w:color="auto"/>
            </w:tcBorders>
          </w:tcPr>
          <w:p>
            <w:pPr>
              <w:spacing w:after="0"/>
              <w:rPr>
                <w:sz w:val="14"/>
                <w:szCs w:val="14"/>
                <w:color w:val="auto"/>
              </w:rPr>
            </w:pPr>
          </w:p>
        </w:tc>
      </w:tr>
      <w:tr>
        <w:trPr>
          <w:trHeight w:val="252"/>
        </w:trPr>
        <w:tc>
          <w:tcPr>
            <w:tcW w:w="2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Balance Sheet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680" w:type="dxa"/>
            <w:vAlign w:val="bottom"/>
          </w:tcPr>
          <w:p>
            <w:pPr>
              <w:spacing w:after="0"/>
              <w:rPr>
                <w:sz w:val="21"/>
                <w:szCs w:val="21"/>
                <w:color w:val="auto"/>
              </w:rPr>
            </w:pPr>
          </w:p>
        </w:tc>
      </w:tr>
      <w:tr>
        <w:trPr>
          <w:trHeight w:val="22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0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-8255</wp:posOffset>
            </wp:positionV>
            <wp:extent cx="5805805" cy="3627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05805" cy="3627755"/>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2600" w:space="380"/>
            <w:col w:w="6120"/>
          </w:cols>
          <w:pgMar w:left="1380" w:top="125" w:right="14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w:t>
      </w:r>
    </w:p>
    <w:p>
      <w:pPr>
        <w:spacing w:after="0" w:line="200" w:lineRule="exact"/>
        <w:rPr>
          <w:sz w:val="20"/>
          <w:szCs w:val="20"/>
          <w:color w:val="auto"/>
        </w:rPr>
      </w:pPr>
    </w:p>
    <w:p>
      <w:pPr>
        <w:spacing w:after="0" w:line="268" w:lineRule="exact"/>
        <w:rPr>
          <w:sz w:val="20"/>
          <w:szCs w:val="20"/>
          <w:color w:val="auto"/>
        </w:rPr>
      </w:pPr>
    </w:p>
    <w:p>
      <w:pPr>
        <w:ind w:left="140" w:right="260" w:hanging="129"/>
        <w:spacing w:after="0" w:line="308" w:lineRule="auto"/>
        <w:rPr>
          <w:sz w:val="20"/>
          <w:szCs w:val="20"/>
          <w:color w:val="auto"/>
        </w:rPr>
      </w:pPr>
      <w:r>
        <w:rPr>
          <w:rFonts w:ascii="Arial" w:cs="Arial" w:eastAsia="Arial" w:hAnsi="Arial"/>
          <w:sz w:val="17"/>
          <w:szCs w:val="17"/>
          <w:color w:val="auto"/>
        </w:rPr>
        <w:t>Total derivatives designated as hedging instruments</w:t>
      </w:r>
    </w:p>
    <w:p>
      <w:pPr>
        <w:spacing w:after="0" w:line="183" w:lineRule="exact"/>
        <w:rPr>
          <w:sz w:val="20"/>
          <w:szCs w:val="20"/>
          <w:color w:val="auto"/>
        </w:rPr>
      </w:pPr>
    </w:p>
    <w:p>
      <w:pPr>
        <w:ind w:left="140" w:right="240" w:hanging="129"/>
        <w:spacing w:after="0" w:line="276" w:lineRule="auto"/>
        <w:rPr>
          <w:sz w:val="20"/>
          <w:szCs w:val="20"/>
          <w:color w:val="auto"/>
        </w:rPr>
      </w:pPr>
      <w:r>
        <w:rPr>
          <w:rFonts w:ascii="Arial" w:cs="Arial" w:eastAsia="Arial" w:hAnsi="Arial"/>
          <w:sz w:val="17"/>
          <w:szCs w:val="17"/>
          <w:b w:val="1"/>
          <w:bCs w:val="1"/>
          <w:color w:val="auto"/>
        </w:rPr>
        <w:t>Derivatives not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derivatives</w:t>
      </w:r>
    </w:p>
    <w:p>
      <w:pPr>
        <w:spacing w:after="0" w:line="36" w:lineRule="exact"/>
        <w:rPr>
          <w:sz w:val="20"/>
          <w:szCs w:val="20"/>
          <w:color w:val="auto"/>
        </w:rPr>
      </w:pPr>
    </w:p>
    <w:p>
      <w:pPr>
        <w:ind w:left="140" w:hanging="129"/>
        <w:spacing w:after="0" w:line="308" w:lineRule="auto"/>
        <w:rPr>
          <w:sz w:val="20"/>
          <w:szCs w:val="20"/>
          <w:color w:val="auto"/>
        </w:rPr>
      </w:pPr>
      <w:r>
        <w:rPr>
          <w:rFonts w:ascii="Arial" w:cs="Arial" w:eastAsia="Arial" w:hAnsi="Arial"/>
          <w:sz w:val="17"/>
          <w:szCs w:val="17"/>
          <w:color w:val="auto"/>
        </w:rPr>
        <w:t>Total derivatives not designated as hedging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and deferred credits</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86"/>
        </w:trPr>
        <w:tc>
          <w:tcPr>
            <w:tcW w:w="222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406"/>
        </w:trPr>
        <w:tc>
          <w:tcPr>
            <w:tcW w:w="22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904"/>
        </w:trPr>
        <w:tc>
          <w:tcPr>
            <w:tcW w:w="222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20"/>
        <w:spacing w:after="0"/>
        <w:tabs>
          <w:tab w:leader="none" w:pos="2540" w:val="left"/>
        </w:tabs>
        <w:rPr>
          <w:sz w:val="20"/>
          <w:szCs w:val="20"/>
          <w:color w:val="auto"/>
        </w:rPr>
      </w:pPr>
      <w:r>
        <w:rPr>
          <w:rFonts w:ascii="Arial" w:cs="Arial" w:eastAsia="Arial" w:hAnsi="Arial"/>
          <w:sz w:val="18"/>
          <w:szCs w:val="18"/>
          <w:u w:val="single" w:color="auto"/>
          <w:color w:val="auto"/>
        </w:rPr>
        <w:t>$</w:t>
        <w:tab/>
        <w:t>154</w:t>
      </w:r>
    </w:p>
    <w:p>
      <w:pPr>
        <w:spacing w:after="0" w:line="266" w:lineRule="exact"/>
        <w:rPr>
          <w:sz w:val="20"/>
          <w:szCs w:val="20"/>
          <w:color w:val="auto"/>
        </w:rPr>
      </w:pPr>
    </w:p>
    <w:p>
      <w:pPr>
        <w:ind w:left="2220"/>
        <w:spacing w:after="0"/>
        <w:tabs>
          <w:tab w:leader="none" w:pos="2540" w:val="left"/>
        </w:tabs>
        <w:rPr>
          <w:sz w:val="20"/>
          <w:szCs w:val="20"/>
          <w:color w:val="auto"/>
        </w:rPr>
      </w:pPr>
      <w:r>
        <w:rPr>
          <w:rFonts w:ascii="Arial" w:cs="Arial" w:eastAsia="Arial" w:hAnsi="Arial"/>
          <w:sz w:val="18"/>
          <w:szCs w:val="18"/>
          <w:u w:val="single" w:color="auto"/>
          <w:color w:val="auto"/>
        </w:rPr>
        <w:t>$</w:t>
        <w:tab/>
        <w:t>184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891"/>
        </w:trPr>
        <w:tc>
          <w:tcPr>
            <w:tcW w:w="2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and deferred credits</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406"/>
        </w:trPr>
        <w:tc>
          <w:tcPr>
            <w:tcW w:w="224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904"/>
        </w:trPr>
        <w:tc>
          <w:tcPr>
            <w:tcW w:w="224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2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and deferred credits</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2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06"/>
        </w:trPr>
        <w:tc>
          <w:tcPr>
            <w:tcW w:w="224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466"/>
        </w:trPr>
        <w:tc>
          <w:tcPr>
            <w:tcW w:w="2240" w:type="dxa"/>
            <w:vAlign w:val="bottom"/>
          </w:tcPr>
          <w:p>
            <w:pPr>
              <w:spacing w:after="0"/>
              <w:rPr>
                <w:sz w:val="24"/>
                <w:szCs w:val="24"/>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ectPr>
          <w:pgSz w:w="11900" w:h="16838" w:orient="portrait"/>
          <w:cols w:equalWidth="0" w:num="3">
            <w:col w:w="2480" w:space="500"/>
            <w:col w:w="2900" w:space="300"/>
            <w:col w:w="2920"/>
          </w:cols>
          <w:pgMar w:left="1380" w:top="125" w:right="141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85090</wp:posOffset>
            </wp:positionV>
            <wp:extent cx="58483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December 31, 2014 (in millions):</w:t>
      </w:r>
    </w:p>
    <w:p>
      <w:pPr>
        <w:sectPr>
          <w:pgSz w:w="11900" w:h="16838" w:orient="portrait"/>
          <w:cols w:equalWidth="0" w:num="1">
            <w:col w:w="9140"/>
          </w:cols>
          <w:pgMar w:left="1380" w:top="12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right="240" w:hanging="129"/>
        <w:spacing w:after="0" w:line="268" w:lineRule="auto"/>
        <w:rPr>
          <w:sz w:val="20"/>
          <w:szCs w:val="20"/>
          <w:color w:val="auto"/>
        </w:rPr>
      </w:pPr>
      <w:r>
        <w:rPr>
          <w:rFonts w:ascii="Arial" w:cs="Arial" w:eastAsia="Arial" w:hAnsi="Arial"/>
          <w:sz w:val="18"/>
          <w:szCs w:val="18"/>
          <w:b w:val="1"/>
          <w:bCs w:val="1"/>
          <w:color w:val="auto"/>
        </w:rPr>
        <w:t>Derivatives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w:t>
      </w:r>
    </w:p>
    <w:p>
      <w:pPr>
        <w:spacing w:after="0" w:line="200" w:lineRule="exact"/>
        <w:rPr>
          <w:sz w:val="20"/>
          <w:szCs w:val="20"/>
          <w:color w:val="auto"/>
        </w:rPr>
      </w:pPr>
    </w:p>
    <w:p>
      <w:pPr>
        <w:spacing w:after="0" w:line="241"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Total derivatives designated as hedging instruments</w:t>
      </w:r>
    </w:p>
    <w:p>
      <w:pPr>
        <w:spacing w:after="0" w:line="207" w:lineRule="exact"/>
        <w:rPr>
          <w:sz w:val="20"/>
          <w:szCs w:val="20"/>
          <w:color w:val="auto"/>
        </w:rPr>
      </w:pPr>
    </w:p>
    <w:p>
      <w:pPr>
        <w:ind w:left="140" w:right="600" w:hanging="129"/>
        <w:spacing w:after="0" w:line="284" w:lineRule="auto"/>
        <w:rPr>
          <w:sz w:val="20"/>
          <w:szCs w:val="20"/>
          <w:color w:val="auto"/>
        </w:rPr>
      </w:pPr>
      <w:r>
        <w:rPr>
          <w:rFonts w:ascii="Arial" w:cs="Arial" w:eastAsia="Arial" w:hAnsi="Arial"/>
          <w:sz w:val="17"/>
          <w:szCs w:val="17"/>
          <w:b w:val="1"/>
          <w:bCs w:val="1"/>
          <w:color w:val="auto"/>
        </w:rPr>
        <w:t>Derivatives not designated as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Foreign currency derivatives Total derivatives not designated as</w:t>
      </w:r>
    </w:p>
    <w:p>
      <w:pPr>
        <w:ind w:left="140"/>
        <w:spacing w:after="0"/>
        <w:rPr>
          <w:sz w:val="20"/>
          <w:szCs w:val="20"/>
          <w:color w:val="auto"/>
        </w:rPr>
      </w:pPr>
      <w:r>
        <w:rPr>
          <w:rFonts w:ascii="Arial" w:cs="Arial" w:eastAsia="Arial" w:hAnsi="Arial"/>
          <w:sz w:val="18"/>
          <w:szCs w:val="18"/>
          <w:color w:val="auto"/>
        </w:rPr>
        <w:t>hedging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Asset Derivatives</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Liability Derivatives</w:t>
            </w:r>
          </w:p>
        </w:tc>
        <w:tc>
          <w:tcPr>
            <w:tcW w:w="720" w:type="dxa"/>
            <w:vAlign w:val="bottom"/>
            <w:tcBorders>
              <w:bottom w:val="single" w:sz="8" w:color="auto"/>
            </w:tcBorders>
          </w:tcPr>
          <w:p>
            <w:pPr>
              <w:spacing w:after="0"/>
              <w:rPr>
                <w:sz w:val="14"/>
                <w:szCs w:val="14"/>
                <w:color w:val="auto"/>
              </w:rPr>
            </w:pPr>
          </w:p>
        </w:tc>
      </w:tr>
      <w:tr>
        <w:trPr>
          <w:trHeight w:val="252"/>
        </w:trPr>
        <w:tc>
          <w:tcPr>
            <w:tcW w:w="2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720" w:type="dxa"/>
            <w:vAlign w:val="bottom"/>
          </w:tcPr>
          <w:p>
            <w:pPr>
              <w:spacing w:after="0"/>
              <w:rPr>
                <w:sz w:val="21"/>
                <w:szCs w:val="21"/>
                <w:color w:val="auto"/>
              </w:rPr>
            </w:pPr>
          </w:p>
        </w:tc>
      </w:tr>
      <w:tr>
        <w:trPr>
          <w:trHeight w:val="228"/>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-8255</wp:posOffset>
            </wp:positionV>
            <wp:extent cx="5805805" cy="3515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5805" cy="351599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3"/>
              </w:rPr>
              <w:t>Other long-term assets,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80" w:type="dxa"/>
            <w:vAlign w:val="bottom"/>
          </w:tcPr>
          <w:p>
            <w:pPr>
              <w:ind w:left="280"/>
              <w:spacing w:after="0"/>
              <w:rPr>
                <w:sz w:val="20"/>
                <w:szCs w:val="20"/>
                <w:color w:val="auto"/>
              </w:rPr>
            </w:pPr>
            <w:r>
              <w:rPr>
                <w:rFonts w:ascii="Arial" w:cs="Arial" w:eastAsia="Arial" w:hAnsi="Arial"/>
                <w:sz w:val="18"/>
                <w:szCs w:val="18"/>
                <w:color w:val="auto"/>
                <w:w w:val="99"/>
              </w:rPr>
              <w:t>Other long-term assets, net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406"/>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8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904"/>
        </w:trPr>
        <w:tc>
          <w:tcPr>
            <w:tcW w:w="206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24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3"/>
              </w:rPr>
              <w:t>Other long-term assets,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80" w:type="dxa"/>
            <w:vAlign w:val="bottom"/>
          </w:tcPr>
          <w:p>
            <w:pPr>
              <w:ind w:left="280"/>
              <w:spacing w:after="0"/>
              <w:rPr>
                <w:sz w:val="20"/>
                <w:szCs w:val="20"/>
                <w:color w:val="auto"/>
              </w:rPr>
            </w:pPr>
            <w:r>
              <w:rPr>
                <w:rFonts w:ascii="Arial" w:cs="Arial" w:eastAsia="Arial" w:hAnsi="Arial"/>
                <w:sz w:val="18"/>
                <w:szCs w:val="18"/>
                <w:color w:val="auto"/>
                <w:w w:val="99"/>
              </w:rPr>
              <w:t>Other long-term assets, net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and deferred credits</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06"/>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8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480"/>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8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bl>
    <w:p>
      <w:pPr>
        <w:spacing w:after="0" w:line="200" w:lineRule="exact"/>
        <w:rPr>
          <w:sz w:val="20"/>
          <w:szCs w:val="20"/>
          <w:color w:val="auto"/>
        </w:rPr>
      </w:pPr>
    </w:p>
    <w:p>
      <w:pPr>
        <w:sectPr>
          <w:pgSz w:w="11900" w:h="16838" w:orient="portrait"/>
          <w:cols w:equalWidth="0" w:num="2">
            <w:col w:w="2840" w:space="180"/>
            <w:col w:w="6120"/>
          </w:cols>
          <w:pgMar w:left="1380" w:top="125" w:right="1379" w:bottom="1440" w:gutter="0" w:footer="0" w:header="0"/>
          <w:type w:val="continuous"/>
        </w:sectPr>
      </w:pPr>
    </w:p>
    <w:p>
      <w:pPr>
        <w:spacing w:after="0" w:line="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2015, we had a net broker payable of $46 million (consisting of initial margin of $49 million reduced by $95 million of variation margin that had been returned to us). As of December 31, 2014, we had a net broker payable of $133 million (consisting of initial margin of $126 million reduced by $259 million of variation margin that had been returned to 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type w:val="continuous"/>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 presents information about derivatives and financial assets and liabilities that are subject to offsetting, including enforceable master netting arrangements as of the dates indicated (in millions):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June 30,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gridSpan w:val="2"/>
          </w:tcPr>
          <w:p>
            <w:pPr>
              <w:spacing w:after="0"/>
              <w:rPr>
                <w:sz w:val="14"/>
                <w:szCs w:val="14"/>
                <w:color w:val="auto"/>
              </w:rPr>
            </w:pPr>
          </w:p>
        </w:tc>
      </w:tr>
      <w:tr>
        <w:trPr>
          <w:trHeight w:val="238"/>
        </w:trPr>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Derivative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Derivative</w:t>
            </w:r>
          </w:p>
        </w:tc>
      </w:tr>
      <w:tr>
        <w:trPr>
          <w:trHeight w:val="228"/>
        </w:trPr>
        <w:tc>
          <w:tcPr>
            <w:tcW w:w="444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Asset Positions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Liability Positions</w:t>
            </w:r>
          </w:p>
        </w:tc>
        <w:tc>
          <w:tcPr>
            <w:tcW w:w="8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Positions</w:t>
            </w:r>
          </w:p>
        </w:tc>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6"/>
              </w:rPr>
              <w:t>Liability Positions</w:t>
            </w:r>
          </w:p>
        </w:tc>
      </w:tr>
      <w:tr>
        <w:trPr>
          <w:trHeight w:val="237"/>
        </w:trPr>
        <w:tc>
          <w:tcPr>
            <w:tcW w:w="4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r>
      <w:tr>
        <w:trPr>
          <w:trHeight w:val="217"/>
        </w:trPr>
        <w:tc>
          <w:tcPr>
            <w:tcW w:w="4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June 30, 2015, there was a net loss of $120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2015, we expect to reclassify a net gain of $4 million to earnings in the next twelve months. The remaining deferred loss of $124 million is expected to be reclassified to earnings through 2049. A portion of these amounts are based on market prices as of June 30, 2015; thus, actual amounts to be reclassified will differ and could vary materially as a result of changes in market conditions.</w:t>
      </w:r>
    </w:p>
    <w:p>
      <w:pPr>
        <w:spacing w:after="0" w:line="2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9"/>
                <w:szCs w:val="19"/>
                <w:color w:val="auto"/>
              </w:rPr>
            </w:pPr>
          </w:p>
        </w:tc>
      </w:tr>
      <w:tr>
        <w:trPr>
          <w:trHeight w:val="223"/>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120</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r>
      <w:tr>
        <w:trPr>
          <w:trHeight w:val="217"/>
        </w:trPr>
        <w:tc>
          <w:tcPr>
            <w:tcW w:w="3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At June 30,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10"/>
          </w:tcPr>
          <w:p>
            <w:pPr>
              <w:jc w:val="right"/>
              <w:spacing w:after="0"/>
              <w:rPr>
                <w:sz w:val="20"/>
                <w:szCs w:val="20"/>
                <w:color w:val="auto"/>
              </w:rPr>
            </w:pPr>
            <w:r>
              <w:rPr>
                <w:rFonts w:ascii="Arial" w:cs="Arial" w:eastAsia="Arial" w:hAnsi="Arial"/>
                <w:sz w:val="14"/>
                <w:szCs w:val="14"/>
                <w:b w:val="1"/>
                <w:bCs w:val="1"/>
                <w:color w:val="auto"/>
              </w:rPr>
              <w:t>Fair Value as of June 30, 2015</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11"/>
          </w:tcPr>
          <w:p>
            <w:pPr>
              <w:ind w:left="340"/>
              <w:spacing w:after="0"/>
              <w:rPr>
                <w:sz w:val="20"/>
                <w:szCs w:val="20"/>
                <w:color w:val="auto"/>
              </w:rPr>
            </w:pPr>
            <w:r>
              <w:rPr>
                <w:rFonts w:ascii="Arial" w:cs="Arial" w:eastAsia="Arial" w:hAnsi="Arial"/>
                <w:sz w:val="14"/>
                <w:szCs w:val="14"/>
                <w:b w:val="1"/>
                <w:bCs w:val="1"/>
                <w:color w:val="auto"/>
              </w:rPr>
              <w:t>Fair Value as of December 31, 2014</w:t>
            </w:r>
          </w:p>
        </w:tc>
        <w:tc>
          <w:tcPr>
            <w:tcW w:w="0" w:type="dxa"/>
            <w:vAlign w:val="bottom"/>
          </w:tcPr>
          <w:p>
            <w:pPr>
              <w:spacing w:after="0"/>
              <w:rPr>
                <w:sz w:val="1"/>
                <w:szCs w:val="1"/>
                <w:color w:val="auto"/>
              </w:rPr>
            </w:pPr>
          </w:p>
        </w:tc>
      </w:tr>
      <w:tr>
        <w:trPr>
          <w:trHeight w:val="142"/>
        </w:trPr>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8"/>
              </w:rPr>
              <w:t>Level 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20"/>
              <w:spacing w:after="0" w:line="201" w:lineRule="exact"/>
              <w:rPr>
                <w:sz w:val="20"/>
                <w:szCs w:val="20"/>
                <w:color w:val="auto"/>
              </w:rPr>
            </w:pPr>
            <w:r>
              <w:rPr>
                <w:rFonts w:ascii="Arial" w:cs="Arial" w:eastAsia="Arial" w:hAnsi="Arial"/>
                <w:sz w:val="18"/>
                <w:szCs w:val="18"/>
                <w:color w:val="auto"/>
              </w:rPr>
              <w:t>Total net derivative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00" w:type="dxa"/>
            <w:vAlign w:val="bottom"/>
          </w:tcPr>
          <w:p>
            <w:pPr>
              <w:ind w:left="420"/>
              <w:spacing w:after="0"/>
              <w:rPr>
                <w:sz w:val="20"/>
                <w:szCs w:val="20"/>
                <w:color w:val="auto"/>
              </w:rPr>
            </w:pPr>
            <w:r>
              <w:rPr>
                <w:rFonts w:ascii="Arial" w:cs="Arial" w:eastAsia="Arial" w:hAnsi="Arial"/>
                <w:sz w:val="18"/>
                <w:szCs w:val="18"/>
                <w:color w:val="auto"/>
              </w:rPr>
              <w:t>asset/(liability)</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hanging="417"/>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Derivative assets and liabilities are presented above on a net basis but do not include related cash margin deposits.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52"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52"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52"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8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68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Gains/(losses) for the period included in earnings</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5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Derivatives entered into during the period</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unrealized gains/(losses) included in earnings relating to Level</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 derivatives still held at the end of the period</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56"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r>
      <w:tr>
        <w:trPr>
          <w:trHeight w:val="243"/>
        </w:trPr>
        <w:tc>
          <w:tcPr>
            <w:tcW w:w="6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658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4"/>
                <w:szCs w:val="14"/>
                <w:b w:val="1"/>
                <w:bCs w:val="1"/>
                <w:color w:val="auto"/>
                <w:vertAlign w:val="superscript"/>
              </w:rPr>
              <w:t>(1)</w:t>
            </w:r>
          </w:p>
        </w:tc>
        <w:tc>
          <w:tcPr>
            <w:tcW w:w="10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 per Unit</w:t>
            </w:r>
          </w:p>
        </w:tc>
      </w:tr>
      <w:tr>
        <w:trPr>
          <w:trHeight w:val="23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58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8"/>
                <w:szCs w:val="18"/>
                <w:color w:val="auto"/>
              </w:rPr>
            </w:pPr>
          </w:p>
        </w:tc>
      </w:tr>
      <w:tr>
        <w:trPr>
          <w:trHeight w:val="243"/>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8"/>
                <w:szCs w:val="8"/>
                <w:color w:val="auto"/>
              </w:rPr>
              <w:t>(2)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21"/>
                <w:szCs w:val="21"/>
                <w:color w:val="auto"/>
              </w:rPr>
            </w:pPr>
          </w:p>
        </w:tc>
      </w:tr>
      <w:tr>
        <w:trPr>
          <w:trHeight w:val="243"/>
        </w:trPr>
        <w:tc>
          <w:tcPr>
            <w:tcW w:w="6580" w:type="dxa"/>
            <w:vAlign w:val="bottom"/>
          </w:tcPr>
          <w:p>
            <w:pPr>
              <w:ind w:left="220"/>
              <w:spacing w:after="0"/>
              <w:rPr>
                <w:sz w:val="20"/>
                <w:szCs w:val="20"/>
                <w:color w:val="auto"/>
              </w:rPr>
            </w:pPr>
            <w:r>
              <w:rPr>
                <w:rFonts w:ascii="Arial" w:cs="Arial" w:eastAsia="Arial" w:hAnsi="Arial"/>
                <w:sz w:val="18"/>
                <w:szCs w:val="18"/>
                <w:color w:val="auto"/>
              </w:rPr>
              <w:t>Cancelled or forfeited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r>
      <w:tr>
        <w:trPr>
          <w:trHeight w:val="217"/>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700" w:hanging="69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do not include AAP Management Units.</w:t>
      </w:r>
    </w:p>
    <w:p>
      <w:pPr>
        <w:spacing w:after="0" w:line="265" w:lineRule="exact"/>
        <w:rPr>
          <w:rFonts w:ascii="Arial" w:cs="Arial" w:eastAsia="Arial" w:hAnsi="Arial"/>
          <w:sz w:val="18"/>
          <w:szCs w:val="18"/>
          <w:color w:val="auto"/>
        </w:rPr>
      </w:pPr>
    </w:p>
    <w:p>
      <w:pPr>
        <w:ind w:left="420" w:right="60" w:hanging="418"/>
        <w:spacing w:after="0" w:line="286"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Approximately 0.5 million PAA common units were issued, net of tax withholding of 0.2 million units, during the six months ended June 30, 2015 in connection with the settlement of vested awards. The remaining PAA awards that vested during the six months ended June 30, 2015 of approximately 1.1 million units were settled in cash.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243"/>
        </w:trPr>
        <w:tc>
          <w:tcPr>
            <w:tcW w:w="288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Reserved for Future</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3"/>
              </w:rPr>
              <w:t>Outstanding Units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Fair Value Of Outstanding</w:t>
            </w:r>
          </w:p>
        </w:tc>
      </w:tr>
      <w:tr>
        <w:trPr>
          <w:trHeight w:val="228"/>
        </w:trPr>
        <w:tc>
          <w:tcPr>
            <w:tcW w:w="288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Grants</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Outstanding</w:t>
            </w: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Earned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xml:space="preserve">AAP Management Units </w:t>
            </w:r>
            <w:r>
              <w:rPr>
                <w:rFonts w:ascii="Arial" w:cs="Arial" w:eastAsia="Arial" w:hAnsi="Arial"/>
                <w:sz w:val="14"/>
                <w:szCs w:val="14"/>
                <w:b w:val="1"/>
                <w:bCs w:val="1"/>
                <w:color w:val="auto"/>
                <w:w w:val="94"/>
                <w:vertAlign w:val="superscript"/>
              </w:rPr>
              <w:t>(1)</w:t>
            </w:r>
          </w:p>
        </w:tc>
      </w:tr>
      <w:tr>
        <w:trPr>
          <w:trHeight w:val="23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6"/>
              </w:rPr>
              <w:t>49.1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CCEEFF"/>
            </w:tcBorders>
          </w:tcPr>
          <w:p>
            <w:pPr>
              <w:spacing w:after="0"/>
              <w:rPr>
                <w:sz w:val="18"/>
                <w:szCs w:val="18"/>
                <w:color w:val="auto"/>
              </w:rPr>
            </w:pPr>
          </w:p>
        </w:tc>
      </w:tr>
      <w:tr>
        <w:trPr>
          <w:trHeight w:val="21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6"/>
              </w:rPr>
              <w:t>49.1</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right="100" w:hanging="458"/>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the $64 million grant date fair value, $57 million had been recognized through June 30, 2015 on a cumulative basis. Of this amount, $1 million was recognized as expense during the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5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table below summarizes the expense recognized and the value of vested LTIP awards (settled both in common units and cash) under our equity-indexed compensation plans and includes both liability-classified and equity-classified awards for the periods indicated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5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9"/>
                <w:szCs w:val="19"/>
                <w:color w:val="auto"/>
              </w:rPr>
            </w:pPr>
          </w:p>
        </w:tc>
      </w:tr>
      <w:tr>
        <w:trPr>
          <w:trHeight w:val="22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DER cash payments</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9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and storage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1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June 30, 2015, our estimated undiscounted reserve for environmental liabilities (including liabilities related to the Line 901 incident, as discussed further below) totaled $297 million, of which $197 million was classified as short-term and $100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2015 and December 31, 2014, we had recorded receivables totaling $200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9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consolidated financial condition, results of operations or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During May 2015, we experienced a crude oil release from our Las Flores to Gaviota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(Line 901) in Santa Barbara County, 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and contamination monitoring continue, and the cause of the release is currently under investigation.</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Although the precise volume of crude oil released in connection with this incident has not been determined, following the release, we developed and have periodically updated a “worst case” estimate of the amount of oil spilled, which represents what we believe to be the maximum volume of oil that could have been spilled based on relevant facts, data and information available at the time of such calculation. Our worst-case estimate has been developed primarily using information regarding (i) an estimate of the amount of oil that flowed into Line 901 during the period between the estimated time of release and the point when the pumps were shut down and (ii) an estimate of the volume of oil that drained out of the line due to the natural force of gravity based on the characteristics of the pipeline (i.e., length, elevation profile, diameter and location of the release point). Using this “drain-down” methodology, our worst case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estimate of the volume of oil released totaled approximately 2,400 barrels. We believe that the “drain-down” methodology represents the most straight forward and accurate calculation of the potential worst case discharge.</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second half of June we completed the process of emptying and purging Line 901, which resulted in the removal of approximately 26,500 barrels of crude oil from the line. This activity provided additional data to assess the reasonableness of our worst case estimate of 2,400 barrels based on the “drain-down” methodology. Based on a preliminary analysis, an alternative calculation using the purge data could be as much as 1,000 barrels higher than the worst-case estimate calculated using the drain-down methodology. However, the alternative calculation does not take into account certain factors that could account for a meaningful portion of the difference between the two calculations and this reconciliation process is ongoing. As part of our effort to reconcile these differences, we have retained an outside, third party consulting firm to review the materials and submit a report, but such study has not been completed. Accordingly, to date we have not finalized our calculation of the “worst case” estimate of the amount of oil released from Line 901, and such volume estimate may change as additional facts, data and information are analyzed during the course of the investigation of this incident. Any variance between the current and final estimate of the worst case discharge is not expected to impact our estimate of response, clean-up or remediation costs, but could impact our estimate of fines and penalties.</w:t>
      </w:r>
    </w:p>
    <w:p>
      <w:pPr>
        <w:spacing w:after="0" w:line="19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Set forth below is a brief summary of such actions and matters:</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to service; the CAO also imposes a pressure restriction on Line 903 and requires us to take other specified actions with respect to both Lines 901 and 903. We fully intend to comply with the CAO and to cooperate with any other governmental investigations relating to or arising out of the release. Excavation and removal of the affected section of the pipeline was completed on May 28, 2015. No timeline has been established for the restart of Line 901. By virtue of its statutory authority, PHMSA has the power and authority to impose fines and penalties on us and cause civil or criminal charges to be brought against us. While to date PHMSA has not imposed any such fines or penalties or pursued any such civil or criminal charges, there can be no assurance that such fines or penalties will not be imposed upon us, or that such civil or criminal charges will not be brought against us, in the future.</w:t>
      </w:r>
    </w:p>
    <w:p>
      <w:pPr>
        <w:spacing w:after="0" w:line="19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late May,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expressed an interest in talking to several of our employees and consistent with the terms of our governing organizational documents, we are funding their defense costs, including the costs of separate counsel engaged to represent such individuals. In addition to the DOJ, the California Attorney General’s Office and the District Attorney’s Office for the County of Santa Barbara have also announced that they are investigating the Line 901 incident to determine whether any applicable state or local laws have been violated. While to date no civil or criminal charges have been brought against PAA or any of its affiliates, officers or employees by the DOJ, California Attorney General or Santa Barbara County District Attorney, and no fines or penalties have been imposed by such governmental agents, there can be no assurance that such fines or penalties will not be imposed upon us, or that such civil or criminal charges will not be brought against us, in the future.</w:t>
      </w:r>
    </w:p>
    <w:p>
      <w:pPr>
        <w:spacing w:after="0" w:line="19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claims line and we are processing those claims as we receive them. In addition, we have also had six class action lawsuits filed against us, all of which have been filed in the United States District Court for the Central District of California. In general, these lawsuits have been brought by various plaintiffs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businesses that were allegedly impacted by the release.</w:t>
      </w:r>
    </w:p>
    <w:p>
      <w:pPr>
        <w:spacing w:after="0" w:line="20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Taking the foregoing into account, we estimate that the aggregate total costs we have incurred or will incur with respect to the Line 901 incident will be approximately $257 million, which estimate includes actual and projected emergency response and clean-up costs, natural resource damage assessments and certain third party claims settlements as well as estimates for fines, penalties and certain legal fees. This estimate does not include any lost revenue associated with the shutdown of Line 901 or 903. In addition,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clean up, remediation and monitoring services will be required, the number of personnel and equipment required at the site and the rates charged by the associated service and equipment providers,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and (v) the nature, extent and cost of legal services that will be required in connection with all lawsuits, claims and other matters requiring legal or expert advice associated with the Line 901 incident. We believe we have accrued adequate amounts for all probable and reasonably estimable costs; however, this estimate is subject to uncertainties associated with the assumptions that we have made. Our assumptions and estimates may turn out to be inaccurate and our total costs could turn out to be higher; accordingly, we can provide no assurance that we will not have to accrue additional costs in the future with respect to the Line 901 incident.</w:t>
      </w:r>
    </w:p>
    <w:p>
      <w:pPr>
        <w:spacing w:after="0" w:line="21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Condensed Consolidated Statement of Operations. As of June 30, 2015, we had a remaining undiscounted gross liability of $221 million related to this event, the majority of which is presented as a current liability in “Accounts payable and accrued liabilities” on our Condensed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We therefore have recognized a receivable of $192 million as of June 30, 2015 for the portion of the release costs that we believe is probable of recovery from insurance, net of deductibles. A majority of this receivable has been recognized as a current asset in “Trade accounts receivable and other receivables, net” on our Condensed Consolidated Balance Sheets with the offset reducing “Field operating costs” on our Condensed Consolidated Statement of Operations. We currently expect that the clean-up and remediation efforts, excluding long-term site monitoring activities, will be substantially completed during 2015;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96"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i w:val="1"/>
          <w:iCs w:val="1"/>
          <w:color w:val="auto"/>
        </w:rPr>
        <w:t xml:space="preserve">MP29 Release. </w:t>
      </w:r>
      <w:r>
        <w:rPr>
          <w:rFonts w:ascii="Arial" w:cs="Arial" w:eastAsia="Arial" w:hAnsi="Arial"/>
          <w:sz w:val="17"/>
          <w:szCs w:val="17"/>
          <w:color w:val="auto"/>
        </w:rPr>
        <w:t>On July 10, 2015, we experienced a crude oil release of approximately 100 barrels at our Pocahontas</w:t>
      </w:r>
      <w:r>
        <w:rPr>
          <w:rFonts w:ascii="Arial" w:cs="Arial" w:eastAsia="Arial" w:hAnsi="Arial"/>
          <w:sz w:val="17"/>
          <w:szCs w:val="17"/>
          <w:i w:val="1"/>
          <w:iCs w:val="1"/>
          <w:color w:val="auto"/>
        </w:rPr>
        <w:t xml:space="preserve"> </w:t>
      </w:r>
      <w:r>
        <w:rPr>
          <w:rFonts w:ascii="Arial" w:cs="Arial" w:eastAsia="Arial" w:hAnsi="Arial"/>
          <w:sz w:val="17"/>
          <w:szCs w:val="17"/>
          <w:color w:val="auto"/>
        </w:rPr>
        <w:t>Pump Station near the border of Bond and Madison Counties in Illinois, approximately 40 miles from St. Louis Missouri. The Pocahontas Station is part of the Capwood pipeline that runs from our Patoka Station to Wood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We are in the process of satisfying the requirements of the corrective action order.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In this lawsuit, the plaintiff seeks unspecified money damages and other remedies on behalf of itself and other unspecified similarly situated claimants. We estimate that the aggregate total costs associated with this release will be less than $10 million.</w:t>
      </w:r>
    </w:p>
    <w:p>
      <w:pPr>
        <w:spacing w:after="0" w:line="20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w:t>
      </w:r>
      <w:r>
        <w:rPr>
          <w:rFonts w:ascii="Arial" w:cs="Arial" w:eastAsia="Arial" w:hAnsi="Arial"/>
          <w:sz w:val="17"/>
          <w:szCs w:val="17"/>
          <w:i w:val="1"/>
          <w:iCs w:val="1"/>
          <w:color w:val="auto"/>
        </w:rPr>
        <w:t xml:space="preserve"> </w:t>
      </w:r>
      <w:r>
        <w:rPr>
          <w:rFonts w:ascii="Arial" w:cs="Arial" w:eastAsia="Arial" w:hAnsi="Arial"/>
          <w:sz w:val="17"/>
          <w:szCs w:val="17"/>
          <w:color w:val="auto"/>
        </w:rPr>
        <w:t>of Probable Violation and 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 On July 14, 2015, we submitted to PHMSA a Remediation Plan and schedule to satisfy the conditions of the Compliance Order.</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(“NOV”) to 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2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National Energy Board Audit. </w:t>
      </w:r>
      <w:r>
        <w:rPr>
          <w:rFonts w:ascii="Arial" w:cs="Arial" w:eastAsia="Arial" w:hAnsi="Arial"/>
          <w:sz w:val="17"/>
          <w:szCs w:val="17"/>
          <w:color w:val="auto"/>
        </w:rPr>
        <w:t>In the third quarter of 2014, the National Energy Board (“NEB”) of Canada notified</w:t>
      </w:r>
      <w:r>
        <w:rPr>
          <w:rFonts w:ascii="Arial" w:cs="Arial" w:eastAsia="Arial" w:hAnsi="Arial"/>
          <w:sz w:val="17"/>
          <w:szCs w:val="17"/>
          <w:i w:val="1"/>
          <w:iCs w:val="1"/>
          <w:color w:val="auto"/>
        </w:rPr>
        <w:t xml:space="preserve"> </w:t>
      </w:r>
      <w:r>
        <w:rPr>
          <w:rFonts w:ascii="Arial" w:cs="Arial" w:eastAsia="Arial" w:hAnsi="Arial"/>
          <w:sz w:val="17"/>
          <w:szCs w:val="17"/>
          <w:color w:val="auto"/>
        </w:rPr>
        <w:t>PMC that various corrective 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20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i w:val="1"/>
          <w:iCs w:val="1"/>
          <w:color w:val="auto"/>
        </w:rPr>
        <w:t>Kemp River Pipeline Releases</w:t>
      </w:r>
      <w:r>
        <w:rPr>
          <w:rFonts w:ascii="Arial" w:cs="Arial" w:eastAsia="Arial" w:hAnsi="Arial"/>
          <w:sz w:val="18"/>
          <w:szCs w:val="18"/>
          <w:color w:val="auto"/>
        </w:rPr>
        <w:t>. During May and June 2013, two separate releases were discovered on our Kemp</w:t>
      </w:r>
      <w:r>
        <w:rPr>
          <w:rFonts w:ascii="Arial" w:cs="Arial" w:eastAsia="Arial" w:hAnsi="Arial"/>
          <w:sz w:val="18"/>
          <w:szCs w:val="18"/>
          <w:i w:val="1"/>
          <w:iCs w:val="1"/>
          <w:color w:val="auto"/>
        </w:rPr>
        <w:t xml:space="preserve"> </w:t>
      </w:r>
      <w:r>
        <w:rPr>
          <w:rFonts w:ascii="Arial" w:cs="Arial" w:eastAsia="Arial" w:hAnsi="Arial"/>
          <w:sz w:val="18"/>
          <w:szCs w:val="18"/>
          <w:color w:val="auto"/>
        </w:rPr>
        <w:t>River pipeline in Northern Alberta, 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June 30, 2015, we spent $9 million in connection with clean-up and remediation activities.</w:t>
      </w:r>
    </w:p>
    <w:p>
      <w:pPr>
        <w:spacing w:after="0" w:line="21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on a portion of one of our 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including remediation, reporting and other actions. We have satisfied the requirements of the administrative order; however, we may be subjected to a civil penalty. The aggregate cost to clean up and remediate the site was $6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56"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Supply and Logistics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2015</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21"/>
                <w:szCs w:val="21"/>
                <w:color w:val="auto"/>
              </w:rPr>
            </w:pPr>
          </w:p>
        </w:tc>
      </w:tr>
      <w:tr>
        <w:trPr>
          <w:trHeight w:val="230"/>
        </w:trPr>
        <w:tc>
          <w:tcPr>
            <w:tcW w:w="3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43"/>
        </w:trPr>
        <w:tc>
          <w:tcPr>
            <w:tcW w:w="3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Three Months Ended June 30, 2014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1"/>
                <w:szCs w:val="21"/>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10,856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11,195</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1"/>
                <w:szCs w:val="21"/>
                <w:color w:val="auto"/>
              </w:rPr>
            </w:pPr>
          </w:p>
        </w:tc>
      </w:tr>
      <w:tr>
        <w:trPr>
          <w:trHeight w:val="217"/>
        </w:trPr>
        <w:tc>
          <w:tcPr>
            <w:tcW w:w="3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8"/>
                <w:szCs w:val="18"/>
                <w:color w:val="auto"/>
              </w:rPr>
            </w:pPr>
          </w:p>
        </w:tc>
      </w:tr>
      <w:tr>
        <w:trPr>
          <w:trHeight w:val="22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Supply and Logistics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2015</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21"/>
                <w:szCs w:val="21"/>
                <w:color w:val="auto"/>
              </w:rPr>
            </w:pPr>
          </w:p>
        </w:tc>
      </w:tr>
      <w:tr>
        <w:trPr>
          <w:trHeight w:val="230"/>
        </w:trPr>
        <w:tc>
          <w:tcPr>
            <w:tcW w:w="3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8"/>
                <w:szCs w:val="18"/>
                <w:color w:val="auto"/>
              </w:rPr>
            </w:pPr>
          </w:p>
        </w:tc>
      </w:tr>
      <w:tr>
        <w:trPr>
          <w:trHeight w:val="243"/>
        </w:trPr>
        <w:tc>
          <w:tcPr>
            <w:tcW w:w="3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Six Months Ended June 30, 2014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1"/>
                <w:szCs w:val="21"/>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22,201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22,878</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1"/>
                <w:szCs w:val="21"/>
                <w:color w:val="auto"/>
              </w:rPr>
            </w:pPr>
          </w:p>
        </w:tc>
      </w:tr>
      <w:tr>
        <w:trPr>
          <w:trHeight w:val="217"/>
        </w:trPr>
        <w:tc>
          <w:tcPr>
            <w:tcW w:w="3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tcPr>
          <w:p>
            <w:pPr>
              <w:spacing w:after="0"/>
              <w:rPr>
                <w:sz w:val="18"/>
                <w:szCs w:val="18"/>
                <w:color w:val="auto"/>
              </w:rPr>
            </w:pPr>
          </w:p>
        </w:tc>
      </w:tr>
      <w:tr>
        <w:trPr>
          <w:trHeight w:val="22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00" w:hanging="418"/>
        <w:spacing w:after="0" w:line="31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173" w:lineRule="exact"/>
        <w:rPr>
          <w:rFonts w:ascii="Arial" w:cs="Arial" w:eastAsia="Arial" w:hAnsi="Arial"/>
          <w:sz w:val="16"/>
          <w:szCs w:val="16"/>
          <w:color w:val="auto"/>
        </w:rPr>
      </w:pPr>
    </w:p>
    <w:p>
      <w:pPr>
        <w:ind w:left="420" w:right="80" w:hanging="418"/>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and Logistics segment profit includes interest expense (related to hedged inventory purchases) of $2 million and $5 million for the three months ended June 30, 2015 and 2014, respectively, and $3 million and $7 million for the six months ended June 30, 2015 and 2014, respectively.</w:t>
      </w:r>
    </w:p>
    <w:p>
      <w:pPr>
        <w:spacing w:after="0" w:line="208" w:lineRule="exact"/>
        <w:rPr>
          <w:rFonts w:ascii="Arial" w:cs="Arial" w:eastAsia="Arial" w:hAnsi="Arial"/>
          <w:sz w:val="18"/>
          <w:szCs w:val="18"/>
          <w:color w:val="auto"/>
        </w:rPr>
      </w:pPr>
    </w:p>
    <w:p>
      <w:pPr>
        <w:ind w:left="480" w:hanging="47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reconciles segment profit to net income attributable to PAA (in millions):</w:t>
      </w: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21"/>
                <w:szCs w:val="21"/>
                <w:color w:val="auto"/>
              </w:rPr>
            </w:pP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9"/>
                <w:szCs w:val="19"/>
                <w:color w:val="auto"/>
              </w:rPr>
            </w:pPr>
          </w:p>
        </w:tc>
      </w:tr>
      <w:tr>
        <w:trPr>
          <w:trHeight w:val="202"/>
        </w:trPr>
        <w:tc>
          <w:tcPr>
            <w:tcW w:w="3620" w:type="dxa"/>
            <w:vAlign w:val="bottom"/>
          </w:tcPr>
          <w:p>
            <w:pPr>
              <w:ind w:left="22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7"/>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5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of June 30, 2015, Oxy owned approximately 13% of the limited partner interests in our general partner and had a representative on the board of directors of GP LLC. During the three and six months ended June 30, 2015 and 2014, we recognized sales and transportation revenues and purchased petroleum products from Oxy. These transactions were conducted at posted tariff rates or prices that we believe approximate market. See detail below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47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r>
      <w:tr>
        <w:trPr>
          <w:trHeight w:val="223"/>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382</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4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as of the dates indicated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r>
      <w:tr>
        <w:trPr>
          <w:trHeight w:val="228"/>
        </w:trPr>
        <w:tc>
          <w:tcPr>
            <w:tcW w:w="396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39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891"/>
        </w:trPr>
        <w:tc>
          <w:tcPr>
            <w:tcW w:w="3960" w:type="dxa"/>
            <w:vAlign w:val="bottom"/>
          </w:tcPr>
          <w:p>
            <w:pPr>
              <w:spacing w:after="0"/>
              <w:rPr>
                <w:sz w:val="24"/>
                <w:szCs w:val="24"/>
                <w:color w:val="auto"/>
              </w:rPr>
            </w:pPr>
          </w:p>
        </w:tc>
        <w:tc>
          <w:tcPr>
            <w:tcW w:w="2980" w:type="dxa"/>
            <w:vAlign w:val="bottom"/>
          </w:tcPr>
          <w:p>
            <w:pPr>
              <w:jc w:val="right"/>
              <w:ind w:right="219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39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396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Outlook</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six months ended June 30, 2015 and 2014, we recognized net income attributable to PAA of $407 million and $671 million, respectively. This decrease was primarily driven by less favorable results from our Supply and Logistics segment. In addition, our operating results for the 2015 period were impacted by costs and lost revenue associated with the Line 901 incident. See further discussion of our segment operating results in the following sections. Net income attributable to PAA for the first six months of 2015 was also impacted by higher depreciation and amortization expense and interest expense associated with our growing asset base and related financing activities.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invested approximately $1.2 billion in midstream infrastructure projects during the six months ended June 30, 2015, with a targeted expansion capital plan for the full year of 2015 of $2.2 billion. To fund a portion of such capital activities, we issued approximately 22.1 million common units for net proceeds of approximately $1.1 billion. In addition, we paid $810 million of cash distributions to our limited partners and general partner during the six months ended June 30, 2015, and we declared a quarterly distribution of $0.6950 per limited partner unit to be paid on August 14, 2015.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7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9"/>
                <w:szCs w:val="19"/>
                <w:color w:val="auto"/>
              </w:rPr>
            </w:pP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8"/>
                <w:szCs w:val="8"/>
                <w:color w:val="auto"/>
              </w:rPr>
              <w:t>(1)</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1"/>
                <w:szCs w:val="21"/>
                <w:color w:val="auto"/>
              </w:rPr>
            </w:pPr>
          </w:p>
        </w:tc>
      </w:tr>
      <w:tr>
        <w:trPr>
          <w:trHeight w:val="24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1"/>
                <w:szCs w:val="21"/>
                <w:color w:val="auto"/>
              </w:rPr>
            </w:pPr>
          </w:p>
        </w:tc>
      </w:tr>
      <w:tr>
        <w:trPr>
          <w:trHeight w:val="217"/>
        </w:trPr>
        <w:tc>
          <w:tcPr>
            <w:tcW w:w="70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220" w:hanging="418"/>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2015 and the forecasted expenditures for the year ending December 31, 2015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r>
      <w:tr>
        <w:trPr>
          <w:trHeight w:val="223"/>
        </w:trPr>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3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$410</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310</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8"/>
                <w:szCs w:val="8"/>
                <w:color w:val="auto"/>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275</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 xml:space="preserve">Cactus Pipeline </w:t>
            </w:r>
            <w:r>
              <w:rPr>
                <w:rFonts w:ascii="Arial" w:cs="Arial" w:eastAsia="Arial" w:hAnsi="Arial"/>
                <w:sz w:val="8"/>
                <w:szCs w:val="8"/>
                <w:color w:val="auto"/>
              </w:rPr>
              <w:t>(2)</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Red River Pipeline (Cushing to Longview)</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130</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Cowboy Pipeline (Cheyenne to Carr)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Eagle Ford Area Projects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21"/>
                <w:szCs w:val="21"/>
                <w:color w:val="auto"/>
              </w:rPr>
            </w:pPr>
          </w:p>
        </w:tc>
      </w:tr>
      <w:tr>
        <w:trPr>
          <w:trHeight w:val="243"/>
        </w:trPr>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455</w:t>
            </w:r>
          </w:p>
        </w:tc>
        <w:tc>
          <w:tcPr>
            <w:tcW w:w="40" w:type="dxa"/>
            <w:vAlign w:val="bottom"/>
            <w:tcBorders>
              <w:bottom w:val="single" w:sz="8" w:color="CCEEFF"/>
            </w:tcBorders>
          </w:tcPr>
          <w:p>
            <w:pPr>
              <w:spacing w:after="0"/>
              <w:rPr>
                <w:sz w:val="21"/>
                <w:szCs w:val="21"/>
                <w:color w:val="auto"/>
              </w:rPr>
            </w:pPr>
          </w:p>
        </w:tc>
      </w:tr>
      <w:tr>
        <w:trPr>
          <w:trHeight w:val="223"/>
        </w:trPr>
        <w:tc>
          <w:tcPr>
            <w:tcW w:w="7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40" w:type="dxa"/>
            <w:vAlign w:val="bottom"/>
            <w:shd w:val="clear" w:color="auto" w:fill="CCEEFF"/>
          </w:tcPr>
          <w:p>
            <w:pPr>
              <w:spacing w:after="0"/>
              <w:rPr>
                <w:sz w:val="19"/>
                <w:szCs w:val="19"/>
                <w:color w:val="auto"/>
              </w:rPr>
            </w:pPr>
          </w:p>
        </w:tc>
      </w:tr>
      <w:tr>
        <w:trPr>
          <w:trHeight w:val="243"/>
        </w:trPr>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8"/>
                <w:szCs w:val="8"/>
                <w:color w:val="auto"/>
              </w:rPr>
              <w:t>(3)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 + $100</w:t>
            </w:r>
          </w:p>
        </w:tc>
        <w:tc>
          <w:tcPr>
            <w:tcW w:w="40" w:type="dxa"/>
            <w:vAlign w:val="bottom"/>
            <w:tcBorders>
              <w:bottom w:val="single" w:sz="8" w:color="CCEEFF"/>
            </w:tcBorders>
          </w:tcPr>
          <w:p>
            <w:pPr>
              <w:spacing w:after="0"/>
              <w:rPr>
                <w:sz w:val="21"/>
                <w:szCs w:val="21"/>
                <w:color w:val="auto"/>
              </w:rPr>
            </w:pPr>
          </w:p>
        </w:tc>
      </w:tr>
      <w:tr>
        <w:trPr>
          <w:trHeight w:val="217"/>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Projected Expansion Capital Expenditures</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2,100 -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2,300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43"/>
        </w:trPr>
        <w:tc>
          <w:tcPr>
            <w:tcW w:w="7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Maintenance Capital Expenditures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$205 - $225</w:t>
            </w:r>
          </w:p>
        </w:tc>
        <w:tc>
          <w:tcPr>
            <w:tcW w:w="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40" w:hanging="438"/>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railcar purchases and projects located in or near St. James, LA, Kerrobert, Canada and Tampa, CO.</w:t>
      </w:r>
    </w:p>
    <w:p>
      <w:pPr>
        <w:spacing w:after="0" w:line="265" w:lineRule="exact"/>
        <w:rPr>
          <w:rFonts w:ascii="Arial" w:cs="Arial" w:eastAsia="Arial" w:hAnsi="Arial"/>
          <w:sz w:val="18"/>
          <w:szCs w:val="18"/>
          <w:color w:val="auto"/>
        </w:rPr>
      </w:pPr>
    </w:p>
    <w:p>
      <w:pPr>
        <w:ind w:left="700" w:hanging="69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linefill costs associated with the project.</w:t>
      </w:r>
    </w:p>
    <w:p>
      <w:pPr>
        <w:spacing w:after="0" w:line="265" w:lineRule="exact"/>
        <w:rPr>
          <w:rFonts w:ascii="Arial" w:cs="Arial" w:eastAsia="Arial" w:hAnsi="Arial"/>
          <w:sz w:val="18"/>
          <w:szCs w:val="18"/>
          <w:color w:val="auto"/>
        </w:rPr>
      </w:pPr>
    </w:p>
    <w:p>
      <w:pPr>
        <w:jc w:val="both"/>
        <w:ind w:left="420" w:right="520" w:hanging="418"/>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for the periods indicated (in millions, except per unit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1"/>
                <w:szCs w:val="21"/>
                <w:color w:val="auto"/>
              </w:rPr>
            </w:pPr>
          </w:p>
        </w:tc>
        <w:tc>
          <w:tcPr>
            <w:tcW w:w="16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21"/>
                <w:szCs w:val="21"/>
                <w:color w:val="auto"/>
              </w:rPr>
            </w:pPr>
          </w:p>
        </w:tc>
        <w:tc>
          <w:tcPr>
            <w:tcW w:w="13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9"/>
                <w:szCs w:val="19"/>
                <w:color w:val="auto"/>
              </w:rPr>
            </w:pPr>
          </w:p>
        </w:tc>
        <w:tc>
          <w:tcPr>
            <w:tcW w:w="13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Facilities segment profit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8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Total segment profit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CCEEFF"/>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net income/(loss) per limited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 unit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 (0.51)</w:t>
            </w:r>
          </w:p>
        </w:tc>
        <w:tc>
          <w:tcPr>
            <w:tcW w:w="8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(0.90)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Diluted net income/(loss) per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limited partner unit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 (0.51)</w:t>
            </w: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0"/>
                <w:szCs w:val="20"/>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 (0.89)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limited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 units outstanding</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Diluted weighted average limited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partner units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21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w:t>
      </w:r>
    </w:p>
    <w:p>
      <w:pPr>
        <w:spacing w:after="0" w:line="5" w:lineRule="exact"/>
        <w:rPr>
          <w:sz w:val="20"/>
          <w:szCs w:val="20"/>
          <w:color w:val="auto"/>
        </w:rPr>
      </w:pPr>
    </w:p>
    <w:p>
      <w:pPr>
        <w:ind w:right="80" w:firstLine="2"/>
        <w:spacing w:after="0" w:line="251"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measures for the periods indicated (in millions):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5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1"/>
                <w:szCs w:val="21"/>
                <w:color w:val="auto"/>
              </w:rPr>
            </w:pPr>
          </w:p>
        </w:tc>
        <w:tc>
          <w:tcPr>
            <w:tcW w:w="14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21"/>
                <w:szCs w:val="21"/>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1"/>
                <w:szCs w:val="21"/>
                <w:color w:val="auto"/>
              </w:rPr>
            </w:pPr>
          </w:p>
        </w:tc>
        <w:tc>
          <w:tcPr>
            <w:tcW w:w="13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9"/>
                <w:szCs w:val="19"/>
                <w:color w:val="auto"/>
              </w:rPr>
            </w:pPr>
          </w:p>
        </w:tc>
        <w:tc>
          <w:tcPr>
            <w:tcW w:w="14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9"/>
                <w:szCs w:val="19"/>
                <w:color w:val="auto"/>
              </w:rPr>
            </w:pPr>
          </w:p>
        </w:tc>
        <w:tc>
          <w:tcPr>
            <w:tcW w:w="14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9"/>
                <w:szCs w:val="19"/>
                <w:color w:val="auto"/>
              </w:rPr>
            </w:pPr>
          </w:p>
        </w:tc>
        <w:tc>
          <w:tcPr>
            <w:tcW w:w="13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7"/>
        </w:trPr>
        <w:tc>
          <w:tcPr>
            <w:tcW w:w="30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1,099</w:t>
            </w:r>
          </w:p>
        </w:tc>
        <w:tc>
          <w:tcPr>
            <w:tcW w:w="14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 (218)</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0" w:type="dxa"/>
            <w:vAlign w:val="bottom"/>
          </w:tcPr>
          <w:p>
            <w:pPr>
              <w:spacing w:after="0" w:line="198" w:lineRule="exact"/>
              <w:rPr>
                <w:sz w:val="20"/>
                <w:szCs w:val="20"/>
                <w:color w:val="auto"/>
              </w:rPr>
            </w:pPr>
            <w:r>
              <w:rPr>
                <w:rFonts w:ascii="Arial" w:cs="Arial" w:eastAsia="Arial" w:hAnsi="Arial"/>
                <w:sz w:val="18"/>
                <w:szCs w:val="18"/>
                <w:b w:val="1"/>
                <w:bCs w:val="1"/>
                <w:color w:val="auto"/>
              </w:rPr>
              <w:t>Selected Items Impacting</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Comparability of EBITDA</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(329)%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(201)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0"/>
              <w:spacing w:after="0" w:line="201"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8"/>
                <w:szCs w:val="8"/>
                <w:color w:val="auto"/>
              </w:rPr>
              <w:t>(2)</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expense </w:t>
            </w:r>
            <w:r>
              <w:rPr>
                <w:rFonts w:ascii="Arial" w:cs="Arial" w:eastAsia="Arial" w:hAnsi="Arial"/>
                <w:sz w:val="8"/>
                <w:szCs w:val="8"/>
                <w:color w:val="auto"/>
              </w:rPr>
              <w:t>(3)</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 xml:space="preserve">revaluation </w:t>
            </w:r>
            <w:r>
              <w:rPr>
                <w:rFonts w:ascii="Arial" w:cs="Arial" w:eastAsia="Arial" w:hAnsi="Arial"/>
                <w:sz w:val="8"/>
                <w:szCs w:val="8"/>
                <w:color w:val="auto"/>
              </w:rPr>
              <w:t>(4)</w:t>
            </w:r>
          </w:p>
        </w:tc>
        <w:tc>
          <w:tcPr>
            <w:tcW w:w="1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(109)%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8"/>
                <w:szCs w:val="8"/>
                <w:color w:val="auto"/>
              </w:rPr>
              <w:t>(5)</w:t>
            </w: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tcPr>
          <w:p>
            <w:pPr>
              <w:spacing w:after="0" w:line="182" w:lineRule="exact"/>
              <w:rPr>
                <w:sz w:val="20"/>
                <w:szCs w:val="20"/>
                <w:color w:val="auto"/>
              </w:rPr>
            </w:pPr>
            <w:r>
              <w:rPr>
                <w:rFonts w:ascii="Arial" w:cs="Arial" w:eastAsia="Arial" w:hAnsi="Arial"/>
                <w:sz w:val="18"/>
                <w:szCs w:val="18"/>
                <w:color w:val="auto"/>
              </w:rPr>
              <w:t>Selected Items Impacting</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right"/>
              <w:ind w:right="90"/>
              <w:spacing w:after="0"/>
              <w:rPr>
                <w:sz w:val="20"/>
                <w:szCs w:val="20"/>
                <w:color w:val="auto"/>
              </w:rPr>
            </w:pPr>
            <w:r>
              <w:rPr>
                <w:rFonts w:ascii="Arial" w:cs="Arial" w:eastAsia="Arial" w:hAnsi="Arial"/>
                <w:sz w:val="18"/>
                <w:szCs w:val="18"/>
                <w:color w:val="auto"/>
                <w:w w:val="99"/>
              </w:rPr>
              <w:t>(470)%</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5"/>
                <w:szCs w:val="15"/>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4"/>
              </w:rPr>
              <w:t>$ (247)</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Comparability of EBITDA</w:t>
            </w:r>
          </w:p>
        </w:tc>
        <w:tc>
          <w:tcPr>
            <w:tcW w:w="12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1,099</w:t>
            </w:r>
          </w:p>
        </w:tc>
        <w:tc>
          <w:tcPr>
            <w:tcW w:w="14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 (218)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Selected Items Impacting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Comparability of EBITDA</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470 %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1,235 %</w:t>
            </w:r>
          </w:p>
        </w:tc>
        <w:tc>
          <w:tcPr>
            <w:tcW w:w="0" w:type="dxa"/>
            <w:vAlign w:val="bottom"/>
          </w:tcPr>
          <w:p>
            <w:pPr>
              <w:spacing w:after="0"/>
              <w:rPr>
                <w:sz w:val="1"/>
                <w:szCs w:val="1"/>
                <w:color w:val="auto"/>
              </w:rPr>
            </w:pPr>
          </w:p>
        </w:tc>
      </w:tr>
      <w:tr>
        <w:trPr>
          <w:trHeight w:val="217"/>
        </w:trPr>
        <w:tc>
          <w:tcPr>
            <w:tcW w:w="3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1,108</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1,079</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1,108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1,079</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(6)</w:t>
            </w:r>
          </w:p>
        </w:tc>
        <w:tc>
          <w:tcPr>
            <w:tcW w:w="1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0"/>
              <w:spacing w:after="0" w:line="201" w:lineRule="exact"/>
              <w:rPr>
                <w:sz w:val="20"/>
                <w:szCs w:val="20"/>
                <w:color w:val="auto"/>
              </w:rPr>
            </w:pPr>
            <w:r>
              <w:rPr>
                <w:rFonts w:ascii="Arial" w:cs="Arial" w:eastAsia="Arial" w:hAnsi="Arial"/>
                <w:sz w:val="18"/>
                <w:szCs w:val="18"/>
                <w:color w:val="auto"/>
              </w:rPr>
              <w:t>Equity earnings in unconsolidated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entities, net of distributions</w:t>
            </w:r>
          </w:p>
        </w:tc>
        <w:tc>
          <w:tcPr>
            <w:tcW w:w="1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(250)%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interests </w:t>
            </w:r>
            <w:r>
              <w:rPr>
                <w:rFonts w:ascii="Arial" w:cs="Arial" w:eastAsia="Arial" w:hAnsi="Arial"/>
                <w:sz w:val="8"/>
                <w:szCs w:val="8"/>
                <w:color w:val="auto"/>
              </w:rPr>
              <w:t>(7)</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Implied DCF </w:t>
            </w:r>
            <w:r>
              <w:rPr>
                <w:rFonts w:ascii="Arial" w:cs="Arial" w:eastAsia="Arial" w:hAnsi="Arial"/>
                <w:sz w:val="8"/>
                <w:szCs w:val="8"/>
                <w:color w:val="auto"/>
              </w:rPr>
              <w:t>(8)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8"/>
                <w:szCs w:val="8"/>
                <w:color w:val="auto"/>
              </w:rPr>
              <w:t>(7)</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8"/>
                <w:szCs w:val="8"/>
                <w:color w:val="auto"/>
              </w:rPr>
              <w:t>(9)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00" w:hanging="418"/>
        <w:spacing w:after="0" w:line="273"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w:t>
      </w:r>
    </w:p>
    <w:p>
      <w:pPr>
        <w:spacing w:after="0" w:line="39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determining Adjusted EBITDA. In addition, we exclude gains and losses on derivatives that are related to investing activities, such as the purchase of linefill. We also exclude the impact of corresponding inventory valuation adjustments, as applicable. See Note 8 to our Condensed Consolidated Financial Statements for a comprehensive discussion regarding our derivatives and risk management activities.</w:t>
      </w:r>
    </w:p>
    <w:p>
      <w:pPr>
        <w:spacing w:after="0" w:line="214" w:lineRule="exact"/>
        <w:rPr>
          <w:sz w:val="20"/>
          <w:szCs w:val="20"/>
          <w:color w:val="auto"/>
        </w:rPr>
      </w:pPr>
    </w:p>
    <w:p>
      <w:pPr>
        <w:ind w:left="420" w:right="40" w:hanging="418"/>
        <w:spacing w:after="0" w:line="290"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carry approximately 4 million barrels of crude oil and NGL inventory that consists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2014 Annual Report on Form 10-K for a complete discussion of our long-term inventory.</w:t>
      </w:r>
    </w:p>
    <w:p>
      <w:pPr>
        <w:spacing w:after="0" w:line="193" w:lineRule="exact"/>
        <w:rPr>
          <w:rFonts w:ascii="Arial" w:cs="Arial" w:eastAsia="Arial" w:hAnsi="Arial"/>
          <w:sz w:val="16"/>
          <w:szCs w:val="16"/>
          <w:color w:val="auto"/>
        </w:rPr>
      </w:pPr>
    </w:p>
    <w:p>
      <w:pPr>
        <w:ind w:left="420" w:right="40" w:hanging="418"/>
        <w:spacing w:after="0" w:line="270"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2014 Annual Report on Form 10-K for a comprehensive discussion regarding our equity-indexed compensation plans.</w:t>
      </w:r>
    </w:p>
    <w:p>
      <w:pPr>
        <w:spacing w:after="0" w:line="208" w:lineRule="exact"/>
        <w:rPr>
          <w:rFonts w:ascii="Arial" w:cs="Arial" w:eastAsia="Arial" w:hAnsi="Arial"/>
          <w:sz w:val="17"/>
          <w:szCs w:val="17"/>
          <w:color w:val="auto"/>
        </w:rPr>
      </w:pPr>
    </w:p>
    <w:p>
      <w:pPr>
        <w:ind w:left="420" w:right="100" w:hanging="418"/>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three and six months ended June 30, 2015 and 2014, there were fluctuations in the value of CAD to USD, resulting in gains and losses that were not related to our core operating results for the period and were thus classified as selected items impacting comparability.</w:t>
      </w:r>
    </w:p>
    <w:p>
      <w:pPr>
        <w:spacing w:after="0" w:line="208" w:lineRule="exact"/>
        <w:rPr>
          <w:rFonts w:ascii="Arial" w:cs="Arial" w:eastAsia="Arial" w:hAnsi="Arial"/>
          <w:sz w:val="18"/>
          <w:szCs w:val="18"/>
          <w:color w:val="auto"/>
        </w:rPr>
      </w:pPr>
    </w:p>
    <w:p>
      <w:pPr>
        <w:jc w:val="both"/>
        <w:ind w:left="420" w:right="120" w:hanging="418"/>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costs related to our Line 901 incident that occurred during May 2015, net of amounts we believe are probable of recovery from insurance recoveries. See Note 10 to our Condensed Consolidated Financial Statements for additional information.</w:t>
      </w:r>
    </w:p>
    <w:p>
      <w:pPr>
        <w:spacing w:after="0" w:line="208" w:lineRule="exact"/>
        <w:rPr>
          <w:rFonts w:ascii="Arial" w:cs="Arial" w:eastAsia="Arial" w:hAnsi="Arial"/>
          <w:sz w:val="18"/>
          <w:szCs w:val="18"/>
          <w:color w:val="auto"/>
        </w:rPr>
      </w:pPr>
    </w:p>
    <w:p>
      <w:pPr>
        <w:ind w:left="420" w:hanging="418"/>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97" w:lineRule="exact"/>
        <w:rPr>
          <w:rFonts w:ascii="Arial" w:cs="Arial" w:eastAsia="Arial" w:hAnsi="Arial"/>
          <w:sz w:val="18"/>
          <w:szCs w:val="18"/>
          <w:color w:val="auto"/>
        </w:rPr>
      </w:pPr>
    </w:p>
    <w:p>
      <w:pPr>
        <w:ind w:left="440" w:hanging="438"/>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65" w:lineRule="exact"/>
        <w:rPr>
          <w:rFonts w:ascii="Arial" w:cs="Arial" w:eastAsia="Arial" w:hAnsi="Arial"/>
          <w:sz w:val="18"/>
          <w:szCs w:val="18"/>
          <w:color w:val="auto"/>
        </w:rPr>
      </w:pPr>
    </w:p>
    <w:p>
      <w:pPr>
        <w:ind w:left="420" w:hanging="418"/>
        <w:spacing w:after="0" w:line="286"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Including costs of $65 million related to our Line 901 incident that occurred during May 2015, Implied DCF would have been $241 million and $684 million for the three and six months ended June 30, 2015, respectively. See Note 10 to our Condensed Consolidated Financial Statements for additional information regarding the Line 901incident.</w:t>
      </w:r>
    </w:p>
    <w:p>
      <w:pPr>
        <w:spacing w:after="0" w:line="192" w:lineRule="exact"/>
        <w:rPr>
          <w:rFonts w:ascii="Arial" w:cs="Arial" w:eastAsia="Arial" w:hAnsi="Arial"/>
          <w:sz w:val="17"/>
          <w:szCs w:val="17"/>
          <w:color w:val="auto"/>
        </w:rPr>
      </w:pPr>
    </w:p>
    <w:p>
      <w:pPr>
        <w:ind w:left="420" w:hanging="418"/>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Excess DCF is retained to establish reserves for future distributions, capital expenditures and other partnership purposes. DCF shortages are funded from previously established reserves, cash on hand or from borrowings under our credit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4"/>
          </w:tcPr>
          <w:p>
            <w:pPr>
              <w:jc w:val="center"/>
              <w:ind w:right="450"/>
              <w:spacing w:after="0"/>
              <w:rPr>
                <w:sz w:val="20"/>
                <w:szCs w:val="20"/>
                <w:color w:val="auto"/>
              </w:rPr>
            </w:pPr>
            <w:r>
              <w:rPr>
                <w:rFonts w:ascii="Arial" w:cs="Arial" w:eastAsia="Arial" w:hAnsi="Arial"/>
                <w:sz w:val="14"/>
                <w:szCs w:val="14"/>
                <w:b w:val="1"/>
                <w:bCs w:val="1"/>
                <w:color w:val="auto"/>
                <w:w w:val="94"/>
              </w:rPr>
              <w:t>Favorable/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7"/>
              </w:rPr>
              <w:t>Favorable/</w:t>
            </w:r>
          </w:p>
        </w:tc>
        <w:tc>
          <w:tcPr>
            <w:tcW w:w="40" w:type="dxa"/>
            <w:vAlign w:val="bottom"/>
          </w:tcPr>
          <w:p>
            <w:pPr>
              <w:spacing w:after="0"/>
              <w:rPr>
                <w:sz w:val="16"/>
                <w:szCs w:val="16"/>
                <w:color w:val="auto"/>
              </w:rPr>
            </w:pPr>
          </w:p>
        </w:tc>
      </w:tr>
      <w:tr>
        <w:trPr>
          <w:trHeight w:val="243"/>
        </w:trPr>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4"/>
          </w:tcPr>
          <w:p>
            <w:pPr>
              <w:jc w:val="center"/>
              <w:ind w:right="450"/>
              <w:spacing w:after="0"/>
              <w:rPr>
                <w:sz w:val="20"/>
                <w:szCs w:val="20"/>
                <w:color w:val="auto"/>
              </w:rPr>
            </w:pPr>
            <w:r>
              <w:rPr>
                <w:rFonts w:ascii="Arial" w:cs="Arial" w:eastAsia="Arial" w:hAnsi="Arial"/>
                <w:sz w:val="14"/>
                <w:szCs w:val="14"/>
                <w:b w:val="1"/>
                <w:bCs w:val="1"/>
                <w:color w:val="auto"/>
                <w:w w:val="95"/>
              </w:rPr>
              <w:t>(Unfavorable)</w:t>
            </w:r>
          </w:p>
        </w:tc>
        <w:tc>
          <w:tcPr>
            <w:tcW w:w="180" w:type="dxa"/>
            <w:vAlign w:val="bottom"/>
          </w:tcPr>
          <w:p>
            <w:pPr>
              <w:spacing w:after="0"/>
              <w:rPr>
                <w:sz w:val="21"/>
                <w:szCs w:val="21"/>
                <w:color w:val="auto"/>
              </w:rPr>
            </w:pPr>
          </w:p>
        </w:tc>
        <w:tc>
          <w:tcPr>
            <w:tcW w:w="15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1"/>
                <w:szCs w:val="21"/>
                <w:color w:val="auto"/>
              </w:rPr>
            </w:pPr>
          </w:p>
        </w:tc>
        <w:tc>
          <w:tcPr>
            <w:tcW w:w="136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7"/>
              </w:rPr>
              <w:t>(Unfavorable)</w:t>
            </w:r>
          </w:p>
        </w:tc>
        <w:tc>
          <w:tcPr>
            <w:tcW w:w="40" w:type="dxa"/>
            <w:vAlign w:val="bottom"/>
          </w:tcPr>
          <w:p>
            <w:pPr>
              <w:spacing w:after="0"/>
              <w:rPr>
                <w:sz w:val="21"/>
                <w:szCs w:val="21"/>
                <w:color w:val="auto"/>
              </w:rPr>
            </w:pPr>
          </w:p>
        </w:tc>
      </w:tr>
      <w:tr>
        <w:trPr>
          <w:trHeight w:val="228"/>
        </w:trPr>
        <w:tc>
          <w:tcPr>
            <w:tcW w:w="266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4"/>
          </w:tcPr>
          <w:p>
            <w:pPr>
              <w:jc w:val="center"/>
              <w:ind w:right="450"/>
              <w:spacing w:after="0"/>
              <w:rPr>
                <w:sz w:val="20"/>
                <w:szCs w:val="20"/>
                <w:color w:val="auto"/>
              </w:rPr>
            </w:pPr>
            <w:r>
              <w:rPr>
                <w:rFonts w:ascii="Arial" w:cs="Arial" w:eastAsia="Arial" w:hAnsi="Arial"/>
                <w:sz w:val="14"/>
                <w:szCs w:val="14"/>
                <w:b w:val="1"/>
                <w:bCs w:val="1"/>
                <w:color w:val="auto"/>
                <w:w w:val="92"/>
              </w:rPr>
              <w:t>Variance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9"/>
                <w:szCs w:val="19"/>
                <w:color w:val="auto"/>
              </w:rPr>
            </w:pPr>
          </w:p>
        </w:tc>
        <w:tc>
          <w:tcPr>
            <w:tcW w:w="136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5"/>
              </w:rPr>
              <w:t>Variance</w:t>
            </w:r>
          </w:p>
        </w:tc>
        <w:tc>
          <w:tcPr>
            <w:tcW w:w="40" w:type="dxa"/>
            <w:vAlign w:val="bottom"/>
          </w:tcPr>
          <w:p>
            <w:pPr>
              <w:spacing w:after="0"/>
              <w:rPr>
                <w:sz w:val="19"/>
                <w:szCs w:val="19"/>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660" w:type="dxa"/>
            <w:vAlign w:val="bottom"/>
          </w:tcPr>
          <w:p>
            <w:pPr>
              <w:ind w:left="220"/>
              <w:spacing w:after="0"/>
              <w:rPr>
                <w:sz w:val="20"/>
                <w:szCs w:val="20"/>
                <w:color w:val="auto"/>
              </w:rPr>
            </w:pPr>
            <w:r>
              <w:rPr>
                <w:rFonts w:ascii="Arial" w:cs="Arial" w:eastAsia="Arial" w:hAnsi="Arial"/>
                <w:sz w:val="18"/>
                <w:szCs w:val="18"/>
                <w:color w:val="auto"/>
              </w:rPr>
              <w:t>Tariff activities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1"/>
                <w:szCs w:val="21"/>
                <w:color w:val="auto"/>
              </w:rPr>
            </w:pPr>
          </w:p>
        </w:tc>
      </w:tr>
      <w:tr>
        <w:trPr>
          <w:trHeight w:val="243"/>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Trucking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2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660" w:type="dxa"/>
            <w:vAlign w:val="bottom"/>
          </w:tcPr>
          <w:p>
            <w:pPr>
              <w:spacing w:after="0"/>
              <w:rPr>
                <w:sz w:val="20"/>
                <w:szCs w:val="20"/>
                <w:color w:val="auto"/>
              </w:rPr>
            </w:pPr>
            <w:r>
              <w:rPr>
                <w:rFonts w:ascii="Arial" w:cs="Arial" w:eastAsia="Arial" w:hAnsi="Arial"/>
                <w:sz w:val="18"/>
                <w:szCs w:val="18"/>
                <w:color w:val="auto"/>
              </w:rPr>
              <w:t>Total transportation revenues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2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20"/>
                <w:szCs w:val="20"/>
                <w:color w:val="auto"/>
              </w:rPr>
            </w:pPr>
          </w:p>
        </w:tc>
      </w:tr>
      <w:tr>
        <w:trPr>
          <w:trHeight w:val="243"/>
        </w:trPr>
        <w:tc>
          <w:tcPr>
            <w:tcW w:w="2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Trucking costs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1"/>
                <w:szCs w:val="21"/>
                <w:color w:val="auto"/>
              </w:rPr>
            </w:pPr>
          </w:p>
        </w:tc>
        <w:tc>
          <w:tcPr>
            <w:tcW w:w="82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29 %</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24 %</w:t>
            </w:r>
          </w:p>
        </w:tc>
        <w:tc>
          <w:tcPr>
            <w:tcW w:w="40" w:type="dxa"/>
            <w:vAlign w:val="bottom"/>
          </w:tcPr>
          <w:p>
            <w:pPr>
              <w:spacing w:after="0"/>
              <w:rPr>
                <w:sz w:val="21"/>
                <w:szCs w:val="21"/>
                <w:color w:val="auto"/>
              </w:rPr>
            </w:pPr>
          </w:p>
        </w:tc>
      </w:tr>
      <w:tr>
        <w:trPr>
          <w:trHeight w:val="243"/>
        </w:trPr>
        <w:tc>
          <w:tcPr>
            <w:tcW w:w="2660" w:type="dxa"/>
            <w:vAlign w:val="bottom"/>
          </w:tcPr>
          <w:p>
            <w:pPr>
              <w:ind w:left="2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82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r>
      <w:tr>
        <w:trPr>
          <w:trHeight w:val="202"/>
        </w:trPr>
        <w:tc>
          <w:tcPr>
            <w:tcW w:w="2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 operations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r>
      <w:tr>
        <w:trPr>
          <w:trHeight w:val="202"/>
        </w:trPr>
        <w:tc>
          <w:tcPr>
            <w:tcW w:w="2660" w:type="dxa"/>
            <w:vAlign w:val="bottom"/>
          </w:tcPr>
          <w:p>
            <w:pPr>
              <w:ind w:left="220"/>
              <w:spacing w:after="0" w:line="201" w:lineRule="exact"/>
              <w:rPr>
                <w:sz w:val="20"/>
                <w:szCs w:val="20"/>
                <w:color w:val="auto"/>
              </w:rPr>
            </w:pPr>
            <w:r>
              <w:rPr>
                <w:rFonts w:ascii="Arial" w:cs="Arial" w:eastAsia="Arial" w:hAnsi="Arial"/>
                <w:sz w:val="18"/>
                <w:szCs w:val="18"/>
                <w:color w:val="auto"/>
              </w:rPr>
              <w:t>Segment general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r>
      <w:tr>
        <w:trPr>
          <w:trHeight w:val="202"/>
        </w:trPr>
        <w:tc>
          <w:tcPr>
            <w:tcW w:w="2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 general and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20"/>
                <w:szCs w:val="20"/>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w w:val="98"/>
              </w:rPr>
              <w:t>Equity earnings in unconsolidated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7"/>
              </w:rPr>
              <w:t>126 %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102 %</w:t>
            </w:r>
          </w:p>
        </w:tc>
        <w:tc>
          <w:tcPr>
            <w:tcW w:w="40" w:type="dxa"/>
            <w:vAlign w:val="bottom"/>
          </w:tcPr>
          <w:p>
            <w:pPr>
              <w:spacing w:after="0"/>
              <w:rPr>
                <w:sz w:val="20"/>
                <w:szCs w:val="20"/>
                <w:color w:val="auto"/>
              </w:rPr>
            </w:pPr>
          </w:p>
        </w:tc>
      </w:tr>
      <w:tr>
        <w:trPr>
          <w:trHeight w:val="23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r>
      <w:tr>
        <w:trPr>
          <w:trHeight w:val="210"/>
        </w:trPr>
        <w:tc>
          <w:tcPr>
            <w:tcW w:w="2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440" w:type="dxa"/>
            <w:vAlign w:val="bottom"/>
            <w:tcBorders>
              <w:top w:val="single" w:sz="8" w:color="CCEEFF"/>
              <w:bottom w:val="single" w:sz="8" w:color="CCEEFF"/>
              <w:right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26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223"/>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(0.17)</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(0.07)</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r>
      <w:tr>
        <w:trPr>
          <w:trHeight w:val="891"/>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234"/>
              <w:spacing w:after="0"/>
              <w:rPr>
                <w:sz w:val="20"/>
                <w:szCs w:val="20"/>
                <w:color w:val="auto"/>
              </w:rPr>
            </w:pPr>
            <w:r>
              <w:rPr>
                <w:rFonts w:ascii="Arial" w:cs="Arial" w:eastAsia="Arial" w:hAnsi="Arial"/>
                <w:sz w:val="18"/>
                <w:szCs w:val="18"/>
                <w:color w:val="auto"/>
                <w:w w:val="79"/>
              </w:rPr>
              <w:t>40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7"/>
              </w:rPr>
              <w:t>Favorable/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8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7"/>
              </w:rPr>
              <w:t>(Unfavorable)</w:t>
            </w: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140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8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5"/>
              </w:rPr>
              <w:t>Variance</w:t>
            </w: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5"/>
              </w:rPr>
              <w:t>Variance</w:t>
            </w:r>
          </w:p>
        </w:tc>
      </w:tr>
      <w:tr>
        <w:trPr>
          <w:trHeight w:val="237"/>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4"/>
                <w:szCs w:val="14"/>
                <w:b w:val="1"/>
                <w:bCs w:val="1"/>
                <w:color w:val="auto"/>
                <w:vertAlign w:val="superscript"/>
              </w:rPr>
              <w:t>(4)</w:t>
            </w: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Volumes</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Volumes</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43"/>
        </w:trPr>
        <w:tc>
          <w:tcPr>
            <w:tcW w:w="296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American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Basin / Mesa / Sunrise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BridgeTex</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1"/>
                <w:szCs w:val="21"/>
                <w:color w:val="auto"/>
              </w:rPr>
            </w:pPr>
          </w:p>
        </w:tc>
        <w:tc>
          <w:tcPr>
            <w:tcW w:w="620" w:type="dxa"/>
            <w:vAlign w:val="bottom"/>
            <w:gridSpan w:val="2"/>
          </w:tcPr>
          <w:p>
            <w:pPr>
              <w:jc w:val="center"/>
              <w:ind w:right="190"/>
              <w:spacing w:after="0"/>
              <w:rPr>
                <w:sz w:val="20"/>
                <w:szCs w:val="20"/>
                <w:color w:val="auto"/>
              </w:rPr>
            </w:pPr>
            <w:r>
              <w:rPr>
                <w:rFonts w:ascii="Arial" w:cs="Arial" w:eastAsia="Arial" w:hAnsi="Arial"/>
                <w:sz w:val="18"/>
                <w:szCs w:val="18"/>
                <w:color w:val="auto"/>
                <w:w w:val="99"/>
              </w:rPr>
              <w:t>N/A</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Cactus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center"/>
              <w:ind w:right="410"/>
              <w:spacing w:after="0"/>
              <w:rPr>
                <w:sz w:val="20"/>
                <w:szCs w:val="20"/>
                <w:color w:val="auto"/>
              </w:rPr>
            </w:pPr>
            <w:r>
              <w:rPr>
                <w:rFonts w:ascii="Arial" w:cs="Arial" w:eastAsia="Arial" w:hAnsi="Arial"/>
                <w:sz w:val="18"/>
                <w:szCs w:val="18"/>
                <w:color w:val="auto"/>
                <w:w w:val="99"/>
              </w:rPr>
              <w:t>N/A</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99"/>
              </w:rPr>
              <w:t>N/A</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Capline</w:t>
            </w: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8"/>
                <w:szCs w:val="8"/>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Line 63 / Line 2000</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Manito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Mid-Continent Area Systems</w:t>
            </w: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Permian Basin Area Systems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Rainbow</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Rangeland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8"/>
                <w:szCs w:val="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South Saskatchewan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White Cliffs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2960" w:type="dxa"/>
            <w:vAlign w:val="bottom"/>
            <w:gridSpan w:val="2"/>
          </w:tcPr>
          <w:p>
            <w:pPr>
              <w:ind w:left="120"/>
              <w:spacing w:after="0"/>
              <w:rPr>
                <w:sz w:val="20"/>
                <w:szCs w:val="20"/>
                <w:color w:val="auto"/>
              </w:rPr>
            </w:pPr>
            <w:r>
              <w:rPr>
                <w:rFonts w:ascii="Arial" w:cs="Arial" w:eastAsia="Arial" w:hAnsi="Arial"/>
                <w:sz w:val="18"/>
                <w:szCs w:val="18"/>
                <w:color w:val="auto"/>
              </w:rPr>
              <w:t>NGL Pipelines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2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top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4,272</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960" w:type="dxa"/>
            <w:vAlign w:val="bottom"/>
            <w:gridSpan w:val="2"/>
          </w:tcPr>
          <w:p>
            <w:pPr>
              <w:ind w:left="120"/>
              <w:spacing w:after="0"/>
              <w:rPr>
                <w:sz w:val="20"/>
                <w:szCs w:val="20"/>
                <w:color w:val="auto"/>
              </w:rPr>
            </w:pPr>
            <w:r>
              <w:rPr>
                <w:rFonts w:ascii="Arial" w:cs="Arial" w:eastAsia="Arial" w:hAnsi="Arial"/>
                <w:sz w:val="18"/>
                <w:szCs w:val="18"/>
                <w:color w:val="auto"/>
              </w:rPr>
              <w:t>Trucking</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2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CCEEFF"/>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0" w:hanging="598"/>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65" w:lineRule="exact"/>
        <w:rPr>
          <w:rFonts w:ascii="Arial" w:cs="Arial" w:eastAsia="Arial" w:hAnsi="Arial"/>
          <w:sz w:val="18"/>
          <w:szCs w:val="18"/>
          <w:color w:val="auto"/>
        </w:rPr>
      </w:pPr>
    </w:p>
    <w:p>
      <w:pPr>
        <w:ind w:left="420" w:right="140" w:hanging="418"/>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rFonts w:ascii="Arial" w:cs="Arial" w:eastAsia="Arial" w:hAnsi="Arial"/>
          <w:sz w:val="18"/>
          <w:szCs w:val="18"/>
          <w:color w:val="auto"/>
        </w:rPr>
      </w:pPr>
    </w:p>
    <w:p>
      <w:pPr>
        <w:ind w:left="420" w:right="80" w:hanging="418"/>
        <w:spacing w:after="0" w:line="34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50" w:lineRule="exact"/>
        <w:rPr>
          <w:rFonts w:ascii="Arial" w:cs="Arial" w:eastAsia="Arial" w:hAnsi="Arial"/>
          <w:sz w:val="16"/>
          <w:szCs w:val="16"/>
          <w:color w:val="auto"/>
        </w:rPr>
      </w:pPr>
    </w:p>
    <w:p>
      <w:pPr>
        <w:ind w:left="440" w:hanging="438"/>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19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noted in the table above, our total Transportation segment revenues,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trucking costs, increased for the six months ended June 30, 2015 compared to the six months ended June 30, 2014 and were relatively consistent for the comparative three-month periods, while average daily volumes increased for each of the comparative periods presented. Our Transportation segment results were impacted by the following:</w:t>
      </w:r>
    </w:p>
    <w:p>
      <w:pPr>
        <w:spacing w:after="0" w:line="198" w:lineRule="exact"/>
        <w:rPr>
          <w:sz w:val="20"/>
          <w:szCs w:val="20"/>
          <w:color w:val="auto"/>
        </w:rPr>
      </w:pPr>
    </w:p>
    <w:p>
      <w:pPr>
        <w:ind w:left="380" w:hanging="53"/>
        <w:spacing w:after="0" w:line="255" w:lineRule="auto"/>
        <w:rPr>
          <w:sz w:val="20"/>
          <w:szCs w:val="20"/>
          <w:color w:val="auto"/>
        </w:rPr>
      </w:pPr>
      <w:r>
        <w:rPr>
          <w:rFonts w:ascii="Arial" w:cs="Arial" w:eastAsia="Arial" w:hAnsi="Arial"/>
          <w:sz w:val="18"/>
          <w:szCs w:val="18"/>
          <w:color w:val="auto"/>
        </w:rPr>
        <w:t>·North American Crude Oil Production and Related Expansion Projects — Production growth from the development of certain North American crude oil resource plays increased volumes and revenues on our existing pipeline systems over the comparative periods presented. We estimate that the impact of increased throughput and related infrastructure projects, most notably on our Eagle Ford Area Systems and certain pipelines in our Permian Basin Area Systems, and our recently constructed Cactus, Sunrise and Pascagoula pipelines, increased our revenues by $25 million and $45 million, respectively, for the three and six months ended June 30, 2015 compared to the three and six months ended June 30, 2014.</w:t>
      </w:r>
    </w:p>
    <w:p>
      <w:pPr>
        <w:spacing w:after="0" w:line="216" w:lineRule="exact"/>
        <w:rPr>
          <w:sz w:val="20"/>
          <w:szCs w:val="20"/>
          <w:color w:val="auto"/>
        </w:rPr>
      </w:pPr>
    </w:p>
    <w:p>
      <w:pPr>
        <w:jc w:val="both"/>
        <w:ind w:left="380" w:right="180" w:hanging="53"/>
        <w:spacing w:after="0" w:line="310" w:lineRule="auto"/>
        <w:rPr>
          <w:sz w:val="20"/>
          <w:szCs w:val="20"/>
          <w:color w:val="auto"/>
        </w:rPr>
      </w:pPr>
      <w:r>
        <w:rPr>
          <w:rFonts w:ascii="Arial" w:cs="Arial" w:eastAsia="Arial" w:hAnsi="Arial"/>
          <w:sz w:val="15"/>
          <w:szCs w:val="15"/>
          <w:color w:val="auto"/>
        </w:rPr>
        <w:t>·Tariff Rates — Revenues on our pipelines are impacted by various tariff rate changes that may occur during the period, which include (i) rate increases or decreases on our intrastate and Canadian pipelines and fees on related system assets,</w:t>
      </w:r>
    </w:p>
    <w:p>
      <w:pPr>
        <w:spacing w:after="0" w:line="1" w:lineRule="exact"/>
        <w:rPr>
          <w:sz w:val="20"/>
          <w:szCs w:val="20"/>
          <w:color w:val="auto"/>
        </w:rPr>
      </w:pPr>
    </w:p>
    <w:p>
      <w:pPr>
        <w:ind w:left="380" w:right="40" w:firstLine="1"/>
        <w:spacing w:after="0" w:line="292" w:lineRule="auto"/>
        <w:tabs>
          <w:tab w:leader="none" w:pos="6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indexing of rates on our FERC regulated pipelines or (iii) other negotiated rate changes. We estimate that the net impact of such rate changes on our pipelines increased revenues by $10 million and $30 million for the three and six months ended June 30, 2015, respectively, compared to the three and six months ended June 30, 2014 primarily due to tariff rate increases on certain of our Canadian crude oil pipelines and incremental fees on related system assets, and, to a much lesser extent, the FERC indexing effective July 1, 2014 and rate increases on our intrastate pipelines.</w:t>
      </w:r>
    </w:p>
    <w:p>
      <w:pPr>
        <w:spacing w:after="0" w:line="190" w:lineRule="exact"/>
        <w:rPr>
          <w:sz w:val="20"/>
          <w:szCs w:val="20"/>
          <w:color w:val="auto"/>
        </w:rPr>
      </w:pPr>
    </w:p>
    <w:p>
      <w:pPr>
        <w:ind w:left="380" w:hanging="53"/>
        <w:spacing w:after="0" w:line="272" w:lineRule="auto"/>
        <w:rPr>
          <w:sz w:val="20"/>
          <w:szCs w:val="20"/>
          <w:color w:val="auto"/>
        </w:rPr>
      </w:pPr>
      <w:r>
        <w:rPr>
          <w:rFonts w:ascii="Arial" w:cs="Arial" w:eastAsia="Arial" w:hAnsi="Arial"/>
          <w:sz w:val="17"/>
          <w:szCs w:val="17"/>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$18 million and $27 million, respectively, for the three and six months ended June 30, 2015 compared to the three and six months ended June 30, 2014 primarily due to a lower average realized price per barrel, partially offset by higher volumes.</w:t>
      </w:r>
    </w:p>
    <w:p>
      <w:pPr>
        <w:spacing w:after="0" w:line="205" w:lineRule="exact"/>
        <w:rPr>
          <w:sz w:val="20"/>
          <w:szCs w:val="20"/>
          <w:color w:val="auto"/>
        </w:rPr>
      </w:pPr>
    </w:p>
    <w:p>
      <w:pPr>
        <w:ind w:left="380" w:right="60" w:hanging="53"/>
        <w:spacing w:after="0" w:line="312" w:lineRule="auto"/>
        <w:rPr>
          <w:sz w:val="20"/>
          <w:szCs w:val="20"/>
          <w:color w:val="auto"/>
        </w:rPr>
      </w:pPr>
      <w:r>
        <w:rPr>
          <w:rFonts w:ascii="Arial" w:cs="Arial" w:eastAsia="Arial" w:hAnsi="Arial"/>
          <w:sz w:val="16"/>
          <w:szCs w:val="16"/>
          <w:color w:val="auto"/>
        </w:rPr>
        <w:t>·Foreign Exchange Impact — We estimate that revenues from our Canadian pipeline systems and trucking operations were unfavorably impacted by $12 million and $23 million for the three and six months ended June 30, 2015, respectively, compared to the three and six months ended June 30, 2014 due to the depreciation of CAD relative to USD.</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Additional noteworthy volume and revenue variances for the comparative periods presented included (i) lower volumes and revenues on our All American Pipeline System due to pipeline downtime associated with the Line 901 incident (see Note 10 to our Condensed Consolidated Financial Statements for additional information), (ii) decreased trucking activity due to lower producer volumes and (iii) increased volumes and revenues on the Capline Pipeline System due to higher refinery demand and timing of a refinery turnaround, which occurred in the second quarter of 2014.</w:t>
      </w:r>
    </w:p>
    <w:p>
      <w:pPr>
        <w:spacing w:after="0" w:line="20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2015 compared to the three and six months ended June 30, 2014 primarily due to the following:</w:t>
      </w:r>
    </w:p>
    <w:p>
      <w:pPr>
        <w:spacing w:after="0" w:line="208" w:lineRule="exact"/>
        <w:rPr>
          <w:sz w:val="20"/>
          <w:szCs w:val="20"/>
          <w:color w:val="auto"/>
        </w:rPr>
      </w:pPr>
    </w:p>
    <w:p>
      <w:pPr>
        <w:ind w:left="380" w:right="40" w:hanging="53"/>
        <w:spacing w:after="0" w:line="264" w:lineRule="auto"/>
        <w:rPr>
          <w:sz w:val="20"/>
          <w:szCs w:val="20"/>
          <w:color w:val="auto"/>
        </w:rPr>
      </w:pPr>
      <w:r>
        <w:rPr>
          <w:rFonts w:ascii="Arial" w:cs="Arial" w:eastAsia="Arial" w:hAnsi="Arial"/>
          <w:sz w:val="18"/>
          <w:szCs w:val="18"/>
          <w:color w:val="auto"/>
        </w:rPr>
        <w:t>·Estimated costs of $65 million associated with the Line 901 incident, net of amounts we believe are probable of recovery from insurance. See Note 10 to our Condensed Consolidated Financial Statements for additional information regarding this incident.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right="100" w:hanging="53"/>
        <w:spacing w:after="0" w:line="277" w:lineRule="auto"/>
        <w:rPr>
          <w:sz w:val="20"/>
          <w:szCs w:val="20"/>
          <w:color w:val="auto"/>
        </w:rPr>
      </w:pPr>
      <w:r>
        <w:rPr>
          <w:rFonts w:ascii="Arial" w:cs="Arial" w:eastAsia="Arial" w:hAnsi="Arial"/>
          <w:sz w:val="18"/>
          <w:szCs w:val="18"/>
          <w:color w:val="auto"/>
        </w:rPr>
        <w:t>·Higher salary and related expenses and property tax expense primarily associated with the growth and capital expansion in the segment.</w:t>
      </w:r>
    </w:p>
    <w:p>
      <w:pPr>
        <w:spacing w:after="0" w:line="19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increase in operating costs for the comparative periods was partially offset by favorable foreign exchange impacts of $4 million and $9 million for the three and six months ended June 30, 2015, respectively.</w:t>
      </w:r>
    </w:p>
    <w:p>
      <w:pPr>
        <w:spacing w:after="0" w:line="174"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decreased for the three and six months ended June 30, 2015 compared to the same periods in 2014 primarily due to the impact of the decrease in unit price during each of the 2015 periods compared to the impact of the increase in unit price during the 2014 periods.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Allocations of equity-indexed compensation expense vary over time (i) between field operating costs and general and administrative expenses and (ii) 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pacing w:after="0" w:line="21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2015 compared to the three and six months ended June 30, 2014 was primarily driven by (i) earnings from our 50% interest in BridgeTex, which we acquired in November 2014, (ii) increased throughput on the White Cliffs pipeline due to an expansion of the pipeline that was placed into service in July 2014 and (iii) increased throughput on the Eagle Ford pipeline as a result of increased crude oil production, as discussed in “Net Operating Revenues and Volumes” above.</w:t>
      </w:r>
    </w:p>
    <w:p>
      <w:pPr>
        <w:spacing w:after="0" w:line="22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three and six months ended June 30, 2015 compared to the three and six months ended June 30, 2014 was primarily due to a reclassification of certain maintenance capital costs from our Facilities segment during the 2014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4"/>
              </w:rPr>
              <w:t>Favorable/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5"/>
          </w:tcPr>
          <w:p>
            <w:pPr>
              <w:jc w:val="center"/>
              <w:ind w:right="465"/>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5"/>
              </w:rPr>
              <w:t>(Unfavorable)</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10"/>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6"/>
          </w:tcPr>
          <w:p>
            <w:pPr>
              <w:jc w:val="center"/>
              <w:ind w:right="285"/>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2"/>
              </w:rPr>
              <w:t>Variance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5"/>
          </w:tcPr>
          <w:p>
            <w:pPr>
              <w:jc w:val="center"/>
              <w:ind w:right="465"/>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37"/>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9"/>
              </w:rPr>
              <w:t>Storage related costs (natural gas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26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720" w:type="dxa"/>
            <w:vAlign w:val="bottom"/>
            <w:gridSpan w:val="3"/>
          </w:tcPr>
          <w:p>
            <w:pPr>
              <w:jc w:val="right"/>
              <w:ind w:right="45"/>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(106)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CEEFF"/>
          </w:tcPr>
          <w:p>
            <w:pPr>
              <w:spacing w:after="0"/>
              <w:rPr>
                <w:sz w:val="21"/>
                <w:szCs w:val="21"/>
                <w:color w:val="auto"/>
              </w:rPr>
            </w:pPr>
          </w:p>
        </w:tc>
        <w:tc>
          <w:tcPr>
            <w:tcW w:w="22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(187)</w:t>
            </w:r>
          </w:p>
        </w:tc>
        <w:tc>
          <w:tcPr>
            <w:tcW w:w="1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(204)</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lef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expense - operations</w:t>
            </w: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expenses </w:t>
            </w:r>
            <w:r>
              <w:rPr>
                <w:rFonts w:ascii="Arial" w:cs="Arial" w:eastAsia="Arial" w:hAnsi="Arial"/>
                <w:sz w:val="8"/>
                <w:szCs w:val="8"/>
                <w:color w:val="auto"/>
              </w:rPr>
              <w:t>(2) (3)</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220" w:type="dxa"/>
            <w:vAlign w:val="bottom"/>
            <w:tcBorders>
              <w:lef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720" w:type="dxa"/>
            <w:vAlign w:val="bottom"/>
            <w:tcBorders>
              <w:lef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expense - general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26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720" w:type="dxa"/>
            <w:vAlign w:val="bottom"/>
            <w:gridSpan w:val="3"/>
          </w:tcPr>
          <w:p>
            <w:pPr>
              <w:jc w:val="right"/>
              <w:ind w:right="45"/>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left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left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80" w:type="dxa"/>
            <w:vAlign w:val="bottom"/>
            <w:tcBorders>
              <w:top w:val="single" w:sz="8" w:color="auto"/>
              <w:left w:val="single" w:sz="8" w:color="CCEEFF"/>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(240)</w:t>
            </w:r>
          </w:p>
        </w:tc>
        <w:tc>
          <w:tcPr>
            <w:tcW w:w="2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left w:val="single" w:sz="8" w:color="auto"/>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tcPr>
          <w:p>
            <w:pPr>
              <w:jc w:val="right"/>
              <w:ind w:right="4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$ 0.01</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left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left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0.40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left w:val="single" w:sz="8" w:color="CCEEFF"/>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758"/>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5"/>
          </w:tcPr>
          <w:p>
            <w:pPr>
              <w:jc w:val="center"/>
              <w:ind w:right="145"/>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21"/>
                <w:szCs w:val="21"/>
                <w:color w:val="auto"/>
              </w:rPr>
            </w:pPr>
          </w:p>
        </w:tc>
        <w:tc>
          <w:tcPr>
            <w:tcW w:w="1280" w:type="dxa"/>
            <w:vAlign w:val="bottom"/>
            <w:gridSpan w:val="5"/>
          </w:tcPr>
          <w:p>
            <w:pPr>
              <w:jc w:val="center"/>
              <w:ind w:right="145"/>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center"/>
              <w:ind w:right="93"/>
              <w:spacing w:after="0"/>
              <w:rPr>
                <w:sz w:val="20"/>
                <w:szCs w:val="20"/>
                <w:color w:val="auto"/>
              </w:rPr>
            </w:pPr>
            <w:r>
              <w:rPr>
                <w:rFonts w:ascii="Arial" w:cs="Arial" w:eastAsia="Arial" w:hAnsi="Arial"/>
                <w:sz w:val="14"/>
                <w:szCs w:val="14"/>
                <w:b w:val="1"/>
                <w:bCs w:val="1"/>
                <w:color w:val="auto"/>
                <w:w w:val="95"/>
              </w:rPr>
              <w:t>Variance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4"/>
                <w:szCs w:val="14"/>
                <w:b w:val="1"/>
                <w:bCs w:val="1"/>
                <w:color w:val="auto"/>
                <w:vertAlign w:val="superscript"/>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Pr>
          <w:p>
            <w:pPr>
              <w:spacing w:after="0"/>
              <w:rPr>
                <w:sz w:val="20"/>
                <w:szCs w:val="20"/>
                <w:color w:val="auto"/>
              </w:rPr>
            </w:pPr>
          </w:p>
        </w:tc>
        <w:tc>
          <w:tcPr>
            <w:tcW w:w="7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89"/>
              </w:rPr>
              <w:t>Volumes</w:t>
            </w:r>
          </w:p>
        </w:tc>
        <w:tc>
          <w:tcPr>
            <w:tcW w:w="26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6"/>
          </w:tcPr>
          <w:p>
            <w:pPr>
              <w:jc w:val="center"/>
              <w:ind w:left="233"/>
              <w:spacing w:after="0"/>
              <w:rPr>
                <w:sz w:val="20"/>
                <w:szCs w:val="20"/>
                <w:color w:val="auto"/>
              </w:rPr>
            </w:pPr>
            <w:r>
              <w:rPr>
                <w:rFonts w:ascii="Arial" w:cs="Arial" w:eastAsia="Arial" w:hAnsi="Arial"/>
                <w:sz w:val="14"/>
                <w:szCs w:val="14"/>
                <w:b w:val="1"/>
                <w:bCs w:val="1"/>
                <w:color w:val="auto"/>
                <w:w w:val="96"/>
              </w:rPr>
              <w:t>2015</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Volumes</w:t>
            </w:r>
          </w:p>
        </w:tc>
        <w:tc>
          <w:tcPr>
            <w:tcW w:w="4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Crude oil, refined products and NGL</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30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terminalling and storage (average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94</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740" w:type="dxa"/>
            <w:vAlign w:val="bottom"/>
            <w:tcBorders>
              <w:left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720" w:type="dxa"/>
            <w:vAlign w:val="bottom"/>
            <w:tcBorders>
              <w:left w:val="single" w:sz="8" w:color="CCEEFF"/>
            </w:tcBorders>
            <w:gridSpan w:val="3"/>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2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monthly capacity in millions of barrels)</w:t>
            </w:r>
          </w:p>
        </w:tc>
        <w:tc>
          <w:tcPr>
            <w:tcW w:w="560" w:type="dxa"/>
            <w:vAlign w:val="bottom"/>
            <w:tcBorders>
              <w:left w:val="single" w:sz="8" w:color="CCEEFF"/>
            </w:tcBorders>
            <w:gridSpan w:val="3"/>
            <w:vMerge w:val="continue"/>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tcBorders>
              <w:right w:val="single" w:sz="8" w:color="CCEEFF"/>
            </w:tcBorders>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740" w:type="dxa"/>
            <w:vAlign w:val="bottom"/>
            <w:tcBorders>
              <w:left w:val="single" w:sz="8" w:color="CCEEFF"/>
              <w:right w:val="single" w:sz="8" w:color="CCEEFF"/>
            </w:tcBorders>
            <w:gridSpan w:val="3"/>
            <w:vMerge w:val="continue"/>
            <w:shd w:val="clear" w:color="auto" w:fill="CCEEFF"/>
          </w:tcPr>
          <w:p>
            <w:pPr>
              <w:spacing w:after="0"/>
              <w:rPr>
                <w:sz w:val="20"/>
                <w:szCs w:val="20"/>
                <w:color w:val="auto"/>
              </w:rPr>
            </w:pPr>
          </w:p>
        </w:tc>
        <w:tc>
          <w:tcPr>
            <w:tcW w:w="720" w:type="dxa"/>
            <w:vAlign w:val="bottom"/>
            <w:tcBorders>
              <w:left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4"/>
              </w:rPr>
              <w:t>Rail load / unload volumes (average</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40"/>
              <w:spacing w:after="0"/>
              <w:rPr>
                <w:sz w:val="20"/>
                <w:szCs w:val="20"/>
                <w:color w:val="auto"/>
              </w:rPr>
            </w:pPr>
            <w:r>
              <w:rPr>
                <w:rFonts w:ascii="Arial" w:cs="Arial" w:eastAsia="Arial" w:hAnsi="Arial"/>
                <w:sz w:val="18"/>
                <w:szCs w:val="18"/>
                <w:color w:val="auto"/>
                <w:w w:val="89"/>
              </w:rPr>
              <w:t>volumes in thousands of barrels per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220</w:t>
            </w:r>
          </w:p>
        </w:tc>
        <w:tc>
          <w:tcPr>
            <w:tcW w:w="700" w:type="dxa"/>
            <w:vAlign w:val="bottom"/>
            <w:gridSpan w:val="5"/>
            <w:vMerge w:val="restart"/>
          </w:tcPr>
          <w:p>
            <w:pPr>
              <w:jc w:val="right"/>
              <w:spacing w:after="0"/>
              <w:rPr>
                <w:sz w:val="20"/>
                <w:szCs w:val="20"/>
                <w:color w:val="auto"/>
              </w:rPr>
            </w:pPr>
            <w:r>
              <w:rPr>
                <w:rFonts w:ascii="Arial" w:cs="Arial" w:eastAsia="Arial" w:hAnsi="Arial"/>
                <w:sz w:val="18"/>
                <w:szCs w:val="18"/>
                <w:color w:val="auto"/>
              </w:rPr>
              <w:t>227</w:t>
            </w: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(7)</w:t>
            </w:r>
          </w:p>
        </w:tc>
        <w:tc>
          <w:tcPr>
            <w:tcW w:w="720" w:type="dxa"/>
            <w:vAlign w:val="bottom"/>
            <w:gridSpan w:val="3"/>
            <w:vMerge w:val="restart"/>
          </w:tcPr>
          <w:p>
            <w:pPr>
              <w:jc w:val="right"/>
              <w:ind w:right="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day)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gridSpan w:val="5"/>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Natural gas storage (average</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CCEEFF"/>
              <w:left w:val="single" w:sz="8" w:color="CCEEFF"/>
            </w:tcBorders>
            <w:shd w:val="clear" w:color="auto" w:fill="CCEEFF"/>
          </w:tcPr>
          <w:p>
            <w:pPr>
              <w:spacing w:after="0"/>
              <w:rPr>
                <w:sz w:val="16"/>
                <w:szCs w:val="16"/>
                <w:color w:val="auto"/>
              </w:rPr>
            </w:pPr>
          </w:p>
        </w:tc>
        <w:tc>
          <w:tcPr>
            <w:tcW w:w="30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monthly working capacity in billions of</w:t>
            </w:r>
          </w:p>
        </w:tc>
        <w:tc>
          <w:tcPr>
            <w:tcW w:w="5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97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 %</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97</w:t>
            </w: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cubic feet)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left w:val="single" w:sz="8" w:color="CCEEFF"/>
            </w:tcBorders>
            <w:gridSpan w:val="3"/>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3"/>
              </w:rPr>
              <w:t>NGL fractionation (average volumes</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79"/>
              </w:rPr>
              <w:t>86</w:t>
            </w:r>
          </w:p>
        </w:tc>
        <w:tc>
          <w:tcPr>
            <w:tcW w:w="200" w:type="dxa"/>
            <w:vAlign w:val="bottom"/>
          </w:tcPr>
          <w:p>
            <w:pPr>
              <w:spacing w:after="0"/>
              <w:rPr>
                <w:sz w:val="15"/>
                <w:szCs w:val="1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2"/>
              </w:rPr>
              <w:t>20 %</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103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89</w:t>
            </w: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14</w:t>
            </w:r>
          </w:p>
        </w:tc>
        <w:tc>
          <w:tcPr>
            <w:tcW w:w="720" w:type="dxa"/>
            <w:vAlign w:val="bottom"/>
            <w:gridSpan w:val="3"/>
            <w:vMerge w:val="restart"/>
          </w:tcPr>
          <w:p>
            <w:pPr>
              <w:jc w:val="right"/>
              <w:ind w:right="5"/>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7"/>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in thousands of barrels per day)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w w:val="98"/>
              </w:rPr>
              <w:t>Facilities segment total (average monthly</w:t>
            </w:r>
          </w:p>
        </w:tc>
        <w:tc>
          <w:tcPr>
            <w:tcW w:w="26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gridSpan w:val="5"/>
            <w:vMerge w:val="continue"/>
            <w:shd w:val="clear" w:color="auto" w:fill="CCEEFF"/>
          </w:tcPr>
          <w:p>
            <w:pPr>
              <w:spacing w:after="0"/>
              <w:rPr>
                <w:sz w:val="16"/>
                <w:szCs w:val="16"/>
                <w:color w:val="auto"/>
              </w:rPr>
            </w:pPr>
          </w:p>
        </w:tc>
        <w:tc>
          <w:tcPr>
            <w:tcW w:w="5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70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40" w:type="dxa"/>
            <w:vAlign w:val="bottom"/>
            <w:tcBorders>
              <w:left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720" w:type="dxa"/>
            <w:vAlign w:val="bottom"/>
            <w:tcBorders>
              <w:left w:val="single" w:sz="8" w:color="CCEEFF"/>
            </w:tcBorders>
            <w:gridSpan w:val="3"/>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7"/>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8"/>
                <w:szCs w:val="8"/>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left w:val="single" w:sz="8" w:color="CCEEFF"/>
            </w:tcBorders>
            <w:gridSpan w:val="3"/>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vMerge w:val="continue"/>
            <w:shd w:val="clear" w:color="auto" w:fill="CCEEFF"/>
          </w:tcPr>
          <w:p>
            <w:pPr>
              <w:spacing w:after="0"/>
              <w:rPr>
                <w:sz w:val="18"/>
                <w:szCs w:val="18"/>
                <w:color w:val="auto"/>
              </w:rPr>
            </w:pPr>
          </w:p>
        </w:tc>
        <w:tc>
          <w:tcPr>
            <w:tcW w:w="700" w:type="dxa"/>
            <w:vAlign w:val="bottom"/>
            <w:gridSpan w:val="5"/>
            <w:vMerge w:val="continue"/>
            <w:shd w:val="clear" w:color="auto" w:fill="CCEEFF"/>
          </w:tcPr>
          <w:p>
            <w:pPr>
              <w:spacing w:after="0"/>
              <w:rPr>
                <w:sz w:val="18"/>
                <w:szCs w:val="18"/>
                <w:color w:val="auto"/>
              </w:rPr>
            </w:pPr>
          </w:p>
        </w:tc>
        <w:tc>
          <w:tcPr>
            <w:tcW w:w="740" w:type="dxa"/>
            <w:vAlign w:val="bottom"/>
            <w:tcBorders>
              <w:left w:val="single" w:sz="8" w:color="CCEEFF"/>
              <w:right w:val="single" w:sz="8" w:color="CCEEFF"/>
            </w:tcBorders>
            <w:gridSpan w:val="3"/>
            <w:vMerge w:val="continue"/>
            <w:shd w:val="clear" w:color="auto" w:fill="CCEEFF"/>
          </w:tcPr>
          <w:p>
            <w:pPr>
              <w:spacing w:after="0"/>
              <w:rPr>
                <w:sz w:val="18"/>
                <w:szCs w:val="18"/>
                <w:color w:val="auto"/>
              </w:rPr>
            </w:pPr>
          </w:p>
        </w:tc>
        <w:tc>
          <w:tcPr>
            <w:tcW w:w="720" w:type="dxa"/>
            <w:vAlign w:val="bottom"/>
            <w:tcBorders>
              <w:left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0" w:hanging="59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65" w:lineRule="exact"/>
        <w:rPr>
          <w:rFonts w:ascii="Arial" w:cs="Arial" w:eastAsia="Arial" w:hAnsi="Arial"/>
          <w:sz w:val="18"/>
          <w:szCs w:val="18"/>
          <w:color w:val="auto"/>
        </w:rPr>
      </w:pPr>
    </w:p>
    <w:p>
      <w:pPr>
        <w:ind w:left="420" w:right="140" w:hanging="418"/>
        <w:spacing w:after="0" w:line="27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rFonts w:ascii="Arial" w:cs="Arial" w:eastAsia="Arial" w:hAnsi="Arial"/>
          <w:sz w:val="18"/>
          <w:szCs w:val="18"/>
          <w:color w:val="auto"/>
        </w:rPr>
      </w:pPr>
    </w:p>
    <w:p>
      <w:pPr>
        <w:ind w:left="420" w:right="20" w:hanging="418"/>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Volumes associated with assets employed through acquisitions and capital expansion projects represent total volumes for the number of months we employed the assets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hanging="418"/>
        <w:spacing w:after="0" w:line="29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costs, decreased for the three and six months ended June 30, 2015 compared to the same periods in 2014, while total volumes for each of the comparative periods presented increased slightly. Our Facilities segment results for the comparative periods were impacted by:</w:t>
      </w:r>
    </w:p>
    <w:p>
      <w:pPr>
        <w:spacing w:after="0" w:line="214" w:lineRule="exact"/>
        <w:rPr>
          <w:sz w:val="20"/>
          <w:szCs w:val="20"/>
          <w:color w:val="auto"/>
        </w:rPr>
      </w:pPr>
    </w:p>
    <w:p>
      <w:pPr>
        <w:ind w:left="380" w:right="80" w:hanging="53"/>
        <w:spacing w:after="0" w:line="259" w:lineRule="auto"/>
        <w:rPr>
          <w:sz w:val="20"/>
          <w:szCs w:val="20"/>
          <w:color w:val="auto"/>
        </w:rPr>
      </w:pPr>
      <w:r>
        <w:rPr>
          <w:rFonts w:ascii="Arial" w:cs="Arial" w:eastAsia="Arial" w:hAnsi="Arial"/>
          <w:sz w:val="18"/>
          <w:szCs w:val="18"/>
          <w:color w:val="auto"/>
        </w:rPr>
        <w:t>·Rail Terminals — For the three and six months ended June 30, 2015, revenues from our rail activities decreased by $1 million and $10 million, respectively, due to lower rail fees related to the movement of certain volumes of Bakken crude oil, primarily to our St. James rail terminal, partially offset by revenues from our Bakersfield rail terminal that came online in the fourth quarter of 2014.</w:t>
      </w:r>
    </w:p>
    <w:p>
      <w:pPr>
        <w:spacing w:after="0" w:line="214" w:lineRule="exact"/>
        <w:rPr>
          <w:sz w:val="20"/>
          <w:szCs w:val="20"/>
          <w:color w:val="auto"/>
        </w:rPr>
      </w:pPr>
    </w:p>
    <w:p>
      <w:pPr>
        <w:ind w:left="380" w:right="20" w:hanging="53"/>
        <w:spacing w:after="0" w:line="270" w:lineRule="auto"/>
        <w:rPr>
          <w:sz w:val="20"/>
          <w:szCs w:val="20"/>
          <w:color w:val="auto"/>
        </w:rPr>
      </w:pPr>
      <w:r>
        <w:rPr>
          <w:rFonts w:ascii="Arial" w:cs="Arial" w:eastAsia="Arial" w:hAnsi="Arial"/>
          <w:sz w:val="17"/>
          <w:szCs w:val="17"/>
          <w:color w:val="auto"/>
        </w:rPr>
        <w:t>·NGL Storage, NGL Fractionation and Canadian Gas Processing Activities — Revenues from our NGL storage, NGL fractionation and Canadian gas processing activities increased by $2 million for the three month comparative periods presented and decreased by $4 million for the six month comparative periods. Both the three and six month periods in 2015 were favorably impacted by higher facility fees at certain of our storage and gas processing facilities, largely offset by unfavorable foreign currency effects of $8 million and $17 million for the three and six month comparative periods, respectively, due to the depreciation of CAD relative to USD. The six month comparative period was further unfavorably impacted by lower physical processing gains during 2015 related to component mix at our fractionation facilities and significantly lower NGL prices. NGL fractionation volumes increased for the 2015 periods due to higher NGL supply volumes from western Canada; however, there was not a corresponding increase in revenue as the impacted facilities charge a fixed monthly fee.</w:t>
      </w:r>
    </w:p>
    <w:p>
      <w:pPr>
        <w:spacing w:after="0" w:line="178" w:lineRule="exact"/>
        <w:rPr>
          <w:sz w:val="20"/>
          <w:szCs w:val="20"/>
          <w:color w:val="auto"/>
        </w:rPr>
      </w:pPr>
    </w:p>
    <w:p>
      <w:pPr>
        <w:ind w:left="380" w:right="40" w:hanging="53"/>
        <w:spacing w:after="0" w:line="312" w:lineRule="auto"/>
        <w:rPr>
          <w:sz w:val="20"/>
          <w:szCs w:val="20"/>
          <w:color w:val="auto"/>
        </w:rPr>
      </w:pPr>
      <w:r>
        <w:rPr>
          <w:rFonts w:ascii="Arial" w:cs="Arial" w:eastAsia="Arial" w:hAnsi="Arial"/>
          <w:sz w:val="16"/>
          <w:szCs w:val="16"/>
          <w:color w:val="auto"/>
        </w:rPr>
        <w:t>·Gulf Coast Gas Processing Activities — Revenues from our Gulf Coast gas processing activities decreased by $3 million and $7 million for the three and six months ended June 30, 2015, respectively, compared to the three and six months ended June 30, 2014, primarily due to lower volumes and decreased margins driven by lower commodity prices.</w:t>
      </w:r>
    </w:p>
    <w:p>
      <w:pPr>
        <w:spacing w:after="0" w:line="17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Additional noteworthy variances for the comparative periods presented included (i) lower revenues from our natural gas storage operations due to less favorable market conditions during the 2015 periods and (ii) higher volumes and revenues from our crude oil storage activities primarily resulting from capacity expansions at our St. James and Cushing terminals, partially offset by decreased demand for storage at certain of our California facilities.</w:t>
      </w:r>
    </w:p>
    <w:p>
      <w:pPr>
        <w:spacing w:after="0" w:line="19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June 30, 2015 compared to the three and six months ended June 30, 2014 primarily due to a decrease in maintenance and repair costs and lower gas and power costs largely associated with our NGL fractionation and Canadian natural gas processing activities. These decreases were partially offset by higher property taxes and salary and related expenses primarily associated with rail facilities. Favorable foreign exchange effects of $5 million and $9 million for the comparable three and six month periods, respectively, further drove the decrease in field operating costs.</w:t>
      </w:r>
    </w:p>
    <w:p>
      <w:pPr>
        <w:spacing w:after="0" w:line="19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(excluding equity-indexed compensation expense) during the six months ended June 30, 2015 over the comparable 2014 period was primarily due to a change in the allocation of shared costs and increased legal fees.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increase in maintenance capital for the three and six months ended June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and six months ended June 30, 2014 was primarily due to various tank and facility projects and timing of equipment replacements. The three month comparative period was also impacted by a change in classification in the three months ended June 30, 2014 of certain maintenance capital costs to our Transportation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w:t>
      </w:r>
    </w:p>
    <w:p>
      <w:pPr>
        <w:ind w:right="40" w:firstLine="2"/>
        <w:spacing w:after="0" w:line="252"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operating results from our Supply and Logistics segment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4"/>
              </w:rPr>
              <w:t>Favorable/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7"/>
          </w:tcPr>
          <w:p>
            <w:pPr>
              <w:jc w:val="center"/>
              <w:ind w:right="19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1"/>
                <w:szCs w:val="21"/>
                <w:color w:val="auto"/>
              </w:rPr>
            </w:pPr>
          </w:p>
        </w:tc>
        <w:tc>
          <w:tcPr>
            <w:tcW w:w="13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5"/>
              </w:rPr>
              <w:t>(Unfavorable)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1"/>
                <w:szCs w:val="21"/>
                <w:color w:val="auto"/>
              </w:rPr>
            </w:pPr>
          </w:p>
        </w:tc>
        <w:tc>
          <w:tcPr>
            <w:tcW w:w="1260" w:type="dxa"/>
            <w:vAlign w:val="bottom"/>
            <w:gridSpan w:val="7"/>
          </w:tcPr>
          <w:p>
            <w:pPr>
              <w:jc w:val="center"/>
              <w:ind w:right="19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00" w:type="dxa"/>
            <w:vAlign w:val="bottom"/>
          </w:tcPr>
          <w:p>
            <w:pPr>
              <w:spacing w:after="0"/>
              <w:rPr>
                <w:sz w:val="19"/>
                <w:szCs w:val="19"/>
                <w:color w:val="auto"/>
              </w:rPr>
            </w:pPr>
          </w:p>
        </w:tc>
        <w:tc>
          <w:tcPr>
            <w:tcW w:w="16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9"/>
                <w:szCs w:val="19"/>
                <w:color w:val="auto"/>
              </w:rPr>
            </w:pPr>
          </w:p>
        </w:tc>
        <w:tc>
          <w:tcPr>
            <w:tcW w:w="13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2"/>
              </w:rPr>
              <w:t>Variance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9"/>
                <w:szCs w:val="19"/>
                <w:color w:val="auto"/>
              </w:rPr>
            </w:pPr>
          </w:p>
        </w:tc>
        <w:tc>
          <w:tcPr>
            <w:tcW w:w="1260" w:type="dxa"/>
            <w:vAlign w:val="bottom"/>
            <w:gridSpan w:val="7"/>
          </w:tcPr>
          <w:p>
            <w:pPr>
              <w:ind w:left="2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37"/>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10,860</w:t>
            </w:r>
          </w:p>
        </w:tc>
        <w:tc>
          <w:tcPr>
            <w:tcW w:w="7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(4,509)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11,984</w:t>
            </w: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(10,244)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700" w:type="dxa"/>
            <w:vAlign w:val="bottom"/>
            <w:gridSpan w:val="3"/>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(2)</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5"/>
              </w:rPr>
              <w:t>(10,578)</w:t>
            </w:r>
          </w:p>
        </w:tc>
        <w:tc>
          <w:tcPr>
            <w:tcW w:w="14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4,410</w:t>
            </w:r>
          </w:p>
        </w:tc>
        <w:tc>
          <w:tcPr>
            <w:tcW w:w="8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(11,521)</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10,032</w:t>
            </w:r>
          </w:p>
        </w:tc>
        <w:tc>
          <w:tcPr>
            <w:tcW w:w="2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(3)</w:t>
            </w: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2 %</w:t>
            </w:r>
          </w:p>
        </w:tc>
        <w:tc>
          <w:tcPr>
            <w:tcW w:w="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700" w:type="dxa"/>
            <w:vAlign w:val="bottom"/>
            <w:gridSpan w:val="3"/>
          </w:tcPr>
          <w:p>
            <w:pPr>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ind w:left="140"/>
              <w:spacing w:after="0"/>
              <w:rPr>
                <w:sz w:val="20"/>
                <w:szCs w:val="20"/>
                <w:color w:val="auto"/>
              </w:rPr>
            </w:pPr>
            <w:r>
              <w:rPr>
                <w:rFonts w:ascii="Arial" w:cs="Arial" w:eastAsia="Arial" w:hAnsi="Arial"/>
                <w:sz w:val="18"/>
                <w:szCs w:val="18"/>
                <w:color w:val="auto"/>
              </w:rPr>
              <w:t>expense - operations</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2"/>
        </w:trPr>
        <w:tc>
          <w:tcPr>
            <w:tcW w:w="2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Segment general and administrative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(3) (4)</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lef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700" w:type="dxa"/>
            <w:vAlign w:val="bottom"/>
            <w:gridSpan w:val="3"/>
          </w:tcPr>
          <w:p>
            <w:pPr>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ind w:left="140"/>
              <w:spacing w:after="0"/>
              <w:rPr>
                <w:sz w:val="20"/>
                <w:szCs w:val="20"/>
                <w:color w:val="auto"/>
              </w:rPr>
            </w:pPr>
            <w:r>
              <w:rPr>
                <w:rFonts w:ascii="Arial" w:cs="Arial" w:eastAsia="Arial" w:hAnsi="Arial"/>
                <w:sz w:val="18"/>
                <w:szCs w:val="18"/>
                <w:color w:val="auto"/>
              </w:rPr>
              <w:t>expense - general and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ind w:left="14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44 %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56"/>
              <w:spacing w:after="0" w:line="203"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0.79</w:t>
            </w: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758"/>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4"/>
              </w:rPr>
              <w:t>Favorable/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7"/>
          </w:tcPr>
          <w:p>
            <w:pPr>
              <w:jc w:val="center"/>
              <w:ind w:right="19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21"/>
                <w:szCs w:val="21"/>
                <w:color w:val="auto"/>
              </w:rPr>
            </w:pPr>
          </w:p>
        </w:tc>
        <w:tc>
          <w:tcPr>
            <w:tcW w:w="13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5"/>
              </w:rPr>
              <w:t>(Unfavorable)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1"/>
                <w:szCs w:val="21"/>
                <w:color w:val="auto"/>
              </w:rPr>
            </w:pPr>
          </w:p>
        </w:tc>
        <w:tc>
          <w:tcPr>
            <w:tcW w:w="1260" w:type="dxa"/>
            <w:vAlign w:val="bottom"/>
            <w:gridSpan w:val="7"/>
          </w:tcPr>
          <w:p>
            <w:pPr>
              <w:jc w:val="center"/>
              <w:ind w:right="19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Variance</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Pr>
          <w:p>
            <w:pPr>
              <w:spacing w:after="0"/>
              <w:rPr>
                <w:sz w:val="20"/>
                <w:szCs w:val="20"/>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Volume</w:t>
            </w:r>
          </w:p>
        </w:tc>
        <w:tc>
          <w:tcPr>
            <w:tcW w:w="46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0"/>
                <w:szCs w:val="20"/>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800" w:type="dxa"/>
            <w:vAlign w:val="bottom"/>
            <w:gridSpan w:val="5"/>
          </w:tcPr>
          <w:p>
            <w:pPr>
              <w:ind w:left="60"/>
              <w:spacing w:after="0"/>
              <w:rPr>
                <w:sz w:val="20"/>
                <w:szCs w:val="20"/>
                <w:color w:val="auto"/>
              </w:rPr>
            </w:pPr>
            <w:r>
              <w:rPr>
                <w:rFonts w:ascii="Arial" w:cs="Arial" w:eastAsia="Arial" w:hAnsi="Arial"/>
                <w:sz w:val="14"/>
                <w:szCs w:val="14"/>
                <w:b w:val="1"/>
                <w:bCs w:val="1"/>
                <w:color w:val="auto"/>
              </w:rPr>
              <w:t>Volume</w:t>
            </w:r>
          </w:p>
        </w:tc>
        <w:tc>
          <w:tcPr>
            <w:tcW w:w="4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lease gathering</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140" w:type="dxa"/>
            <w:vAlign w:val="bottom"/>
            <w:tcBorders>
              <w:lef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gridSpan w:val="2"/>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55</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5 %</w:t>
            </w:r>
          </w:p>
        </w:tc>
        <w:tc>
          <w:tcPr>
            <w:tcW w:w="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1,196</w:t>
            </w:r>
          </w:p>
        </w:tc>
        <w:tc>
          <w:tcPr>
            <w:tcW w:w="140" w:type="dxa"/>
            <w:vAlign w:val="bottom"/>
            <w:tcBorders>
              <w:lef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7"/>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700" w:hanging="69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65" w:lineRule="exact"/>
        <w:rPr>
          <w:rFonts w:ascii="Arial" w:cs="Arial" w:eastAsia="Arial" w:hAnsi="Arial"/>
          <w:sz w:val="18"/>
          <w:szCs w:val="18"/>
          <w:color w:val="auto"/>
        </w:rPr>
      </w:pPr>
    </w:p>
    <w:p>
      <w:pPr>
        <w:ind w:left="420" w:hanging="418"/>
        <w:spacing w:after="0" w:line="264"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and related costs include interest expense (related to hedged inventory purchases) of $2 million and $3 million for the three and six months ended June 30, 2015, respectively, and $5 million and $7 million for the three and six months ended June 30,2014,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right="140" w:hanging="418"/>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sz w:val="20"/>
          <w:szCs w:val="20"/>
          <w:color w:val="auto"/>
        </w:rPr>
      </w:pPr>
    </w:p>
    <w:p>
      <w:pPr>
        <w:ind w:left="20" w:right="680" w:firstLine="648"/>
        <w:spacing w:after="0" w:line="277" w:lineRule="auto"/>
        <w:rPr>
          <w:sz w:val="20"/>
          <w:szCs w:val="20"/>
          <w:color w:val="auto"/>
        </w:rPr>
      </w:pPr>
      <w:r>
        <w:rPr>
          <w:rFonts w:ascii="Arial" w:cs="Arial" w:eastAsia="Arial" w:hAnsi="Arial"/>
          <w:sz w:val="18"/>
          <w:szCs w:val="18"/>
          <w:color w:val="auto"/>
        </w:rPr>
        <w:t>The following table presents the range of the NYMEX WTI benchmark price of crude oil during the periods indicated (in dollars per barrel):</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0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NYMEX WTI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8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Crude Oil Price</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ind w:left="260"/>
              <w:spacing w:after="0"/>
              <w:rPr>
                <w:sz w:val="20"/>
                <w:szCs w:val="20"/>
                <w:color w:val="auto"/>
              </w:rPr>
            </w:pPr>
            <w:r>
              <w:rPr>
                <w:rFonts w:ascii="Arial" w:cs="Arial" w:eastAsia="Arial" w:hAnsi="Arial"/>
                <w:sz w:val="14"/>
                <w:szCs w:val="14"/>
                <w:b w:val="1"/>
                <w:bCs w:val="1"/>
                <w:color w:val="auto"/>
              </w:rPr>
              <w:t>High</w:t>
            </w:r>
          </w:p>
        </w:tc>
      </w:tr>
      <w:tr>
        <w:trPr>
          <w:trHeight w:val="223"/>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2015</w:t>
            </w:r>
          </w:p>
        </w:tc>
        <w:tc>
          <w:tcPr>
            <w:tcW w:w="22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Three months ended June 30, 2014</w:t>
            </w:r>
          </w:p>
        </w:tc>
        <w:tc>
          <w:tcPr>
            <w:tcW w:w="286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99</w:t>
            </w:r>
          </w:p>
        </w:tc>
        <w:tc>
          <w:tcPr>
            <w:tcW w:w="22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r>
      <w:tr>
        <w:trPr>
          <w:trHeight w:val="243"/>
        </w:trPr>
        <w:tc>
          <w:tcPr>
            <w:tcW w:w="48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Six months ended June 30, 2015</w:t>
            </w:r>
          </w:p>
        </w:tc>
        <w:tc>
          <w:tcPr>
            <w:tcW w:w="286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2014</w:t>
            </w:r>
          </w:p>
        </w:tc>
        <w:tc>
          <w:tcPr>
            <w:tcW w:w="286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six months ended June 30, 2015 due to lower crude oil and NGL prices relative to the comparative 2014 periods.</w:t>
      </w:r>
    </w:p>
    <w:p>
      <w:pPr>
        <w:spacing w:after="0" w:line="21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spacing w:after="0" w:line="22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decreased for the three and six months ended June 30, 2015 compared to the three and six months ended June 30, 2014. The following summarizes the more significant items in the comparative periods:</w:t>
      </w:r>
    </w:p>
    <w:p>
      <w:pPr>
        <w:spacing w:after="0" w:line="208" w:lineRule="exact"/>
        <w:rPr>
          <w:sz w:val="20"/>
          <w:szCs w:val="20"/>
          <w:color w:val="auto"/>
        </w:rPr>
      </w:pPr>
    </w:p>
    <w:p>
      <w:pPr>
        <w:ind w:left="400" w:right="200" w:hanging="73"/>
        <w:spacing w:after="0" w:line="257"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2015 as compared to the same periods in 2014 primarily due to the compression of certain differentials during the 2015 periods, which resulted in fewer opportunities to capture above-baseline margins as compared to 2014. Such unfavorable results were partially offset by revenues from opportunities created by the contango market structure during the 2015 periods.</w:t>
      </w:r>
    </w:p>
    <w:p>
      <w:pPr>
        <w:spacing w:after="0" w:line="215" w:lineRule="exact"/>
        <w:rPr>
          <w:rFonts w:ascii="Arial" w:cs="Arial" w:eastAsia="Arial" w:hAnsi="Arial"/>
          <w:sz w:val="18"/>
          <w:szCs w:val="18"/>
          <w:color w:val="auto"/>
        </w:rPr>
      </w:pPr>
    </w:p>
    <w:p>
      <w:pPr>
        <w:ind w:left="400" w:right="40" w:hanging="73"/>
        <w:spacing w:after="0" w:line="259"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were relatively consistent for the three months ended June 30, 2015 compared to the three months ended June 30, 2014. Net revenues increased for the comparative six-month periods, primarily due to higher sales volumes during the end of our 2014-2015 winter heating season, partially offset by increased facility fees.</w:t>
      </w:r>
    </w:p>
    <w:p>
      <w:pPr>
        <w:spacing w:after="0" w:line="213" w:lineRule="exact"/>
        <w:rPr>
          <w:rFonts w:ascii="Arial" w:cs="Arial" w:eastAsia="Arial" w:hAnsi="Arial"/>
          <w:sz w:val="18"/>
          <w:szCs w:val="18"/>
          <w:color w:val="auto"/>
        </w:rPr>
      </w:pPr>
    </w:p>
    <w:p>
      <w:pPr>
        <w:ind w:left="400" w:right="180" w:hanging="73"/>
        <w:spacing w:after="0" w:line="26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w:t>
      </w: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during 2015 and, therefore, we experienced more favorable results from our natural gas storage activities for the six months ended June 30, 2015 as compared to the six-month 2014 period.</w:t>
      </w:r>
    </w:p>
    <w:p>
      <w:pPr>
        <w:spacing w:after="0" w:line="197" w:lineRule="exact"/>
        <w:rPr>
          <w:sz w:val="20"/>
          <w:szCs w:val="20"/>
          <w:color w:val="auto"/>
        </w:rPr>
      </w:pPr>
    </w:p>
    <w:p>
      <w:pPr>
        <w:ind w:left="400" w:right="80" w:hanging="73"/>
        <w:spacing w:after="0" w:line="342" w:lineRule="auto"/>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0"/>
                <w:szCs w:val="20"/>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0"/>
                <w:szCs w:val="20"/>
                <w:color w:val="auto"/>
              </w:rPr>
            </w:pPr>
          </w:p>
        </w:tc>
        <w:tc>
          <w:tcPr>
            <w:tcW w:w="50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27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Gains/(losses) from certain</w:t>
            </w: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activities net of</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 xml:space="preserve">inventory valuation adjustments </w:t>
            </w:r>
            <w:r>
              <w:rPr>
                <w:rFonts w:ascii="Arial" w:cs="Arial" w:eastAsia="Arial" w:hAnsi="Arial"/>
                <w:sz w:val="8"/>
                <w:szCs w:val="8"/>
                <w:color w:val="auto"/>
                <w:w w:val="98"/>
              </w:rPr>
              <w:t>(1)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w:t>
            </w: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(340)%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(159)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$ 51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(412)%</w:t>
            </w:r>
          </w:p>
        </w:tc>
        <w:tc>
          <w:tcPr>
            <w:tcW w:w="0" w:type="dxa"/>
            <w:vAlign w:val="bottom"/>
          </w:tcPr>
          <w:p>
            <w:pPr>
              <w:spacing w:after="0"/>
              <w:rPr>
                <w:sz w:val="1"/>
                <w:szCs w:val="1"/>
                <w:color w:val="auto"/>
              </w:rPr>
            </w:pPr>
          </w:p>
        </w:tc>
      </w:tr>
      <w:tr>
        <w:trPr>
          <w:trHeight w:val="108"/>
        </w:trPr>
        <w:tc>
          <w:tcPr>
            <w:tcW w:w="6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49161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101" w:lineRule="exact"/>
        <w:rPr>
          <w:sz w:val="20"/>
          <w:szCs w:val="20"/>
          <w:color w:val="auto"/>
        </w:rPr>
      </w:pPr>
    </w:p>
    <w:p>
      <w:pPr>
        <w:ind w:left="1060" w:right="40" w:hanging="409"/>
        <w:spacing w:after="0" w:line="297"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85" w:lineRule="exact"/>
        <w:rPr>
          <w:sz w:val="20"/>
          <w:szCs w:val="20"/>
          <w:color w:val="auto"/>
        </w:rPr>
      </w:pPr>
    </w:p>
    <w:p>
      <w:pPr>
        <w:ind w:left="380" w:hanging="53"/>
        <w:spacing w:after="0" w:line="291" w:lineRule="auto"/>
        <w:rPr>
          <w:sz w:val="20"/>
          <w:szCs w:val="20"/>
          <w:color w:val="auto"/>
        </w:rPr>
      </w:pPr>
      <w:r>
        <w:rPr>
          <w:rFonts w:ascii="Arial" w:cs="Arial" w:eastAsia="Arial" w:hAnsi="Arial"/>
          <w:sz w:val="16"/>
          <w:szCs w:val="16"/>
          <w:color w:val="auto"/>
        </w:rPr>
        <w:t>·Long-Term Inventory Costing Adjustment — Our operating results are impacted by changes in the weighted average cost of our crude oil and NGL inventory pools that result from price movements during the periods. Such costing adjustments resulted in a favorable impact of $23 million for the three months ended June 30, 2015 due to price increases during the period; however, the six month 2015 period was unfavorably impacted by $15 million due to price decreases.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4" w:lineRule="exact"/>
        <w:rPr>
          <w:sz w:val="20"/>
          <w:szCs w:val="20"/>
          <w:color w:val="auto"/>
        </w:rPr>
      </w:pPr>
    </w:p>
    <w:p>
      <w:pPr>
        <w:ind w:left="380" w:right="160" w:hanging="53"/>
        <w:spacing w:after="0" w:line="264" w:lineRule="auto"/>
        <w:rPr>
          <w:sz w:val="20"/>
          <w:szCs w:val="20"/>
          <w:color w:val="auto"/>
        </w:rPr>
      </w:pPr>
      <w:r>
        <w:rPr>
          <w:rFonts w:ascii="Arial" w:cs="Arial" w:eastAsia="Arial" w:hAnsi="Arial"/>
          <w:sz w:val="18"/>
          <w:szCs w:val="18"/>
          <w:color w:val="auto"/>
        </w:rPr>
        <w:t>·Foreign Exchange — During 2015, there were fluctuations in the value of CAD to USD, resulting in net foreign exchange gains on U.S. denominated net assets within our Canadian operations of $30 million for the six months ended June 30, 2015.</w:t>
      </w:r>
    </w:p>
    <w:p>
      <w:pPr>
        <w:spacing w:after="0" w:line="20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(excluding equity-indexed compensation expense)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2015 compared to the six months ended June 30, 2014 was primarily due to increases in driver salaries and related expenses and trucking costs associated with higher crude oil lease gathering purchases volumes. This increase was partially offset by a reduction in fuel costs due to lower average diesel fuel cost per gallon.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Depreciation and amortization expense increased for the three and six months ended June 30, 2015 compared to the three and six months ended June 30, 2014, primarily due to various internal growth projects completed since June 30,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2015 over the three and six months ended June 30, 2014 was primarily due to a higher weighted average debt balance driven by senior notes issuances in April, September and December of 2014 for an aggregate of $2.6 billion.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Income tax expense increased for the three months ended June 30, 2015 compared to the three months ended June 30, 2014 primarily due to an Alberta, Canada provincial tax rate increase of 2% enacted during the 2015 period as well as higher current income tax expense as a result of increased quarter-over-quarter taxable earnings from our Canadian operations. The increase was partially offset by a deferred income tax benefit associated with derivative mark-to-market losses in our Canadian operations during the 2015 period.</w:t>
      </w:r>
    </w:p>
    <w:p>
      <w:pPr>
        <w:spacing w:after="0" w:line="21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Income tax expense decreased for the six months ended June 30, 2015 compared to the six months ended June 30, 2014 primarily due to a deferred income tax benefit associated with derivative mark-to-market losses in our Canadian operations during the 2015 period. This benefit was partially offset by an Alberta, Canada provincial tax rate increase of 2% enacted during the second quarter of 2015, as well as higher current income tax expense resulting from increased year-over-year taxable earnings from our Canadian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140" w:firstLine="612"/>
        <w:spacing w:after="0" w:line="270"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has increased rapidly in multiple regions in the lower 48 states. This has been particularly true for light crudes and condensates. Similar resource development activities in Canada and ongoing oil sands development activities have also led to increased Canadian crude oil production. Additionally, the crude oil market has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8" w:lineRule="exact"/>
        <w:rPr>
          <w:sz w:val="20"/>
          <w:szCs w:val="20"/>
          <w:color w:val="auto"/>
        </w:rPr>
      </w:pPr>
    </w:p>
    <w:p>
      <w:pPr>
        <w:ind w:left="40" w:right="80" w:firstLine="612"/>
        <w:spacing w:after="0" w:line="286" w:lineRule="auto"/>
        <w:rPr>
          <w:sz w:val="20"/>
          <w:szCs w:val="20"/>
          <w:color w:val="auto"/>
        </w:rPr>
      </w:pPr>
      <w:r>
        <w:rPr>
          <w:rFonts w:ascii="Arial" w:cs="Arial" w:eastAsia="Arial" w:hAnsi="Arial"/>
          <w:sz w:val="16"/>
          <w:szCs w:val="16"/>
          <w:color w:val="auto"/>
        </w:rPr>
        <w:t>However, over the last several years the combination of surging North American liquids production, relatively flat liquids production for the rest of the world and relatively modest growth in global liquids demand has led to a supply imbalance, which has further led to a significant and rapid reduction in petroleum prices and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prices during the second half of 2014 and first seven months of 2015 have led many producers, including producers that impact North American production levels, to significantly scale back capital programs for the next year or more.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cash flow and distribution growth that we would have otherwise experienced over the next several years. In addition, increased competition and compressed differentials may drive lower volumes and lower unit margins in parts of our business, including our Supply and Logistics segment.</w:t>
      </w:r>
    </w:p>
    <w:p>
      <w:pPr>
        <w:spacing w:after="0" w:line="175" w:lineRule="exact"/>
        <w:rPr>
          <w:sz w:val="20"/>
          <w:szCs w:val="20"/>
          <w:color w:val="auto"/>
        </w:rPr>
      </w:pPr>
    </w:p>
    <w:p>
      <w:pPr>
        <w:ind w:right="100" w:firstLine="612"/>
        <w:spacing w:after="0" w:line="253" w:lineRule="auto"/>
        <w:rPr>
          <w:sz w:val="20"/>
          <w:szCs w:val="20"/>
          <w:color w:val="auto"/>
        </w:rPr>
      </w:pPr>
      <w:r>
        <w:rPr>
          <w:rFonts w:ascii="Arial" w:cs="Arial" w:eastAsia="Arial" w:hAnsi="Arial"/>
          <w:sz w:val="18"/>
          <w:szCs w:val="18"/>
          <w:color w:val="auto"/>
        </w:rPr>
        <w:t>While we believe that these recent market developments should ultimately slow down crude oil supply growth and contribute toward bringing the markets back to equilibrium, there can be no assurance that such equilibrium will be achieved or that we will not be negatively impacted by declining crude oil supply, unfavorable volatility or challenging capital markets conditions. Additionally, construction of additional infrastructure by us and our competitors will likely continue to reduce existing infrastructure constraints, which could further reduce unit margins in our various segments, and underutilization of midstream assets resulting from continued production declines could have a similar unfavorable impact on volumes and unit margins. Finally, we cannot be certain that our expansion efforts will generate targeted returns or that any future acquisition activities will be successful. See “Risk Factors - Risks Related to Our Business” discussed in Item 1A of our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firstLine="2"/>
        <w:spacing w:after="0" w:line="269"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June 30, 2015, we had a working capital deficit of $530 million and approximately $3.1 billion of liquidity available to meet our ongoing operating, investing and financing needs as noted below (in millions):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of</w:t>
            </w:r>
          </w:p>
        </w:tc>
      </w:tr>
      <w:tr>
        <w:trPr>
          <w:trHeight w:val="228"/>
        </w:trPr>
        <w:tc>
          <w:tcPr>
            <w:tcW w:w="6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2015</w:t>
            </w:r>
          </w:p>
        </w:tc>
      </w:tr>
      <w:tr>
        <w:trPr>
          <w:trHeight w:val="223"/>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8"/>
                <w:szCs w:val="8"/>
                <w:color w:val="auto"/>
              </w:rPr>
              <w:t>(1)</w:t>
            </w:r>
          </w:p>
        </w:tc>
        <w:tc>
          <w:tcPr>
            <w:tcW w:w="16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8"/>
                <w:szCs w:val="8"/>
                <w:color w:val="auto"/>
              </w:rPr>
              <w:t>(1)</w:t>
            </w: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r>
      <w:tr>
        <w:trPr>
          <w:trHeight w:val="24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Amounts outstanding under commercial paper program</w:t>
            </w: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6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1"/>
                <w:szCs w:val="21"/>
                <w:color w:val="auto"/>
              </w:rPr>
            </w:pPr>
          </w:p>
        </w:tc>
      </w:tr>
      <w:tr>
        <w:trPr>
          <w:trHeight w:val="217"/>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40" w:hanging="418"/>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availability prior to giving effect to amounts outstanding under our commercial paper program. Borrowings under our commercial paper program reduce available capacity under the facility.</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2014 Annual Report on Form 10-K for further discussion regarding such risks that may impact our liquidity and capital resources. Usage of our credit facilities, certain of which provide the backstop for our commercial paper program, is subject to ongoing compliance with covenants. As of June 30, 2015, we were in compliance with all such covenants.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20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Net cash provided by operating activities for the first six months of 2015 and 2014 was $660 million and $963 million, respectively, and primarily resulted from earnings from our operations. Additionally, changes in our inventory levels during these periods are discussed further below, including related impact, if any, to our cash flow from operating activities.</w:t>
      </w:r>
    </w:p>
    <w:p>
      <w:pPr>
        <w:spacing w:after="0" w:line="17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six months ended June 30, 2015, we increased the volume of crude oil inventory that we held, primarily as a result of storing such inventory due to contango market conditions. These increases were primarily funded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proceeds received from the seasonal sale of our NGL and natural gas inventory and thus did not significantly impact cash provided by operating activities during the period.</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first six months of 2014, we decreased the volume of inventory that we held (including margin balances required as part of our hedging activities), primarily due to the sale of NGL and natural gas inventory related to high demand for product used for heating during the extended 2013-2014 winter season. The net proceeds received from liquidation of such inventory were used to repay borrowings under our commercial paper program and favorably impacted cash provided by operating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to operating needs discussed above, we also use cash for our acquisition activities and capital projects. We have made and will continue to make capital expenditures for acquisitions, expansion capital and maintenance capital.</w:t>
      </w:r>
    </w:p>
    <w:p>
      <w:pPr>
        <w:spacing w:after="0" w:line="15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2015 Capital Projects. </w:t>
      </w:r>
      <w:r>
        <w:rPr>
          <w:rFonts w:ascii="Arial" w:cs="Arial" w:eastAsia="Arial" w:hAnsi="Arial"/>
          <w:sz w:val="18"/>
          <w:szCs w:val="18"/>
          <w:color w:val="auto"/>
        </w:rPr>
        <w:t>See “—Acquisitions and Capital Projects” for detail of our projected capital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ending December 31, 2015. We expect the majority of funding for our remaining 2015 capital program will be provided by borrowings under our commercial paper program as well as through proceeds received from our March 2015 underwritten equity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financing activities primarily relate to funding acquisitions, expansion capital projects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Registration Statements</w:t>
      </w:r>
      <w:r>
        <w:rPr>
          <w:rFonts w:ascii="Arial" w:cs="Arial" w:eastAsia="Arial" w:hAnsi="Arial"/>
          <w:sz w:val="17"/>
          <w:szCs w:val="17"/>
          <w:color w:val="auto"/>
        </w:rPr>
        <w:t>. We periodically access the capital markets for both equity and debt financing. We have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June 30, 2015, we had approximately $555 million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March 2015 underwritten equity offering, as discussed further below, was conducted under our WKSI Shelf.</w:t>
      </w:r>
    </w:p>
    <w:p>
      <w:pPr>
        <w:spacing w:after="0" w:line="20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Continuous Offering Program</w:t>
      </w:r>
      <w:r>
        <w:rPr>
          <w:rFonts w:ascii="Arial" w:cs="Arial" w:eastAsia="Arial" w:hAnsi="Arial"/>
          <w:sz w:val="18"/>
          <w:szCs w:val="18"/>
          <w:color w:val="auto"/>
        </w:rPr>
        <w:t>. During the six months ended June 30, 2015, we issued an aggregate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common units under our continuous offering program, generating proceeds of $59 million, including our general partner’s proportionate capital contribution of $1 million, net of $1 million of commissions to our sales agents. The net proceeds from sales were used for general partnership purposes.</w:t>
      </w:r>
    </w:p>
    <w:p>
      <w:pPr>
        <w:spacing w:after="0" w:line="21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In March 2015, we completed an underwritten public offering of 21.0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net proceeds of approximately $1.1 billion, including our general partner’s proportionate capital contribution of $21 million and net of costs associated with the offering. We used a portion of the net proceeds from this offering to repay outstanding borrowings under our commercial paper program and we used the remaining net proceeds for general partnership purposes, including expenditures for our 2015 capital program.</w:t>
      </w:r>
    </w:p>
    <w:p>
      <w:pPr>
        <w:spacing w:after="0" w:line="20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Our credit agreements (which impact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access our commercial paper 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with the provisions in our credit agreements, our ability to make distributions of available cash is not restricted. We were in compliance with the covenants contained in our credit agreements and indentures as of June 30, 2015.</w:t>
      </w:r>
    </w:p>
    <w:p>
      <w:pPr>
        <w:spacing w:after="0" w:line="17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During the six months ended June 30, 2015 we had net borrowings under our credit agreements and commercial paper program of $151 million. These net borrowings resulted primarily from funding needs for (i) internal capital projects, (ii) repayment of our $150 million, 5.25% senior notes that matured in June 2015 and (iii) other general partnership purposes.</w:t>
      </w:r>
    </w:p>
    <w:p>
      <w:pPr>
        <w:spacing w:after="0" w:line="17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During the six months ended June 30, 2014, we had net repayments under our credit agreements and commercial paper program of $344 million. The net repayments resulted primarily from cash flow from operating activities, including sales of NGL and natural gas inventory that was liquidated during the periods, as well as cash received from our debt and equity activities.</w:t>
      </w:r>
    </w:p>
    <w:p>
      <w:pPr>
        <w:spacing w:after="0" w:line="21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January 2015, we entered into a new $1.0 billion, 364-day senior unsecured credit agreement. Borrowings, if any, accrue interest based, at our election, on either the Eurocurrency Rate or the Base Rate, as defined in the agreement, in each case plus a margin based on our credit rating at the applicable time.</w:t>
      </w:r>
    </w:p>
    <w:p>
      <w:pPr>
        <w:spacing w:after="0" w:line="20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mentioned above, in June 2015, our $150 million, 5.25% senior notes matured and were repaid with cash on hand and proceeds from borrowings under our commercial paper program.</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$400 million, 3.95% senior notes will mature in September 2015. We intend to use borrowings under our commercial paper program to repay these senior notes when they mature.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Unitholders, General Partner and Noncontrolling Interests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August 14, 2015, we will pay a quarterly distribution of $0.6950 per limited partner unit. This distribution represents a year-over-year distribution increase of approximately 7.8%. See Note 7 to our Condensed Consolidated Financial Statements for details of distributions paid. Also, see Item 5. “Market for Registrant’s Common Units, Related Unitholder Matters and Issuer Purchases of Equity Securities—Cash Distribution Policy” included in our 2014 Annual Report on Form 10-K for additional discussion regarding distributions.</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$1 million for distributions to noncontrolling interests during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six months ended June 30, 2015 and 2014.</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contracts, the majority of which range in term from thirty-day evergreen to five years with a limited number of contracts extending up to nine years. We establish a margin for these purchases by entering into various types of physical and financial sale and exchange transactions through which we seek to maintain a position that 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9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2015 (in millions):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Remainder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2020 and</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Thereafter</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Long-term debt, including current maturities</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8"/>
                <w:szCs w:val="8"/>
                <w:color w:val="auto"/>
              </w:rPr>
              <w:t>(1)</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$ 10,605</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$ 15,161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8"/>
                <w:szCs w:val="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8"/>
                <w:szCs w:val="8"/>
                <w:color w:val="auto"/>
              </w:rPr>
              <w:t>(3)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1,163</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11,330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purchases </w:t>
            </w:r>
            <w:r>
              <w:rPr>
                <w:rFonts w:ascii="Arial" w:cs="Arial" w:eastAsia="Arial" w:hAnsi="Arial"/>
                <w:sz w:val="8"/>
                <w:szCs w:val="8"/>
                <w:color w:val="auto"/>
              </w:rPr>
              <w:t>(4)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3,839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2,754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1,814</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4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2,977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$ 2,357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$ 13,972</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$ 33,276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80" w:hanging="418"/>
        <w:spacing w:after="0" w:line="297"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debt service payments, interest payments due on senior notes, the commitment fee on assumed available capacity under our revolving credit facilities and long-term borrowings under our commercial paper program. Although there may be short-term borrowings under our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85" w:lineRule="exact"/>
        <w:rPr>
          <w:rFonts w:ascii="Arial" w:cs="Arial" w:eastAsia="Arial" w:hAnsi="Arial"/>
          <w:sz w:val="16"/>
          <w:szCs w:val="16"/>
          <w:color w:val="auto"/>
        </w:rPr>
      </w:pPr>
    </w:p>
    <w:p>
      <w:pPr>
        <w:ind w:left="420" w:right="540" w:hanging="418"/>
        <w:spacing w:after="0" w:line="277"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97" w:lineRule="exact"/>
        <w:rPr>
          <w:rFonts w:ascii="Arial" w:cs="Arial" w:eastAsia="Arial" w:hAnsi="Arial"/>
          <w:sz w:val="18"/>
          <w:szCs w:val="18"/>
          <w:color w:val="auto"/>
        </w:rPr>
      </w:pPr>
    </w:p>
    <w:p>
      <w:pPr>
        <w:ind w:left="420" w:right="300" w:hanging="418"/>
        <w:spacing w:after="0" w:line="302"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$4 million related to derivative activity included in Crude oil, natural gas, NGL and other purchases.</w:t>
      </w:r>
    </w:p>
    <w:p>
      <w:pPr>
        <w:spacing w:after="0" w:line="181" w:lineRule="exact"/>
        <w:rPr>
          <w:rFonts w:ascii="Arial" w:cs="Arial" w:eastAsia="Arial" w:hAnsi="Arial"/>
          <w:sz w:val="16"/>
          <w:szCs w:val="16"/>
          <w:color w:val="auto"/>
        </w:rPr>
      </w:pPr>
    </w:p>
    <w:p>
      <w:pPr>
        <w:ind w:left="420" w:right="160" w:hanging="418"/>
        <w:spacing w:after="0" w:line="259"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are primarily based on estimated volumes and market prices based on average activity during June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14"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w:t>
      </w:r>
      <w:r>
        <w:rPr>
          <w:rFonts w:ascii="Arial" w:cs="Arial" w:eastAsia="Arial" w:hAnsi="Arial"/>
          <w:sz w:val="16"/>
          <w:szCs w:val="16"/>
          <w:i w:val="1"/>
          <w:iCs w:val="1"/>
          <w:color w:val="auto"/>
        </w:rPr>
        <w:t xml:space="preserve"> </w:t>
      </w:r>
      <w:r>
        <w:rPr>
          <w:rFonts w:ascii="Arial" w:cs="Arial" w:eastAsia="Arial" w:hAnsi="Arial"/>
          <w:sz w:val="16"/>
          <w:szCs w:val="16"/>
          <w:color w:val="auto"/>
        </w:rPr>
        <w:t>standby letters of credit to secure our obligation for the purchase of crude oil, NGL and natural gas. Additionally, we issue letters of credit to support insurance programs, derivative transactions and construction activities. At June 30, 2015 and December 31, 2014, we had outstanding letters of credit of approximately $63 million and $87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9" w:lineRule="exact"/>
        <w:rPr>
          <w:sz w:val="20"/>
          <w:szCs w:val="20"/>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rFonts w:ascii="Arial" w:cs="Arial" w:eastAsia="Arial" w:hAnsi="Arial"/>
          <w:sz w:val="18"/>
          <w:szCs w:val="18"/>
          <w:color w:val="auto"/>
        </w:rPr>
      </w:pPr>
    </w:p>
    <w:p>
      <w:pPr>
        <w:jc w:val="both"/>
        <w:ind w:left="740" w:right="240" w:hanging="89"/>
        <w:spacing w:after="0" w:line="30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1" w:lineRule="exact"/>
        <w:rPr>
          <w:rFonts w:ascii="Arial" w:cs="Arial" w:eastAsia="Arial" w:hAnsi="Arial"/>
          <w:sz w:val="16"/>
          <w:szCs w:val="16"/>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jc w:val="both"/>
        <w:ind w:left="740" w:right="200" w:hanging="89"/>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208" w:lineRule="exact"/>
        <w:rPr>
          <w:rFonts w:ascii="Arial" w:cs="Arial" w:eastAsia="Arial" w:hAnsi="Arial"/>
          <w:sz w:val="18"/>
          <w:szCs w:val="18"/>
          <w:color w:val="auto"/>
        </w:rPr>
      </w:pPr>
    </w:p>
    <w:p>
      <w:pPr>
        <w:ind w:left="900" w:hanging="24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740" w:right="220" w:hanging="89"/>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197" w:lineRule="exact"/>
        <w:rPr>
          <w:rFonts w:ascii="Arial" w:cs="Arial" w:eastAsia="Arial" w:hAnsi="Arial"/>
          <w:sz w:val="18"/>
          <w:szCs w:val="18"/>
          <w:color w:val="auto"/>
        </w:rPr>
      </w:pPr>
    </w:p>
    <w:p>
      <w:pPr>
        <w:jc w:val="both"/>
        <w:ind w:left="740" w:hanging="89"/>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208" w:lineRule="exact"/>
        <w:rPr>
          <w:rFonts w:ascii="Arial" w:cs="Arial" w:eastAsia="Arial" w:hAnsi="Arial"/>
          <w:sz w:val="18"/>
          <w:szCs w:val="18"/>
          <w:color w:val="auto"/>
        </w:rPr>
      </w:pPr>
    </w:p>
    <w:p>
      <w:pPr>
        <w:ind w:left="800" w:hanging="149"/>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740" w:right="180" w:hanging="89"/>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7"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440"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97"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740" w:right="420" w:hanging="89"/>
        <w:spacing w:after="0" w:line="30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our historical operations;</w:t>
      </w:r>
    </w:p>
    <w:p>
      <w:pPr>
        <w:spacing w:after="0" w:line="173" w:lineRule="exact"/>
        <w:rPr>
          <w:rFonts w:ascii="Arial" w:cs="Arial" w:eastAsia="Arial" w:hAnsi="Arial"/>
          <w:sz w:val="17"/>
          <w:szCs w:val="17"/>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820" w:hanging="169"/>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740" w:right="180"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197" w:lineRule="exact"/>
        <w:rPr>
          <w:rFonts w:ascii="Arial" w:cs="Arial" w:eastAsia="Arial" w:hAnsi="Arial"/>
          <w:sz w:val="18"/>
          <w:szCs w:val="18"/>
          <w:color w:val="auto"/>
        </w:rPr>
      </w:pPr>
    </w:p>
    <w:p>
      <w:pPr>
        <w:ind w:left="740" w:right="300"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97" w:lineRule="exact"/>
        <w:rPr>
          <w:rFonts w:ascii="Arial" w:cs="Arial" w:eastAsia="Arial" w:hAnsi="Arial"/>
          <w:sz w:val="18"/>
          <w:szCs w:val="18"/>
          <w:color w:val="auto"/>
        </w:rPr>
      </w:pPr>
    </w:p>
    <w:p>
      <w:pPr>
        <w:ind w:left="740" w:right="540"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97"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52" w:lineRule="exact"/>
        <w:rPr>
          <w:rFonts w:ascii="Arial" w:cs="Arial" w:eastAsia="Arial" w:hAnsi="Arial"/>
          <w:sz w:val="18"/>
          <w:szCs w:val="18"/>
          <w:color w:val="auto"/>
        </w:rPr>
      </w:pPr>
    </w:p>
    <w:p>
      <w:pPr>
        <w:ind w:left="740" w:right="320" w:hanging="89"/>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7" w:lineRule="exact"/>
        <w:rPr>
          <w:rFonts w:ascii="Arial" w:cs="Arial" w:eastAsia="Arial" w:hAnsi="Arial"/>
          <w:sz w:val="18"/>
          <w:szCs w:val="18"/>
          <w:color w:val="auto"/>
        </w:rPr>
      </w:pPr>
    </w:p>
    <w:p>
      <w:pPr>
        <w:ind w:left="740" w:hanging="89"/>
        <w:spacing w:after="0" w:line="264"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20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52" w:lineRule="exact"/>
        <w:rPr>
          <w:sz w:val="20"/>
          <w:szCs w:val="20"/>
          <w:color w:val="auto"/>
        </w:rPr>
      </w:pPr>
    </w:p>
    <w:p>
      <w:pPr>
        <w:ind w:left="1280" w:hanging="629"/>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5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214" w:lineRule="exact"/>
        <w:rPr>
          <w:sz w:val="20"/>
          <w:szCs w:val="20"/>
          <w:color w:val="auto"/>
        </w:rPr>
      </w:pPr>
    </w:p>
    <w:p>
      <w:pPr>
        <w:ind w:left="1160" w:hanging="50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52"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214" w:lineRule="exact"/>
        <w:rPr>
          <w:sz w:val="20"/>
          <w:szCs w:val="20"/>
          <w:color w:val="auto"/>
        </w:rPr>
      </w:pPr>
    </w:p>
    <w:p>
      <w:pPr>
        <w:ind w:left="1060" w:hanging="409"/>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21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See Note 8 to our Condensed Consolidated Financial Statements for further discussion regarding our hedging strategies and objectives.</w:t>
      </w:r>
    </w:p>
    <w:p>
      <w:pPr>
        <w:spacing w:after="0" w:line="19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2015 that would be expected from a 10% price increase or decrease is shown in the table below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Effect of 10%</w:t>
            </w:r>
          </w:p>
        </w:tc>
        <w:tc>
          <w:tcPr>
            <w:tcW w:w="8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Effect of 10%</w:t>
            </w:r>
          </w:p>
        </w:tc>
      </w:tr>
      <w:tr>
        <w:trPr>
          <w:trHeight w:val="228"/>
        </w:trPr>
        <w:tc>
          <w:tcPr>
            <w:tcW w:w="6260" w:type="dxa"/>
            <w:vAlign w:val="bottom"/>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Price Increase</w:t>
            </w:r>
          </w:p>
        </w:tc>
        <w:tc>
          <w:tcPr>
            <w:tcW w:w="8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Price Decrease</w:t>
            </w:r>
          </w:p>
        </w:tc>
      </w:tr>
      <w:tr>
        <w:trPr>
          <w:trHeight w:val="223"/>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1"/>
                <w:szCs w:val="21"/>
                <w:color w:val="auto"/>
              </w:rPr>
            </w:pPr>
          </w:p>
        </w:tc>
      </w:tr>
      <w:tr>
        <w:trPr>
          <w:trHeight w:val="217"/>
        </w:trPr>
        <w:tc>
          <w:tcPr>
            <w:tcW w:w="6260" w:type="dxa"/>
            <w:vAlign w:val="bottom"/>
          </w:tcPr>
          <w:p>
            <w:pPr>
              <w:ind w:left="22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payments and, in certain cases, outstanding debt instruments. All of our senior notes are fixed rate notes and thus are not subject to interest rate risk. The majority of our variable rate debt at June 30, 2015, $885 million, is subject to interest rate re-sets, which range from one day to one month. The average interest rate on variable rate debt that was outstanding during the six months ended June 30, 2015 was 0.4%, based upon rates in effect during such period. The fair value of our interest rate derivatives is an asset of $9 million as of June 30, 2015. A 10% increase in the forward LIBOR curve as of June 30, 2015 would result in an increase of $63 million to the fair value of our interest rate derivatives. A 10% decrease in the forward LIBOR curve as of June 30, 2015 would result in a decrease of $63 million to the fair value of our interest rate derivatives. See Note 8 to our Condensed Consolidated Financial Statements for a discussion of our interest rate risk hedging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$2 million as of June 30, 2015. A 10% increase in the exchange rate (USD-to-CAD) would result in a decrease of $21 million to the fair value of our foreign currency derivatives. A 10% decrease in the exchange rate (USD-to-CAD) would result in an increase of $21 million to the fair value of our foreign currency derivatives. See Note 8 to our Condensed Consolidated Financial Statements for a discussion of our currency exchange rate risk hedging.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June 30, 2015, the end of the period covered by this report, and, based on such evaluation, our Chief Executive Officer and Chief Financial Officer have concluded that our DCP is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addition to the information concerning our DCP, we are required to disclose certain changes in internal control over financial reporting. There have been no changes in our internal control over financial reporting during the second quarter of 2015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7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PLAINS ALL AMERICAN PIPELINE, L.P.</w:t>
      </w:r>
    </w:p>
    <w:p>
      <w:pPr>
        <w:spacing w:after="0" w:line="283"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LLC,</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its general partner</w:t>
      </w:r>
    </w:p>
    <w:p>
      <w:pPr>
        <w:spacing w:after="0" w:line="279"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its sole member</w:t>
      </w:r>
    </w:p>
    <w:p>
      <w:pPr>
        <w:spacing w:after="0" w:line="279"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its general partner</w:t>
      </w:r>
    </w:p>
    <w:p>
      <w:pPr>
        <w:spacing w:after="0" w:line="279"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-127635</wp:posOffset>
            </wp:positionV>
            <wp:extent cx="26416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Arial" w:cs="Arial" w:eastAsia="Arial" w:hAnsi="Arial"/>
          <w:sz w:val="16"/>
          <w:szCs w:val="16"/>
          <w:b w:val="1"/>
          <w:bCs w:val="1"/>
          <w:i w:val="1"/>
          <w:iCs w:val="1"/>
          <w:color w:val="auto"/>
        </w:rPr>
        <w:t>Chairman of the Board, Chief Executive Officer and</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Director of Plains All American GP LLC</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79"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-127635</wp:posOffset>
            </wp:positionV>
            <wp:extent cx="2641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Arial" w:cs="Arial" w:eastAsia="Arial" w:hAnsi="Arial"/>
          <w:sz w:val="16"/>
          <w:szCs w:val="16"/>
          <w:b w:val="1"/>
          <w:bCs w:val="1"/>
          <w:i w:val="1"/>
          <w:iCs w:val="1"/>
          <w:color w:val="auto"/>
        </w:rPr>
        <w:t>Executive Vice President and Chief Financial Officer</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of Plains All American GP LLC</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79"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Herbold</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-127635</wp:posOffset>
            </wp:positionV>
            <wp:extent cx="26416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Arial" w:cs="Arial" w:eastAsia="Arial" w:hAnsi="Arial"/>
          <w:sz w:val="16"/>
          <w:szCs w:val="16"/>
          <w:b w:val="1"/>
          <w:bCs w:val="1"/>
          <w:i w:val="1"/>
          <w:iCs w:val="1"/>
          <w:color w:val="auto"/>
        </w:rPr>
        <w:t>Vice President — Accounting and Chief Accounting</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Officer of Plains All American GP LLC</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p>
      <w:pPr>
        <w:jc w:val="both"/>
        <w:ind w:left="1020" w:right="280" w:hanging="1417"/>
        <w:spacing w:after="0" w:line="264" w:lineRule="auto"/>
        <w:tabs>
          <w:tab w:leader="none" w:pos="1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Fourth Amended and Restated Agreement of Limited Partnership of Plains All American Pipeline, L.P. dated as of May 17, 2012 (incorporated by reference to Exhibit 3.1 to our Current Report on Form 8-K filed May 23, 2012).</w:t>
      </w:r>
    </w:p>
    <w:p>
      <w:pPr>
        <w:spacing w:after="0" w:line="208" w:lineRule="exact"/>
        <w:rPr>
          <w:sz w:val="20"/>
          <w:szCs w:val="20"/>
          <w:color w:val="auto"/>
        </w:rPr>
      </w:pPr>
    </w:p>
    <w:p>
      <w:pPr>
        <w:ind w:left="1020" w:right="120" w:hanging="1417"/>
        <w:spacing w:after="0" w:line="264" w:lineRule="auto"/>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Amendment No. 1 dated October 1, 2012 to the Fourth Amended and Restated Agreement of Limited Partnership of Plains All American Pipeline, L.P. (incorporated by reference to Exhibit 3.1 to our Current Report on Form 8-K filed October 2, 2012).</w:t>
      </w:r>
    </w:p>
    <w:p>
      <w:pPr>
        <w:spacing w:after="0" w:line="208" w:lineRule="exact"/>
        <w:rPr>
          <w:sz w:val="20"/>
          <w:szCs w:val="20"/>
          <w:color w:val="auto"/>
        </w:rPr>
      </w:pPr>
    </w:p>
    <w:p>
      <w:pPr>
        <w:jc w:val="both"/>
        <w:ind w:left="1020" w:right="120" w:hanging="1417"/>
        <w:spacing w:after="0" w:line="264" w:lineRule="auto"/>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Amendment No. 2 dated December 31, 2013 to the Fourth Amended and Restated Agreement of Limited Partnership of Plains All American Pipeline, L.P. (incorporated by reference to Exhibit 3.1 to our Current Report on Form 8-K filed December 31, 2013).</w:t>
      </w:r>
    </w:p>
    <w:p>
      <w:pPr>
        <w:spacing w:after="0" w:line="208" w:lineRule="exact"/>
        <w:rPr>
          <w:sz w:val="20"/>
          <w:szCs w:val="20"/>
          <w:color w:val="auto"/>
        </w:rPr>
      </w:pPr>
    </w:p>
    <w:p>
      <w:pPr>
        <w:ind w:left="1020" w:right="120" w:hanging="1417"/>
        <w:spacing w:after="0" w:line="264" w:lineRule="auto"/>
        <w:tabs>
          <w:tab w:leader="none" w:pos="1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Amendment No. 3 dated May 15, 2015 to the Fourth Amended and Restated Agreement of Limited Partnership of Plains All American Pipeline, L.P. (incorporated by reference to Exhibit 3.1 to our Current Report on Form 8-K filed May 15, 2015).</w:t>
      </w:r>
    </w:p>
    <w:p>
      <w:pPr>
        <w:spacing w:after="0" w:line="208" w:lineRule="exact"/>
        <w:rPr>
          <w:sz w:val="20"/>
          <w:szCs w:val="20"/>
          <w:color w:val="auto"/>
        </w:rPr>
      </w:pPr>
    </w:p>
    <w:p>
      <w:pPr>
        <w:jc w:val="both"/>
        <w:ind w:left="1020" w:right="400" w:hanging="1417"/>
        <w:spacing w:after="0" w:line="264" w:lineRule="auto"/>
        <w:tabs>
          <w:tab w:leader="none" w:pos="10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208" w:lineRule="exact"/>
        <w:rPr>
          <w:sz w:val="20"/>
          <w:szCs w:val="20"/>
          <w:color w:val="auto"/>
        </w:rPr>
      </w:pPr>
    </w:p>
    <w:p>
      <w:pPr>
        <w:jc w:val="both"/>
        <w:ind w:left="1020" w:right="200" w:hanging="1417"/>
        <w:spacing w:after="0" w:line="264" w:lineRule="auto"/>
        <w:tabs>
          <w:tab w:leader="none" w:pos="10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208" w:lineRule="exact"/>
        <w:rPr>
          <w:sz w:val="20"/>
          <w:szCs w:val="20"/>
          <w:color w:val="auto"/>
        </w:rPr>
      </w:pPr>
    </w:p>
    <w:p>
      <w:pPr>
        <w:ind w:left="1020" w:right="160" w:hanging="1417"/>
        <w:spacing w:after="0" w:line="264" w:lineRule="auto"/>
        <w:tabs>
          <w:tab w:leader="none" w:pos="10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Amendment No. 2 dated January 1, 2011 to the Third Amended and Restated Agreement of Limited Partnership of Plains Marketing, L.P. (incorporated by reference to Exhibit 3.10 to our Annual Report on Form 10-K for the year ended December 31, 2010).</w:t>
      </w:r>
    </w:p>
    <w:p>
      <w:pPr>
        <w:spacing w:after="0" w:line="208" w:lineRule="exact"/>
        <w:rPr>
          <w:sz w:val="20"/>
          <w:szCs w:val="20"/>
          <w:color w:val="auto"/>
        </w:rPr>
      </w:pPr>
    </w:p>
    <w:p>
      <w:pPr>
        <w:ind w:left="1020" w:right="240" w:hanging="1417"/>
        <w:spacing w:after="0" w:line="264" w:lineRule="auto"/>
        <w:tabs>
          <w:tab w:leader="none" w:pos="10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Amendment No. 3 dated June 30, 2011 to the Third Amended and Restated Agreement of Limited Partnership of Plains Marketing, L.P. (incorporated by reference to Exhibit 3.7 to our Annual Report on Form 10-K for the year ended December 31, 2013).</w:t>
      </w:r>
    </w:p>
    <w:p>
      <w:pPr>
        <w:spacing w:after="0" w:line="208" w:lineRule="exact"/>
        <w:rPr>
          <w:sz w:val="20"/>
          <w:szCs w:val="20"/>
          <w:color w:val="auto"/>
        </w:rPr>
      </w:pPr>
    </w:p>
    <w:p>
      <w:pPr>
        <w:ind w:left="1020" w:right="280" w:hanging="1417"/>
        <w:spacing w:after="0" w:line="264" w:lineRule="auto"/>
        <w:tabs>
          <w:tab w:leader="none" w:pos="10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208" w:lineRule="exact"/>
        <w:rPr>
          <w:sz w:val="20"/>
          <w:szCs w:val="20"/>
          <w:color w:val="auto"/>
        </w:rPr>
      </w:pPr>
    </w:p>
    <w:p>
      <w:pPr>
        <w:ind w:left="1020" w:right="420" w:hanging="1417"/>
        <w:spacing w:after="0" w:line="264" w:lineRule="auto"/>
        <w:tabs>
          <w:tab w:leader="none" w:pos="10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208" w:lineRule="exact"/>
        <w:rPr>
          <w:sz w:val="20"/>
          <w:szCs w:val="20"/>
          <w:color w:val="auto"/>
        </w:rPr>
      </w:pPr>
    </w:p>
    <w:p>
      <w:pPr>
        <w:ind w:left="1020" w:right="320" w:hanging="1417"/>
        <w:spacing w:after="0" w:line="264" w:lineRule="auto"/>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Amendment No. 1 dated January 1, 2013 to the Third Amended and Restated Agreement of Limited Partnership of Plains Pipeline, L.P. (incorporated by reference to Exhibit 3.10 to our Annual Report on Form 10-K for the year ended December 31, 2013).</w:t>
      </w:r>
    </w:p>
    <w:p>
      <w:pPr>
        <w:spacing w:after="0" w:line="208" w:lineRule="exact"/>
        <w:rPr>
          <w:sz w:val="20"/>
          <w:szCs w:val="20"/>
          <w:color w:val="auto"/>
        </w:rPr>
      </w:pPr>
    </w:p>
    <w:p>
      <w:pPr>
        <w:ind w:left="1020" w:right="60" w:hanging="1417"/>
        <w:spacing w:after="0" w:line="264" w:lineRule="auto"/>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Sixth Amended and Restated Limited Liability Company Agreement of Plains All American GP LLC dated October 21, 2013 (incorporated by reference to Exhibit 3.2 to our Current Report on Form 8-K filed October 25, 2013).</w:t>
      </w:r>
    </w:p>
    <w:p>
      <w:pPr>
        <w:spacing w:after="0" w:line="208"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Seventh Amended and Restated Limited Partnership Agreement of Plains AAP, L.P. dated October 21,</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2013 (incorporated by reference to Exhibit 3.1 to our Current Report on Form 8-K filed October 25, 2013).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3.14</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Amendment No. 1 dated December 31, 2013 to the Seventh Amended and Restated Limited Partnership</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2"/>
              </w:rPr>
              <w:t>Agreement of Plains AAP, L.P. (incorporated by reference to Exhibit 3.2 to our Current Report on Form 8-</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K filed December 31, 2013).</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3.15</w:t>
            </w:r>
          </w:p>
        </w:tc>
        <w:tc>
          <w:tcPr>
            <w:tcW w:w="8520" w:type="dxa"/>
            <w:vAlign w:val="bottom"/>
          </w:tcPr>
          <w:p>
            <w:pPr>
              <w:ind w:left="360"/>
              <w:spacing w:after="0"/>
              <w:rPr>
                <w:sz w:val="20"/>
                <w:szCs w:val="20"/>
                <w:color w:val="auto"/>
              </w:rPr>
            </w:pPr>
            <w:r>
              <w:rPr>
                <w:rFonts w:ascii="Arial" w:cs="Arial" w:eastAsia="Arial" w:hAnsi="Arial"/>
                <w:sz w:val="18"/>
                <w:szCs w:val="18"/>
                <w:color w:val="auto"/>
                <w:w w:val="95"/>
              </w:rPr>
              <w:t>—   Certificate of Incorporation of PAA Finance Corp (f/k/a Pacific Energy Finance Corporation, successor-</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6"/>
              </w:rPr>
              <w:t>by-merger to PAA Finance Corp.) (incorporated by reference to Exhibit 3.10 to our Annual Report on</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Form 10-K for the year ended December 31, 2006).</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3.16</w:t>
            </w:r>
          </w:p>
        </w:tc>
        <w:tc>
          <w:tcPr>
            <w:tcW w:w="8520" w:type="dxa"/>
            <w:vAlign w:val="bottom"/>
          </w:tcPr>
          <w:p>
            <w:pPr>
              <w:ind w:left="360"/>
              <w:spacing w:after="0"/>
              <w:rPr>
                <w:sz w:val="20"/>
                <w:szCs w:val="20"/>
                <w:color w:val="auto"/>
              </w:rPr>
            </w:pPr>
            <w:r>
              <w:rPr>
                <w:rFonts w:ascii="Arial" w:cs="Arial" w:eastAsia="Arial" w:hAnsi="Arial"/>
                <w:sz w:val="18"/>
                <w:szCs w:val="18"/>
                <w:color w:val="auto"/>
                <w:w w:val="97"/>
              </w:rPr>
              <w:t>—   Bylaws of PAA Finance Corp (f/k/a Pacific Energy Finance Corporation, successor-by-merger to PAA</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2"/>
              </w:rPr>
              <w:t>Finance Corp.) (incorporated by reference to Exhibit 3.11 to our Annual Report on Form 10-K for the year</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ended December 31, 2006).</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3.17</w:t>
            </w:r>
          </w:p>
        </w:tc>
        <w:tc>
          <w:tcPr>
            <w:tcW w:w="8520" w:type="dxa"/>
            <w:vAlign w:val="bottom"/>
          </w:tcPr>
          <w:p>
            <w:pPr>
              <w:ind w:left="360"/>
              <w:spacing w:after="0"/>
              <w:rPr>
                <w:sz w:val="20"/>
                <w:szCs w:val="20"/>
                <w:color w:val="auto"/>
              </w:rPr>
            </w:pPr>
            <w:r>
              <w:rPr>
                <w:rFonts w:ascii="Arial" w:cs="Arial" w:eastAsia="Arial" w:hAnsi="Arial"/>
                <w:sz w:val="18"/>
                <w:szCs w:val="18"/>
                <w:color w:val="auto"/>
              </w:rPr>
              <w:t>—   Limited Liability Company Agreement of PAA GP LLC dated December 28, 2007 (incorporated by</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reference to Exhibit 3.3 to our Current Report on Form 8-K filed January 4, 2008).</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8520" w:type="dxa"/>
            <w:vAlign w:val="bottom"/>
          </w:tcPr>
          <w:p>
            <w:pPr>
              <w:ind w:left="360"/>
              <w:spacing w:after="0"/>
              <w:rPr>
                <w:sz w:val="20"/>
                <w:szCs w:val="20"/>
                <w:color w:val="auto"/>
              </w:rPr>
            </w:pPr>
            <w:r>
              <w:rPr>
                <w:rFonts w:ascii="Arial" w:cs="Arial" w:eastAsia="Arial" w:hAnsi="Arial"/>
                <w:sz w:val="18"/>
                <w:szCs w:val="18"/>
                <w:color w:val="auto"/>
                <w:w w:val="94"/>
              </w:rPr>
              <w:t>—   Indenture dated September 25, 2002 among Plains All American Pipeline, L.P., PAA Finance Corp. and</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1"/>
              </w:rPr>
              <w:t>Wachovia Bank, National Association, as trustee (incorporated by reference to Exhibit 4.1 to our Quarterly</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Report on Form 10-Q for the quarter ended September 30, 2002).</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Fourth Supplemental Indenture (Series A and Series B 5.875% Senior Notes due 2016) dated August 12,</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2004 among Plains All American Pipeline, L.P., PAA Finance Corp., the Subsidiary Guarantors named</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3"/>
              </w:rPr>
              <w:t>therein and Wachovia Bank, National Association, as trustee (incorporated by reference to Exhibit 4.5 to</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our Registration Statement on Form S-4, File No. 333-121168).</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Sixth Supplemental Indenture (Series A and Series B 6.70% Senior Notes due 2036) dated May 12, 2006</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3"/>
              </w:rPr>
              <w:t>among Plains All American Pipeline, L.P., PAA Finance Corp., the Subsidiary Guarantors named therein</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6"/>
              </w:rPr>
              <w:t>and Wachovia Bank, National Association, as trustee (incorporated by reference to Exhibit 4.1 to our</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Current Report on Form 8-K filed May 12, 2006).</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Ninth Supplemental Indenture (Series A and Series B 6.125% Senior Notes due 2017) dated October 30,</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2006 among Plains All American Pipeline, L.P., PAA Finance Corp., the Subsidiary Guarantors named</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therein and U.S. Bank National Association, as trustee (incorporated by reference to Exhibit 4.1 to our</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Current Report on Form 8-K filed October 30, 2006).</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Tenth Supplemental Indenture (Series A and Series B 6.650% Senior Notes due 2037) dated October 30,</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2006 among Plains All American Pipeline, L.P., PAA Finance Corp., the Subsidiary Guarantors named</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therein and U.S. Bank National Association, as trustee (incorporated by reference to Exhibit 4.2 to our</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Current Report on Form 8-K filed October 30, 2006).</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8520" w:type="dxa"/>
            <w:vAlign w:val="bottom"/>
          </w:tcPr>
          <w:p>
            <w:pPr>
              <w:ind w:left="360"/>
              <w:spacing w:after="0"/>
              <w:rPr>
                <w:sz w:val="20"/>
                <w:szCs w:val="20"/>
                <w:color w:val="auto"/>
              </w:rPr>
            </w:pPr>
            <w:r>
              <w:rPr>
                <w:rFonts w:ascii="Arial" w:cs="Arial" w:eastAsia="Arial" w:hAnsi="Arial"/>
                <w:sz w:val="18"/>
                <w:szCs w:val="18"/>
                <w:color w:val="auto"/>
                <w:w w:val="93"/>
              </w:rPr>
              <w:t>—   Thirteenth Supplemental Indenture (Series A and Series B 6.50% Senior Notes due 2018) dated April 23,</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2008 among Plains All American Pipeline, L.P., PAA Finance Corp., the Subsidiary Guarantors named</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therein and U.S. Bank National Association, as trustee (incorporated by reference to Exhibit 4.1 to our</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Current Report on Form 8-K filed April 23, 2008).</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8520" w:type="dxa"/>
            <w:vAlign w:val="bottom"/>
          </w:tcPr>
          <w:p>
            <w:pPr>
              <w:ind w:left="360"/>
              <w:spacing w:after="0"/>
              <w:rPr>
                <w:sz w:val="20"/>
                <w:szCs w:val="20"/>
                <w:color w:val="auto"/>
              </w:rPr>
            </w:pPr>
            <w:r>
              <w:rPr>
                <w:rFonts w:ascii="Arial" w:cs="Arial" w:eastAsia="Arial" w:hAnsi="Arial"/>
                <w:sz w:val="18"/>
                <w:szCs w:val="18"/>
                <w:color w:val="auto"/>
                <w:w w:val="94"/>
              </w:rPr>
              <w:t>—   Fifteenth Supplemental Indenture (8.75% Senior Notes due 2019) dated April 20, 2009 among Plains All</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1"/>
              </w:rPr>
              <w:t>National Association, as trustee (incorporated by reference to Exhibit 4.1 to our Current Report on Form 8-</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K filed April 20, 2009).</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8520" w:type="dxa"/>
            <w:vAlign w:val="bottom"/>
          </w:tcPr>
          <w:p>
            <w:pPr>
              <w:ind w:left="360"/>
              <w:spacing w:after="0"/>
              <w:rPr>
                <w:sz w:val="20"/>
                <w:szCs w:val="20"/>
                <w:color w:val="auto"/>
              </w:rPr>
            </w:pPr>
            <w:r>
              <w:rPr>
                <w:rFonts w:ascii="Arial" w:cs="Arial" w:eastAsia="Arial" w:hAnsi="Arial"/>
                <w:sz w:val="18"/>
                <w:szCs w:val="18"/>
                <w:color w:val="auto"/>
                <w:w w:val="95"/>
              </w:rPr>
              <w:t>—   Seventeenth Supplemental Indenture (5.75% Senior Notes due 2020) dated September 4, 2009 among</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1"/>
              </w:rPr>
              <w:t>Plains All American Pipeline, L.P., PAA Finance Corp., the Subsidiary Guarantors named therein and U.S.</w:t>
            </w:r>
          </w:p>
        </w:tc>
      </w:tr>
      <w:tr>
        <w:trPr>
          <w:trHeight w:val="216"/>
        </w:trPr>
        <w:tc>
          <w:tcPr>
            <w:tcW w:w="66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3"/>
              </w:rPr>
              <w:t>Bank National Association, as trustee (incorporated by reference to Exhibit 4.1 to our Current Report on</w:t>
            </w:r>
          </w:p>
        </w:tc>
      </w:tr>
      <w:tr>
        <w:trPr>
          <w:trHeight w:val="230"/>
        </w:trPr>
        <w:tc>
          <w:tcPr>
            <w:tcW w:w="66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Form 8-K filed September 4, 2009).</w:t>
            </w:r>
          </w:p>
        </w:tc>
      </w:tr>
      <w:tr>
        <w:trPr>
          <w:trHeight w:val="891"/>
        </w:trPr>
        <w:tc>
          <w:tcPr>
            <w:tcW w:w="660" w:type="dxa"/>
            <w:vAlign w:val="bottom"/>
          </w:tcPr>
          <w:p>
            <w:pPr>
              <w:spacing w:after="0"/>
              <w:rPr>
                <w:sz w:val="24"/>
                <w:szCs w:val="24"/>
                <w:color w:val="auto"/>
              </w:rPr>
            </w:pPr>
          </w:p>
        </w:tc>
        <w:tc>
          <w:tcPr>
            <w:tcW w:w="8520" w:type="dxa"/>
            <w:vAlign w:val="bottom"/>
          </w:tcPr>
          <w:p>
            <w:pPr>
              <w:ind w:left="3820"/>
              <w:spacing w:after="0"/>
              <w:rPr>
                <w:sz w:val="20"/>
                <w:szCs w:val="20"/>
                <w:color w:val="auto"/>
              </w:rPr>
            </w:pPr>
            <w:r>
              <w:rPr>
                <w:rFonts w:ascii="Arial" w:cs="Arial" w:eastAsia="Arial" w:hAnsi="Arial"/>
                <w:sz w:val="18"/>
                <w:szCs w:val="18"/>
                <w:color w:val="auto"/>
              </w:rPr>
              <w:t>61</w:t>
            </w:r>
          </w:p>
        </w:tc>
      </w:tr>
      <w:tr>
        <w:trPr>
          <w:trHeight w:val="108"/>
        </w:trPr>
        <w:tc>
          <w:tcPr>
            <w:tcW w:w="660" w:type="dxa"/>
            <w:vAlign w:val="bottom"/>
            <w:tcBorders>
              <w:bottom w:val="single" w:sz="8" w:color="9A9A9A"/>
            </w:tcBorders>
          </w:tcPr>
          <w:p>
            <w:pPr>
              <w:spacing w:after="0"/>
              <w:rPr>
                <w:sz w:val="9"/>
                <w:szCs w:val="9"/>
                <w:color w:val="auto"/>
              </w:rPr>
            </w:pPr>
          </w:p>
        </w:tc>
        <w:tc>
          <w:tcPr>
            <w:tcW w:w="8520" w:type="dxa"/>
            <w:vAlign w:val="bottom"/>
            <w:tcBorders>
              <w:bottom w:val="single" w:sz="8" w:color="9A9A9A"/>
            </w:tcBorders>
          </w:tcPr>
          <w:p>
            <w:pPr>
              <w:spacing w:after="0"/>
              <w:rPr>
                <w:sz w:val="9"/>
                <w:szCs w:val="9"/>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8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1417"/>
        <w:spacing w:after="0" w:line="259" w:lineRule="auto"/>
        <w:tabs>
          <w:tab w:leader="none" w:pos="10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Eighteenth Supplemental Indenture (3.95% Senior Notes due 2015) dated July 14, 2010 among Plains All American Pipeline, L.P., PAA Finance Corp., the Subsidiary Guarantors named therein and U.S. Bank National Association, as trustee (incorporated by reference to Exhibit 4.1 to our Current Report on Form 8-K filed July 13, 2010).</w:t>
      </w:r>
    </w:p>
    <w:p>
      <w:pPr>
        <w:spacing w:after="0" w:line="214" w:lineRule="exact"/>
        <w:rPr>
          <w:sz w:val="20"/>
          <w:szCs w:val="20"/>
          <w:color w:val="auto"/>
        </w:rPr>
      </w:pPr>
    </w:p>
    <w:p>
      <w:pPr>
        <w:ind w:left="1020" w:hanging="1417"/>
        <w:spacing w:after="0" w:line="259" w:lineRule="auto"/>
        <w:tabs>
          <w:tab w:leader="none" w:pos="10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our Current Report on Form 8-K filed January 11, 2011).</w:t>
      </w:r>
    </w:p>
    <w:p>
      <w:pPr>
        <w:spacing w:after="0" w:line="214" w:lineRule="exact"/>
        <w:rPr>
          <w:sz w:val="20"/>
          <w:szCs w:val="20"/>
          <w:color w:val="auto"/>
        </w:rPr>
      </w:pPr>
    </w:p>
    <w:p>
      <w:pPr>
        <w:ind w:left="1020" w:right="260" w:hanging="1417"/>
        <w:spacing w:after="0" w:line="286" w:lineRule="auto"/>
        <w:tabs>
          <w:tab w:leader="none" w:pos="10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Twentieth Supplemental Indenture (3.65% Senior Notes due 2022) dated March 22, 2012 among Plains All American Pipeline, L.P., PAA Finance Corp. and U.S. Bank National Association, as trustee (incorporated by reference to Exhibit 4.1 to our Current Report on Form 8-K filed March 26, 2012).</w:t>
      </w:r>
    </w:p>
    <w:p>
      <w:pPr>
        <w:spacing w:after="0" w:line="193" w:lineRule="exact"/>
        <w:rPr>
          <w:sz w:val="20"/>
          <w:szCs w:val="20"/>
          <w:color w:val="auto"/>
        </w:rPr>
      </w:pPr>
    </w:p>
    <w:p>
      <w:pPr>
        <w:ind w:left="1020" w:right="60" w:hanging="1417"/>
        <w:spacing w:after="0" w:line="286" w:lineRule="auto"/>
        <w:tabs>
          <w:tab w:leader="none" w:pos="10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pacing w:after="0" w:line="193" w:lineRule="exact"/>
        <w:rPr>
          <w:sz w:val="20"/>
          <w:szCs w:val="20"/>
          <w:color w:val="auto"/>
        </w:rPr>
      </w:pPr>
    </w:p>
    <w:p>
      <w:pPr>
        <w:ind w:left="1020" w:right="40" w:hanging="1417"/>
        <w:spacing w:after="0" w:line="259" w:lineRule="auto"/>
        <w:tabs>
          <w:tab w:leader="none" w:pos="10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our Current Report on Form 8-K filed December 12, 2012).</w:t>
      </w:r>
    </w:p>
    <w:p>
      <w:pPr>
        <w:spacing w:after="0" w:line="214" w:lineRule="exact"/>
        <w:rPr>
          <w:sz w:val="20"/>
          <w:szCs w:val="20"/>
          <w:color w:val="auto"/>
        </w:rPr>
      </w:pPr>
    </w:p>
    <w:p>
      <w:pPr>
        <w:ind w:left="1020" w:right="160" w:hanging="1417"/>
        <w:spacing w:after="0" w:line="259" w:lineRule="auto"/>
        <w:tabs>
          <w:tab w:leader="none" w:pos="10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214" w:lineRule="exact"/>
        <w:rPr>
          <w:sz w:val="20"/>
          <w:szCs w:val="20"/>
          <w:color w:val="auto"/>
        </w:rPr>
      </w:pPr>
    </w:p>
    <w:p>
      <w:pPr>
        <w:ind w:left="1020" w:right="300" w:hanging="1417"/>
        <w:spacing w:after="0" w:line="259" w:lineRule="auto"/>
        <w:tabs>
          <w:tab w:leader="none" w:pos="10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p>
    <w:p>
      <w:pPr>
        <w:spacing w:after="0" w:line="214" w:lineRule="exact"/>
        <w:rPr>
          <w:sz w:val="20"/>
          <w:szCs w:val="20"/>
          <w:color w:val="auto"/>
        </w:rPr>
      </w:pPr>
    </w:p>
    <w:p>
      <w:pPr>
        <w:ind w:left="1020" w:right="40" w:hanging="1417"/>
        <w:spacing w:after="0" w:line="286" w:lineRule="auto"/>
        <w:tabs>
          <w:tab w:leader="none" w:pos="10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7"/>
          <w:szCs w:val="17"/>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93" w:lineRule="exact"/>
        <w:rPr>
          <w:sz w:val="20"/>
          <w:szCs w:val="20"/>
          <w:color w:val="auto"/>
        </w:rPr>
      </w:pPr>
    </w:p>
    <w:p>
      <w:pPr>
        <w:ind w:left="1020" w:right="220" w:hanging="1417"/>
        <w:spacing w:after="0" w:line="259" w:lineRule="auto"/>
        <w:tabs>
          <w:tab w:leader="none" w:pos="10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214" w:lineRule="exact"/>
        <w:rPr>
          <w:sz w:val="20"/>
          <w:szCs w:val="20"/>
          <w:color w:val="auto"/>
        </w:rPr>
      </w:pPr>
    </w:p>
    <w:p>
      <w:pPr>
        <w:ind w:left="1020" w:right="80" w:hanging="1417"/>
        <w:spacing w:after="0" w:line="259" w:lineRule="auto"/>
        <w:tabs>
          <w:tab w:leader="none" w:pos="10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214" w:lineRule="exact"/>
        <w:rPr>
          <w:sz w:val="20"/>
          <w:szCs w:val="20"/>
          <w:color w:val="auto"/>
        </w:rPr>
      </w:pPr>
    </w:p>
    <w:p>
      <w:pPr>
        <w:ind w:left="1020" w:right="180" w:hanging="1417"/>
        <w:spacing w:after="0" w:line="259" w:lineRule="auto"/>
        <w:tabs>
          <w:tab w:leader="none" w:pos="10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20" w:right="100" w:hanging="1417"/>
        <w:spacing w:after="0" w:line="264" w:lineRule="auto"/>
        <w:tabs>
          <w:tab w:leader="none" w:pos="10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 Registration Rights Agreement dated September 3, 2009 by and between Plains All American Pipeline, L.P. and Vulcan Gas Storage LLC (incorporated by reference to Exhibit 4.1 to our Registration Statement on Form S-3, File No. 333-162477).</w:t>
      </w:r>
    </w:p>
    <w:p>
      <w:pPr>
        <w:spacing w:after="0" w:line="208" w:lineRule="exact"/>
        <w:rPr>
          <w:sz w:val="20"/>
          <w:szCs w:val="20"/>
          <w:color w:val="auto"/>
        </w:rPr>
      </w:pPr>
    </w:p>
    <w:p>
      <w:pPr>
        <w:ind w:left="1020" w:hanging="1417"/>
        <w:spacing w:after="0" w:line="254" w:lineRule="auto"/>
        <w:tabs>
          <w:tab w:leader="none" w:pos="1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364-Day Credit Agreement dated January 16, 2015 among Plains All American Pipeline, L.P.,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(incorporated by reference to Exhibit 10.1 to our Current Report on Form 8-K filed January 20, 2015).</w:t>
      </w:r>
    </w:p>
    <w:p>
      <w:pPr>
        <w:spacing w:after="0" w:line="21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Computation of Ratio of Earnings to Fixed Charges.</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Executive Officer pursuant to Exchange Act Rules 13a-14(a) and 15d-14(a).</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Financial Officer pursuant to Exchange Act Rules 13a-14(a) and 15d-14(a).</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Executive Officer pursuant to 18 U.S.C. 1350.</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Principal Financial Officer pursuant to 18 U.S.C. 1350.</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242570</wp:posOffset>
            </wp:positionV>
            <wp:extent cx="149161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40" w:hanging="63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720" w:hanging="71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200"/>
              <w:spacing w:after="0" w:line="201" w:lineRule="exact"/>
              <w:rPr>
                <w:sz w:val="20"/>
                <w:szCs w:val="20"/>
                <w:color w:val="auto"/>
              </w:rPr>
            </w:pPr>
            <w:r>
              <w:rPr>
                <w:rFonts w:ascii="Arial" w:cs="Arial" w:eastAsia="Arial" w:hAnsi="Arial"/>
                <w:sz w:val="18"/>
                <w:szCs w:val="18"/>
                <w:color w:val="auto"/>
              </w:rPr>
              <w:t>Pre-tax income from continuing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w w:val="98"/>
              </w:rPr>
              <w:t>operations before noncontrolling interests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income from equity investees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add: Distributed income of equity investees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Amortization of capitalized interest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Earnings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8"/>
                <w:szCs w:val="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expense</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200"/>
              <w:spacing w:after="0" w:line="201" w:lineRule="exact"/>
              <w:rPr>
                <w:sz w:val="20"/>
                <w:szCs w:val="20"/>
                <w:color w:val="auto"/>
              </w:rPr>
            </w:pPr>
            <w:r>
              <w:rPr>
                <w:rFonts w:ascii="Arial" w:cs="Arial" w:eastAsia="Arial" w:hAnsi="Arial"/>
                <w:sz w:val="18"/>
                <w:szCs w:val="18"/>
                <w:color w:val="auto"/>
              </w:rPr>
              <w:t>Portion of rent expense related to</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(33.33%)</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2.67 x</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93"/>
              </w:rPr>
              <w:t>4.30 x</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4.41 x</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3"/>
              </w:rPr>
              <w:t>4.03 x</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4.13 x</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2.57 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9"/>
                <w:szCs w:val="9"/>
                <w:b w:val="1"/>
                <w:bCs w:val="1"/>
                <w:color w:val="auto"/>
              </w:rPr>
              <w:t>(3)</w:t>
            </w:r>
          </w:p>
        </w:tc>
        <w:tc>
          <w:tcPr>
            <w:tcW w:w="10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right="40" w:hanging="358"/>
        <w:spacing w:after="0" w:line="257" w:lineRule="auto"/>
        <w:tabs>
          <w:tab w:leader="none" w:pos="360"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215" w:lineRule="exact"/>
        <w:rPr>
          <w:rFonts w:ascii="Arial" w:cs="Arial" w:eastAsia="Arial" w:hAnsi="Arial"/>
          <w:sz w:val="22"/>
          <w:szCs w:val="22"/>
          <w:color w:val="auto"/>
          <w:vertAlign w:val="superscript"/>
        </w:rPr>
      </w:pPr>
    </w:p>
    <w:p>
      <w:pPr>
        <w:jc w:val="both"/>
        <w:ind w:left="360" w:right="160" w:hanging="358"/>
        <w:spacing w:after="0" w:line="234" w:lineRule="auto"/>
        <w:tabs>
          <w:tab w:leader="none" w:pos="3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95" w:lineRule="exact"/>
        <w:rPr>
          <w:rFonts w:ascii="Arial" w:cs="Arial" w:eastAsia="Arial" w:hAnsi="Arial"/>
          <w:sz w:val="23"/>
          <w:szCs w:val="23"/>
          <w:color w:val="auto"/>
          <w:vertAlign w:val="superscript"/>
        </w:rPr>
      </w:pPr>
    </w:p>
    <w:p>
      <w:pPr>
        <w:ind w:left="600" w:hanging="598"/>
        <w:spacing w:after="0"/>
        <w:tabs>
          <w:tab w:leader="none" w:pos="60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278765</wp:posOffset>
            </wp:positionV>
            <wp:extent cx="584835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1" w:right="13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52" w:lineRule="exact"/>
        <w:rPr>
          <w:sz w:val="20"/>
          <w:szCs w:val="20"/>
          <w:color w:val="auto"/>
        </w:rPr>
      </w:pPr>
    </w:p>
    <w:p>
      <w:pPr>
        <w:ind w:left="860" w:hanging="2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52" w:lineRule="exact"/>
        <w:rPr>
          <w:rFonts w:ascii="Arial" w:cs="Arial" w:eastAsia="Arial" w:hAnsi="Arial"/>
          <w:sz w:val="18"/>
          <w:szCs w:val="18"/>
          <w:color w:val="auto"/>
        </w:rPr>
      </w:pPr>
    </w:p>
    <w:p>
      <w:pPr>
        <w:ind w:right="20" w:firstLine="642"/>
        <w:spacing w:after="0" w:line="264"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100" w:firstLine="642"/>
        <w:spacing w:after="0" w:line="342"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right="120" w:firstLine="642"/>
        <w:spacing w:after="0" w:line="291"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w:t>
      </w:r>
    </w:p>
    <w:p>
      <w:pPr>
        <w:spacing w:after="0"/>
        <w:rPr>
          <w:rFonts w:ascii="Arial" w:cs="Arial" w:eastAsia="Arial" w:hAnsi="Arial"/>
          <w:sz w:val="16"/>
          <w:szCs w:val="16"/>
          <w:color w:val="auto"/>
        </w:rPr>
      </w:pPr>
      <w:r>
        <w:rPr>
          <w:rFonts w:ascii="Arial" w:cs="Arial" w:eastAsia="Arial" w:hAnsi="Arial"/>
          <w:sz w:val="18"/>
          <w:szCs w:val="18"/>
          <w:color w:val="auto"/>
        </w:rPr>
        <w:t>Rules 13a-15(f) and 15d-15(f)) for the registrant and have:</w:t>
      </w:r>
    </w:p>
    <w:p>
      <w:pPr>
        <w:spacing w:after="0" w:line="238" w:lineRule="exact"/>
        <w:rPr>
          <w:sz w:val="20"/>
          <w:szCs w:val="20"/>
          <w:color w:val="auto"/>
        </w:rPr>
      </w:pPr>
    </w:p>
    <w:p>
      <w:pPr>
        <w:jc w:val="both"/>
        <w:ind w:right="280" w:firstLine="642"/>
        <w:spacing w:after="0" w:line="286"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right="20" w:firstLine="642"/>
        <w:spacing w:after="0" w:line="264"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642"/>
        <w:spacing w:after="0" w:line="342" w:lineRule="auto"/>
        <w:tabs>
          <w:tab w:leader="none" w:pos="13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right="460" w:firstLine="642"/>
        <w:spacing w:after="0" w:line="264"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680" w:firstLine="642"/>
        <w:spacing w:after="0" w:line="264"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sz w:val="20"/>
          <w:szCs w:val="20"/>
          <w:color w:val="auto"/>
        </w:rPr>
      </w:pPr>
    </w:p>
    <w:p>
      <w:pPr>
        <w:ind w:right="360" w:firstLine="642"/>
        <w:spacing w:after="0" w:line="342" w:lineRule="auto"/>
        <w:tabs>
          <w:tab w:leader="none" w:pos="13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right="740" w:firstLine="642"/>
        <w:spacing w:after="0" w:line="277"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319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310515</wp:posOffset>
            </wp:positionV>
            <wp:extent cx="667194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71945" cy="51435"/>
                    </a:xfrm>
                    <a:prstGeom prst="rect">
                      <a:avLst/>
                    </a:prstGeom>
                    <a:noFill/>
                  </pic:spPr>
                </pic:pic>
              </a:graphicData>
            </a:graphic>
          </wp:anchor>
        </w:drawing>
      </w:r>
    </w:p>
    <w:p>
      <w:pPr>
        <w:sectPr>
          <w:pgSz w:w="11900" w:h="16838" w:orient="portrait"/>
          <w:cols w:equalWidth="0" w:num="1">
            <w:col w:w="10440"/>
          </w:cols>
          <w:pgMar w:left="740" w:top="121" w:right="7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52" w:lineRule="exact"/>
        <w:rPr>
          <w:sz w:val="20"/>
          <w:szCs w:val="20"/>
          <w:color w:val="auto"/>
        </w:rPr>
      </w:pPr>
    </w:p>
    <w:p>
      <w:pPr>
        <w:ind w:left="860" w:hanging="218"/>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52" w:lineRule="exact"/>
        <w:rPr>
          <w:rFonts w:ascii="Arial" w:cs="Arial" w:eastAsia="Arial" w:hAnsi="Arial"/>
          <w:sz w:val="18"/>
          <w:szCs w:val="18"/>
          <w:color w:val="auto"/>
        </w:rPr>
      </w:pPr>
    </w:p>
    <w:p>
      <w:pPr>
        <w:ind w:right="20" w:firstLine="642"/>
        <w:spacing w:after="0" w:line="264"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100" w:firstLine="642"/>
        <w:spacing w:after="0" w:line="342"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right="120" w:firstLine="642"/>
        <w:spacing w:after="0" w:line="291" w:lineRule="auto"/>
        <w:tabs>
          <w:tab w:leader="none" w:pos="8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w:t>
      </w:r>
    </w:p>
    <w:p>
      <w:pPr>
        <w:spacing w:after="0"/>
        <w:rPr>
          <w:rFonts w:ascii="Arial" w:cs="Arial" w:eastAsia="Arial" w:hAnsi="Arial"/>
          <w:sz w:val="16"/>
          <w:szCs w:val="16"/>
          <w:color w:val="auto"/>
        </w:rPr>
      </w:pPr>
      <w:r>
        <w:rPr>
          <w:rFonts w:ascii="Arial" w:cs="Arial" w:eastAsia="Arial" w:hAnsi="Arial"/>
          <w:sz w:val="18"/>
          <w:szCs w:val="18"/>
          <w:color w:val="auto"/>
        </w:rPr>
        <w:t>Rules 13a-15(f) and 15d-15(f)) for the registrant and have:</w:t>
      </w:r>
    </w:p>
    <w:p>
      <w:pPr>
        <w:spacing w:after="0" w:line="238" w:lineRule="exact"/>
        <w:rPr>
          <w:sz w:val="20"/>
          <w:szCs w:val="20"/>
          <w:color w:val="auto"/>
        </w:rPr>
      </w:pPr>
    </w:p>
    <w:p>
      <w:pPr>
        <w:jc w:val="both"/>
        <w:ind w:right="280" w:firstLine="642"/>
        <w:spacing w:after="0" w:line="286"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right="20" w:firstLine="642"/>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642"/>
        <w:spacing w:after="0" w:line="342" w:lineRule="auto"/>
        <w:tabs>
          <w:tab w:leader="none" w:pos="13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right="460" w:firstLine="642"/>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680" w:firstLine="642"/>
        <w:spacing w:after="0" w:line="264" w:lineRule="auto"/>
        <w:tabs>
          <w:tab w:leader="none" w:pos="8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sz w:val="20"/>
          <w:szCs w:val="20"/>
          <w:color w:val="auto"/>
        </w:rPr>
      </w:pPr>
    </w:p>
    <w:p>
      <w:pPr>
        <w:ind w:right="360" w:firstLine="642"/>
        <w:spacing w:after="0" w:line="342" w:lineRule="auto"/>
        <w:tabs>
          <w:tab w:leader="none" w:pos="13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right="740" w:firstLine="642"/>
        <w:spacing w:after="0" w:line="277"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319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310515</wp:posOffset>
            </wp:positionV>
            <wp:extent cx="667194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71945" cy="51435"/>
                    </a:xfrm>
                    <a:prstGeom prst="rect">
                      <a:avLst/>
                    </a:prstGeom>
                    <a:noFill/>
                  </pic:spPr>
                </pic:pic>
              </a:graphicData>
            </a:graphic>
          </wp:anchor>
        </w:drawing>
      </w:r>
    </w:p>
    <w:p>
      <w:pPr>
        <w:sectPr>
          <w:pgSz w:w="11900" w:h="16838" w:orient="portrait"/>
          <w:cols w:equalWidth="0" w:num="1">
            <w:col w:w="10440"/>
          </w:cols>
          <w:pgMar w:left="740" w:top="121" w:right="7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Greg L. Armstrong, Chief Executive Officer of Plains All American Pipeline, L.P. (the “Company”), hereby certify that:</w:t>
      </w:r>
    </w:p>
    <w:p>
      <w:pPr>
        <w:spacing w:after="0" w:line="264" w:lineRule="exact"/>
        <w:rPr>
          <w:sz w:val="20"/>
          <w:szCs w:val="20"/>
          <w:color w:val="auto"/>
        </w:rPr>
      </w:pPr>
    </w:p>
    <w:p>
      <w:pPr>
        <w:ind w:firstLine="651"/>
        <w:spacing w:after="0" w:line="291" w:lineRule="auto"/>
        <w:tabs>
          <w:tab w:leader="none" w:pos="13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accompanying report on Form 10-Q for the period ended June 30, 2015 and filed with the Securities and Exchange Commission on the date hereof (the “Report”) by the Company fully complies with the requirements of</w:t>
      </w:r>
    </w:p>
    <w:p>
      <w:pPr>
        <w:spacing w:after="0"/>
        <w:rPr>
          <w:rFonts w:ascii="Arial" w:cs="Arial" w:eastAsia="Arial" w:hAnsi="Arial"/>
          <w:sz w:val="16"/>
          <w:szCs w:val="16"/>
          <w:color w:val="auto"/>
        </w:rPr>
      </w:pPr>
      <w:r>
        <w:rPr>
          <w:rFonts w:ascii="Arial" w:cs="Arial" w:eastAsia="Arial" w:hAnsi="Arial"/>
          <w:sz w:val="18"/>
          <w:szCs w:val="18"/>
          <w:color w:val="auto"/>
        </w:rPr>
        <w:t>Section 13(a) or 15(d) of the Securities Exchange Act of 1934, as amended; and</w:t>
      </w:r>
    </w:p>
    <w:p>
      <w:pPr>
        <w:spacing w:after="0" w:line="237" w:lineRule="exact"/>
        <w:rPr>
          <w:rFonts w:ascii="Arial" w:cs="Arial" w:eastAsia="Arial" w:hAnsi="Arial"/>
          <w:sz w:val="16"/>
          <w:szCs w:val="16"/>
          <w:color w:val="auto"/>
        </w:rPr>
      </w:pPr>
    </w:p>
    <w:p>
      <w:pPr>
        <w:ind w:right="140" w:firstLine="651"/>
        <w:spacing w:after="0" w:line="277"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Greg L. Armstrong</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-130175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310515</wp:posOffset>
            </wp:positionV>
            <wp:extent cx="584835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1" w:right="13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52" w:lineRule="exact"/>
        <w:rPr>
          <w:sz w:val="20"/>
          <w:szCs w:val="20"/>
          <w:color w:val="auto"/>
        </w:rPr>
      </w:pPr>
    </w:p>
    <w:p>
      <w:pPr>
        <w:ind w:firstLine="651"/>
        <w:spacing w:after="0" w:line="291" w:lineRule="auto"/>
        <w:tabs>
          <w:tab w:leader="none" w:pos="13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accompanying report on Form 10-Q for the period ended June 30, 2015 and filed with the Securities and Exchange Commission on the date hereof (the “Report”) by the Company fully complies with the requirements of</w:t>
      </w:r>
    </w:p>
    <w:p>
      <w:pPr>
        <w:spacing w:after="0"/>
        <w:rPr>
          <w:rFonts w:ascii="Arial" w:cs="Arial" w:eastAsia="Arial" w:hAnsi="Arial"/>
          <w:sz w:val="16"/>
          <w:szCs w:val="16"/>
          <w:color w:val="auto"/>
        </w:rPr>
      </w:pPr>
      <w:r>
        <w:rPr>
          <w:rFonts w:ascii="Arial" w:cs="Arial" w:eastAsia="Arial" w:hAnsi="Arial"/>
          <w:sz w:val="18"/>
          <w:szCs w:val="18"/>
          <w:color w:val="auto"/>
        </w:rPr>
        <w:t>Section 13(a) or 15(d) of the Securities Exchange Act of 1934, as amended; and</w:t>
      </w:r>
    </w:p>
    <w:p>
      <w:pPr>
        <w:spacing w:after="0" w:line="237" w:lineRule="exact"/>
        <w:rPr>
          <w:rFonts w:ascii="Arial" w:cs="Arial" w:eastAsia="Arial" w:hAnsi="Arial"/>
          <w:sz w:val="16"/>
          <w:szCs w:val="16"/>
          <w:color w:val="auto"/>
        </w:rPr>
      </w:pPr>
    </w:p>
    <w:p>
      <w:pPr>
        <w:ind w:right="140" w:firstLine="651"/>
        <w:spacing w:after="0" w:line="277" w:lineRule="auto"/>
        <w:tabs>
          <w:tab w:leader="none" w:pos="13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Al Swanson</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-130175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310515</wp:posOffset>
            </wp:positionV>
            <wp:extent cx="584835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2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lowerRoman"/>
      <w:start w:val="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3"/>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lowerRoman"/>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Roman"/>
      <w:start w:val="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5"/>
    </w:lvl>
  </w:abstractNum>
  <w:abstractNum w:abstractNumId="24">
    <w:nsid w:val="5C482A97"/>
    <w:multiLevelType w:val="hybridMultilevel"/>
    <w:lvl w:ilvl="0">
      <w:lvlJc w:val="left"/>
      <w:lvlText w:val="(%1)"/>
      <w:numFmt w:val="lowerRoman"/>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lowerRoman"/>
      <w:start w:val="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2020-01-24T05:31:56Z</dcterms:created>
  <dcterms:modified xsi:type="dcterms:W3CDTF">2020-01-24T05:31:56Z</dcterms:modified>
</cp:coreProperties>
</file>