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GP HOLDINGS, L.P.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Class A shares representing limited partner interests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72651A108</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6"/>
          </w:tcPr>
          <w:p>
            <w:pPr>
              <w:spacing w:after="0"/>
              <w:rPr>
                <w:sz w:val="20"/>
                <w:szCs w:val="20"/>
                <w:color w:val="auto"/>
              </w:rPr>
            </w:pPr>
            <w:r>
              <w:rPr>
                <w:rFonts w:ascii="Courier New" w:cs="Courier New" w:eastAsia="Courier New" w:hAnsi="Courier New"/>
                <w:sz w:val="18"/>
                <w:szCs w:val="18"/>
                <w:color w:val="auto"/>
                <w:w w:val="98"/>
              </w:rPr>
              <w:t>*The  remainder of this cover page shall</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be</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filled out for a reporting person's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filing on this form</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 respect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subject class of securities,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subsequent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1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containing</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information which  would  alter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disclosures provided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prior</w:t>
            </w:r>
          </w:p>
        </w:tc>
        <w:tc>
          <w:tcPr>
            <w:tcW w:w="1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cover page.</w:t>
            </w:r>
          </w:p>
        </w:tc>
        <w:tc>
          <w:tcPr>
            <w:tcW w:w="332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72651A108</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Goldman</w:t>
      </w:r>
      <w:r>
        <w:rPr>
          <w:sz w:val="20"/>
          <w:szCs w:val="20"/>
          <w:color w:val="auto"/>
        </w:rPr>
        <w:tab/>
      </w:r>
      <w:r>
        <w:rPr>
          <w:rFonts w:ascii="Courier New" w:cs="Courier New" w:eastAsia="Courier New" w:hAnsi="Courier New"/>
          <w:sz w:val="16"/>
          <w:szCs w:val="16"/>
          <w:color w:val="auto"/>
        </w:rPr>
        <w:t>Sachs Asset Management</w:t>
      </w:r>
    </w:p>
    <w:p>
      <w:pPr>
        <w:spacing w:after="0" w:line="4" w:lineRule="exact"/>
        <w:rPr>
          <w:sz w:val="24"/>
          <w:szCs w:val="24"/>
          <w:color w:val="auto"/>
        </w:rPr>
      </w:pPr>
    </w:p>
    <w:p>
      <w:pPr>
        <w:ind w:left="1160" w:right="2619"/>
        <w:spacing w:after="0" w:line="268" w:lineRule="auto"/>
        <w:rPr>
          <w:sz w:val="20"/>
          <w:szCs w:val="20"/>
          <w:color w:val="auto"/>
        </w:rPr>
      </w:pPr>
      <w:r>
        <w:rPr>
          <w:rFonts w:ascii="Courier New" w:cs="Courier New" w:eastAsia="Courier New" w:hAnsi="Courier New"/>
          <w:sz w:val="16"/>
          <w:szCs w:val="16"/>
          <w:color w:val="auto"/>
        </w:rPr>
        <w:t>(Goldman Sachs Asset Management, L.P., together with GS Investment Strategies, LLC, "Goldman Sachs Asset Management")</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447"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10,862,719</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10,862,719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10,862,719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80" w:right="2739" w:hanging="7172"/>
        <w:spacing w:after="0" w:line="399" w:lineRule="auto"/>
        <w:tabs>
          <w:tab w:leader="none" w:pos="64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8.2 %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9</w:t>
      </w:r>
    </w:p>
    <w:p>
      <w:pPr>
        <w:sectPr>
          <w:pgSz w:w="11900" w:h="16838" w:orient="portrait"/>
          <w:cols w:equalWidth="0" w:num="1">
            <w:col w:w="10219"/>
          </w:cols>
          <w:pgMar w:left="240"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60" w:type="dxa"/>
            <w:vAlign w:val="bottom"/>
          </w:tcPr>
          <w:p>
            <w:pPr>
              <w:spacing w:after="0"/>
              <w:rPr>
                <w:sz w:val="17"/>
                <w:szCs w:val="17"/>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PLAINS GP HOLDINGS, L.P.</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333 Clay Street, Suite 1600</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Name of Persons Filing:</w:t>
            </w:r>
          </w:p>
        </w:tc>
      </w:tr>
      <w:tr>
        <w:trPr>
          <w:trHeight w:val="405"/>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405"/>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 West Street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New York, NY  10282</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GOLDMAN SACHS ASSET MANAGEMENT, L.P. - Delaware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GS INVESTMENT STRATEGIES, LLC - Delaware</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A shares representing limited partner interests</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72651A108</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If this statement is filed pursuant to Rules 13d-1(b) or</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13d-2(b) or (c), check whether the person filing is a:</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Broker or dealer registered under Section 15 of the Act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 U.S.C. 78o).</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w w:val="97"/>
              </w:rPr>
              <w:t>Insurance company as defined in Section 3(a)(19) of the Act</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Act of 1940 (15 U.S.C. 80a-8).</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w w:val="95"/>
              </w:rPr>
              <w:t>(e).[X]</w:t>
            </w:r>
          </w:p>
        </w:tc>
        <w:tc>
          <w:tcPr>
            <w:tcW w:w="1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An investment adviser in accordance with</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 13d-1(b)(1)(ii)(E);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Goldman Sachs Asset Management, L.P.</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(f).[</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An employee benefit plan or endowment fund in accordance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Rule 13d-1(b)(1)(ii)(F);</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(g).[</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 parent holding company or control person in accordance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Rule 13d-1(b)(1)(ii)(G);</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(h).[</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 savings association as defined in Section 3(b) of the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Federal Deposit Insurance Act (12 U.S.C. 1813);</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(i).[</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A church plan that is excluded from the definition of an</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Act of 1940 (15 U.S.C. 80a-3);</w:t>
            </w:r>
          </w:p>
        </w:tc>
      </w:tr>
      <w:tr>
        <w:trPr>
          <w:trHeight w:val="405"/>
        </w:trPr>
        <w:tc>
          <w:tcPr>
            <w:tcW w:w="1800" w:type="dxa"/>
            <w:vAlign w:val="bottom"/>
          </w:tcPr>
          <w:p>
            <w:pPr>
              <w:ind w:left="1060"/>
              <w:spacing w:after="0"/>
              <w:rPr>
                <w:sz w:val="20"/>
                <w:szCs w:val="20"/>
                <w:color w:val="auto"/>
              </w:rPr>
            </w:pPr>
            <w:r>
              <w:rPr>
                <w:rFonts w:ascii="Courier New" w:cs="Courier New" w:eastAsia="Courier New" w:hAnsi="Courier New"/>
                <w:sz w:val="18"/>
                <w:szCs w:val="18"/>
                <w:color w:val="auto"/>
              </w:rPr>
              <w:t>(j).[</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Group, in accordance with Rule 13d-1(b)(1)(ii)(J).</w:t>
            </w:r>
          </w:p>
        </w:tc>
      </w:tr>
      <w:tr>
        <w:trPr>
          <w:trHeight w:val="405"/>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Pr>
          <w:p>
            <w:pPr>
              <w:ind w:left="1320"/>
              <w:spacing w:after="0"/>
              <w:rPr>
                <w:sz w:val="20"/>
                <w:szCs w:val="20"/>
                <w:color w:val="auto"/>
              </w:rPr>
            </w:pPr>
            <w:r>
              <w:rPr>
                <w:rFonts w:ascii="Courier New" w:cs="Courier New" w:eastAsia="Courier New" w:hAnsi="Courier New"/>
                <w:sz w:val="18"/>
                <w:szCs w:val="18"/>
                <w:color w:val="auto"/>
              </w:rPr>
              <w:t>Page 3 of 9</w:t>
            </w:r>
          </w:p>
        </w:tc>
      </w:tr>
    </w:tbl>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520" w:right="1440" w:bottom="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 to Item 9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response(s)to Item 11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18"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7"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209"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5"/>
              </w:rPr>
              <w:t>Person.</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ourier New" w:cs="Courier New" w:eastAsia="Courier New" w:hAnsi="Courier New"/>
                <w:sz w:val="18"/>
                <w:szCs w:val="18"/>
                <w:color w:val="auto"/>
                <w:w w:val="95"/>
              </w:rPr>
              <w:t>Clients</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22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Person(s) have or</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may have the</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right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40" w:type="dxa"/>
            <w:vAlign w:val="bottom"/>
          </w:tcPr>
          <w:p>
            <w:pPr>
              <w:spacing w:after="0"/>
              <w:rPr>
                <w:sz w:val="17"/>
                <w:szCs w:val="17"/>
                <w:color w:val="auto"/>
              </w:rPr>
            </w:pPr>
          </w:p>
        </w:tc>
        <w:tc>
          <w:tcPr>
            <w:tcW w:w="4000" w:type="dxa"/>
            <w:vAlign w:val="bottom"/>
            <w:gridSpan w:val="6"/>
          </w:tcPr>
          <w:p>
            <w:pPr>
              <w:ind w:left="560"/>
              <w:spacing w:after="0" w:line="203" w:lineRule="exact"/>
              <w:rPr>
                <w:sz w:val="20"/>
                <w:szCs w:val="20"/>
                <w:color w:val="auto"/>
              </w:rPr>
            </w:pPr>
            <w:r>
              <w:rPr>
                <w:rFonts w:ascii="Courier New" w:cs="Courier New" w:eastAsia="Courier New" w:hAnsi="Courier New"/>
                <w:sz w:val="18"/>
                <w:szCs w:val="18"/>
                <w:color w:val="auto"/>
                <w:w w:val="98"/>
              </w:rPr>
              <w:t>held  in their accounts. Clients</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power</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with</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than 5%  of  the  class  of</w:t>
            </w:r>
          </w:p>
        </w:tc>
      </w:tr>
      <w:tr>
        <w:trPr>
          <w:trHeight w:val="203"/>
        </w:trPr>
        <w:tc>
          <w:tcPr>
            <w:tcW w:w="1440" w:type="dxa"/>
            <w:vAlign w:val="bottom"/>
          </w:tcPr>
          <w:p>
            <w:pPr>
              <w:spacing w:after="0"/>
              <w:rPr>
                <w:sz w:val="17"/>
                <w:szCs w:val="17"/>
                <w:color w:val="auto"/>
              </w:rPr>
            </w:pPr>
          </w:p>
        </w:tc>
        <w:tc>
          <w:tcPr>
            <w:tcW w:w="5620" w:type="dxa"/>
            <w:vAlign w:val="bottom"/>
            <w:gridSpan w:val="8"/>
          </w:tcPr>
          <w:p>
            <w:pPr>
              <w:ind w:left="560"/>
              <w:spacing w:after="0" w:line="203" w:lineRule="exact"/>
              <w:rPr>
                <w:sz w:val="20"/>
                <w:szCs w:val="20"/>
                <w:color w:val="auto"/>
              </w:rPr>
            </w:pPr>
            <w:r>
              <w:rPr>
                <w:rFonts w:ascii="Courier New" w:cs="Courier New" w:eastAsia="Courier New" w:hAnsi="Courier New"/>
                <w:sz w:val="18"/>
                <w:szCs w:val="18"/>
                <w:color w:val="auto"/>
              </w:rPr>
              <w:t>securities to which this report relates are:</w:t>
            </w: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NONE</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the Subsidiary Which</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w:t>
            </w:r>
          </w:p>
        </w:tc>
      </w:tr>
      <w:tr>
        <w:trPr>
          <w:trHeight w:val="203"/>
        </w:trPr>
        <w:tc>
          <w:tcPr>
            <w:tcW w:w="1440" w:type="dxa"/>
            <w:vAlign w:val="bottom"/>
          </w:tcPr>
          <w:p>
            <w:pPr>
              <w:spacing w:after="0"/>
              <w:rPr>
                <w:sz w:val="17"/>
                <w:szCs w:val="17"/>
                <w:color w:val="auto"/>
              </w:rPr>
            </w:pPr>
          </w:p>
        </w:tc>
        <w:tc>
          <w:tcPr>
            <w:tcW w:w="226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00" w:type="dxa"/>
            <w:vAlign w:val="bottom"/>
            <w:gridSpan w:val="6"/>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bl>
    <w:p>
      <w:pPr>
        <w:spacing w:after="0" w:line="4" w:lineRule="exact"/>
        <w:rPr>
          <w:sz w:val="20"/>
          <w:szCs w:val="20"/>
          <w:color w:val="auto"/>
        </w:rPr>
      </w:pPr>
    </w:p>
    <w:p>
      <w:pPr>
        <w:ind w:left="2000" w:right="1779"/>
        <w:spacing w:after="0" w:line="237" w:lineRule="auto"/>
        <w:rPr>
          <w:sz w:val="20"/>
          <w:szCs w:val="20"/>
          <w:color w:val="auto"/>
        </w:rPr>
      </w:pPr>
      <w:r>
        <w:rPr>
          <w:rFonts w:ascii="Courier New" w:cs="Courier New" w:eastAsia="Courier New" w:hAnsi="Courier New"/>
          <w:sz w:val="18"/>
          <w:szCs w:val="18"/>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w:t>
      </w:r>
    </w:p>
    <w:p>
      <w:pPr>
        <w:spacing w:after="0" w:line="4" w:lineRule="exact"/>
        <w:rPr>
          <w:sz w:val="20"/>
          <w:szCs w:val="20"/>
          <w:color w:val="auto"/>
        </w:rPr>
      </w:pPr>
    </w:p>
    <w:p>
      <w:pPr>
        <w:ind w:right="2099" w:firstLine="8"/>
        <w:spacing w:after="0" w:line="237"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0219"/>
          </w:cols>
          <w:pgMar w:left="240" w:top="520" w:right="1440" w:bottom="0" w:gutter="0" w:footer="0" w:header="0"/>
          <w:type w:val="continuous"/>
        </w:sectPr>
      </w:pPr>
    </w:p>
    <w:bookmarkStart w:id="4" w:name="page5"/>
    <w:bookmarkEnd w:id="4"/>
    <w:p>
      <w:pPr>
        <w:ind w:left="2080"/>
        <w:spacing w:after="0"/>
        <w:rPr>
          <w:sz w:val="20"/>
          <w:szCs w:val="20"/>
          <w:color w:val="auto"/>
        </w:rPr>
      </w:pPr>
      <w:r>
        <w:rPr>
          <w:rFonts w:ascii="Courier New" w:cs="Courier New" w:eastAsia="Courier New" w:hAnsi="Courier New"/>
          <w:sz w:val="16"/>
          <w:szCs w:val="16"/>
          <w:color w:val="auto"/>
        </w:rPr>
        <w:t>Page 4 of 9</w:t>
      </w:r>
    </w:p>
    <w:p>
      <w:pPr>
        <w:sectPr>
          <w:pgSz w:w="11900" w:h="16838" w:orient="portrait"/>
          <w:cols w:equalWidth="0" w:num="1">
            <w:col w:w="9019"/>
          </w:cols>
          <w:pgMar w:left="1440" w:top="750"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2014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Brian</w:t>
      </w:r>
      <w:r>
        <w:rPr>
          <w:sz w:val="20"/>
          <w:szCs w:val="20"/>
          <w:color w:val="auto"/>
        </w:rPr>
        <w:tab/>
      </w:r>
      <w:r>
        <w:rPr>
          <w:rFonts w:ascii="Courier New" w:cs="Courier New" w:eastAsia="Courier New" w:hAnsi="Courier New"/>
          <w:sz w:val="16"/>
          <w:szCs w:val="16"/>
          <w:color w:val="auto"/>
        </w:rPr>
        <w:t>Bae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w:t>
      </w:r>
      <w:r>
        <w:rPr>
          <w:sz w:val="20"/>
          <w:szCs w:val="20"/>
          <w:color w:val="auto"/>
        </w:rPr>
        <w:tab/>
      </w:r>
      <w:r>
        <w:rPr>
          <w:rFonts w:ascii="Courier New" w:cs="Courier New" w:eastAsia="Courier New" w:hAnsi="Courier New"/>
          <w:sz w:val="16"/>
          <w:szCs w:val="16"/>
          <w:color w:val="auto"/>
        </w:rPr>
        <w:t>Bae</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Brian</w:t>
      </w:r>
      <w:r>
        <w:rPr>
          <w:sz w:val="20"/>
          <w:szCs w:val="20"/>
          <w:color w:val="auto"/>
        </w:rPr>
        <w:tab/>
      </w:r>
      <w:r>
        <w:rPr>
          <w:rFonts w:ascii="Courier New" w:cs="Courier New" w:eastAsia="Courier New" w:hAnsi="Courier New"/>
          <w:sz w:val="16"/>
          <w:szCs w:val="16"/>
          <w:color w:val="auto"/>
        </w:rPr>
        <w:t>Bae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w:t>
      </w:r>
      <w:r>
        <w:rPr>
          <w:sz w:val="20"/>
          <w:szCs w:val="20"/>
          <w:color w:val="auto"/>
        </w:rPr>
        <w:tab/>
      </w:r>
      <w:r>
        <w:rPr>
          <w:rFonts w:ascii="Courier New" w:cs="Courier New" w:eastAsia="Courier New" w:hAnsi="Courier New"/>
          <w:sz w:val="16"/>
          <w:szCs w:val="16"/>
          <w:color w:val="auto"/>
        </w:rPr>
        <w:t>Bae</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9</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4040" w:type="dxa"/>
            <w:vAlign w:val="bottom"/>
          </w:tcPr>
          <w:p>
            <w:pPr>
              <w:ind w:left="194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Exhibit No.</w:t>
            </w:r>
          </w:p>
        </w:tc>
        <w:tc>
          <w:tcPr>
            <w:tcW w:w="4040" w:type="dxa"/>
            <w:vAlign w:val="bottom"/>
          </w:tcPr>
          <w:p>
            <w:pPr>
              <w:ind w:left="11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40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99.1</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Joint Filing Agreement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99.2</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GOLDMAN SACHS ASSET MANAGEMENT, L.P.</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99.3</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219"/>
          </w:cols>
          <w:pgMar w:left="240" w:top="717"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Class A shares representing limited partner interests, of PLAINS GP HOLDINGS, L.P.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2014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Brian</w:t>
      </w:r>
      <w:r>
        <w:rPr>
          <w:sz w:val="20"/>
          <w:szCs w:val="20"/>
          <w:color w:val="auto"/>
        </w:rPr>
        <w:tab/>
      </w:r>
      <w:r>
        <w:rPr>
          <w:rFonts w:ascii="Courier New" w:cs="Courier New" w:eastAsia="Courier New" w:hAnsi="Courier New"/>
          <w:sz w:val="16"/>
          <w:szCs w:val="16"/>
          <w:color w:val="auto"/>
        </w:rPr>
        <w:t>Bae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w:t>
      </w:r>
      <w:r>
        <w:rPr>
          <w:sz w:val="20"/>
          <w:szCs w:val="20"/>
          <w:color w:val="auto"/>
        </w:rPr>
        <w:tab/>
      </w:r>
      <w:r>
        <w:rPr>
          <w:rFonts w:ascii="Courier New" w:cs="Courier New" w:eastAsia="Courier New" w:hAnsi="Courier New"/>
          <w:sz w:val="16"/>
          <w:szCs w:val="16"/>
          <w:color w:val="auto"/>
        </w:rPr>
        <w:t>Bae</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Brian</w:t>
      </w:r>
      <w:r>
        <w:rPr>
          <w:sz w:val="20"/>
          <w:szCs w:val="20"/>
          <w:color w:val="auto"/>
        </w:rPr>
        <w:tab/>
      </w:r>
      <w:r>
        <w:rPr>
          <w:rFonts w:ascii="Courier New" w:cs="Courier New" w:eastAsia="Courier New" w:hAnsi="Courier New"/>
          <w:sz w:val="16"/>
          <w:szCs w:val="16"/>
          <w:color w:val="auto"/>
        </w:rPr>
        <w:t>Bae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w:t>
      </w:r>
      <w:r>
        <w:rPr>
          <w:sz w:val="20"/>
          <w:szCs w:val="20"/>
          <w:color w:val="auto"/>
        </w:rPr>
        <w:tab/>
      </w:r>
      <w:r>
        <w:rPr>
          <w:rFonts w:ascii="Courier New" w:cs="Courier New" w:eastAsia="Courier New" w:hAnsi="Courier New"/>
          <w:sz w:val="16"/>
          <w:szCs w:val="16"/>
          <w:color w:val="auto"/>
        </w:rPr>
        <w:t>Bae</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219"/>
          </w:cols>
          <w:pgMar w:left="240" w:top="514"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ASSET MANAGEMENT, L.P.</w:t>
      </w:r>
    </w:p>
    <w:p>
      <w:pPr>
        <w:spacing w:after="0" w:line="238" w:lineRule="auto"/>
        <w:rPr>
          <w:sz w:val="20"/>
          <w:szCs w:val="20"/>
          <w:color w:val="auto"/>
        </w:rPr>
      </w:pPr>
      <w:r>
        <w:rPr>
          <w:rFonts w:ascii="Courier New" w:cs="Courier New" w:eastAsia="Courier New" w:hAnsi="Courier New"/>
          <w:sz w:val="18"/>
          <w:szCs w:val="18"/>
          <w:color w:val="auto"/>
        </w:rPr>
        <w:t>(the "Company") does hereby make, constitute and appoint each of Dan Deluca,</w:t>
      </w:r>
    </w:p>
    <w:p>
      <w:pPr>
        <w:spacing w:after="0"/>
        <w:rPr>
          <w:sz w:val="20"/>
          <w:szCs w:val="20"/>
          <w:color w:val="auto"/>
        </w:rPr>
      </w:pPr>
      <w:r>
        <w:rPr>
          <w:rFonts w:ascii="Courier New" w:cs="Courier New" w:eastAsia="Courier New" w:hAnsi="Courier New"/>
          <w:sz w:val="18"/>
          <w:szCs w:val="18"/>
          <w:color w:val="auto"/>
        </w:rPr>
        <w:t>Jeremy Kahn and Brian Bae (and any other employee of The Goldman Sachs Group,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or one of its affiliates designated in writing by one of the attorneys-in-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 acting individually, its true and lawful attorney, to execute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 in its name and on its behalf whether the Company is acting individually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as representative of others, any and all filings required to be made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under the Securities Exchange Act of 1934, (as amended, the "Act"),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to securities which may be deemed to be beneficially owned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under the Act, giving and granting unto each said attorney-in-fact power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authority to act in the premises as fully and to all intents and purposes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might or could do if personally present by one of its authorized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signatories,hereby ratifying and confirming all that said attorney-in-fact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lawfully do or cause to be done by virtue hereof.</w:t>
      </w:r>
    </w:p>
    <w:p>
      <w:pPr>
        <w:spacing w:after="0" w:line="207" w:lineRule="exact"/>
        <w:rPr>
          <w:sz w:val="20"/>
          <w:szCs w:val="20"/>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 The Company has the unrestricted right to unilaterally revoke this Power of Attorney.</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30,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Ellen R. Porges</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Ellen R. Porges</w:t>
      </w:r>
    </w:p>
    <w:p>
      <w:pPr>
        <w:spacing w:after="0" w:line="237" w:lineRule="auto"/>
        <w:rPr>
          <w:sz w:val="20"/>
          <w:szCs w:val="20"/>
          <w:color w:val="auto"/>
        </w:rPr>
      </w:pPr>
      <w:r>
        <w:rPr>
          <w:rFonts w:ascii="Courier New" w:cs="Courier New" w:eastAsia="Courier New" w:hAnsi="Courier New"/>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219"/>
          </w:cols>
          <w:pgMar w:left="240" w:top="514" w:right="1440" w:bottom="1440" w:gutter="0" w:footer="0" w:header="0"/>
        </w:sectPr>
      </w:pPr>
    </w:p>
    <w:bookmarkStart w:id="9" w:name="page10"/>
    <w:bookmarkEnd w:id="9"/>
    <w:p>
      <w:pPr>
        <w:jc w:val="right"/>
        <w:ind w:right="199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KNOW ALL PERSONS BY THESE PRESENTS that GS INVESTMENT STRATEGIES, LLC (the "Company") does hereby make, constitute and appoint each of Dan Deluca, Jeremy Kahn and Brian Bae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30,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GS INVESTMENT STRATEGIES,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Umit Alptuna</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Umit Alptuna</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9</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decimal"/>
      <w:start w:val="12"/>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2020-01-26T00:40:41Z</dcterms:created>
  <dcterms:modified xsi:type="dcterms:W3CDTF">2020-01-26T00:40:41Z</dcterms:modified>
</cp:coreProperties>
</file>