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alibri" w:cs="Calibri" w:eastAsia="Calibri" w:hAnsi="Calibri"/>
          <w:sz w:val="11"/>
          <w:szCs w:val="11"/>
          <w:color w:val="003366"/>
        </w:rPr>
        <w:t>TABLE OF CONTENTS</w:t>
      </w: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September 6, 2024</w:t>
      </w:r>
    </w:p>
    <w:p>
      <w:pPr>
        <w:spacing w:after="0" w:line="41" w:lineRule="exact"/>
        <w:rPr>
          <w:sz w:val="24"/>
          <w:szCs w:val="24"/>
          <w:color w:val="auto"/>
        </w:rPr>
      </w:pPr>
    </w:p>
    <w:p>
      <w:pPr>
        <w:jc w:val="right"/>
        <w:ind w:right="659"/>
        <w:spacing w:after="0"/>
        <w:rPr>
          <w:sz w:val="20"/>
          <w:szCs w:val="20"/>
          <w:color w:val="auto"/>
        </w:rPr>
      </w:pPr>
      <w:r>
        <w:rPr>
          <w:rFonts w:ascii="Times New Roman" w:cs="Times New Roman" w:eastAsia="Times New Roman" w:hAnsi="Times New Roman"/>
          <w:sz w:val="13"/>
          <w:szCs w:val="13"/>
          <w:b w:val="1"/>
          <w:bCs w:val="1"/>
          <w:color w:val="auto"/>
        </w:rPr>
        <w:t>Registration No. 333-              ​</w:t>
      </w:r>
    </w:p>
    <w:p>
      <w:pPr>
        <w:spacing w:after="0" w:line="17"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435610</wp:posOffset>
            </wp:positionH>
            <wp:positionV relativeFrom="paragraph">
              <wp:posOffset>-4445</wp:posOffset>
            </wp:positionV>
            <wp:extent cx="484886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48860" cy="13335"/>
                    </a:xfrm>
                    <a:prstGeom prst="rect">
                      <a:avLst/>
                    </a:prstGeom>
                    <a:noFill/>
                  </pic:spPr>
                </pic:pic>
              </a:graphicData>
            </a:graphic>
          </wp:anchor>
        </w:drawing>
        <w:drawing>
          <wp:anchor simplePos="0" relativeHeight="251657728" behindDoc="1" locked="0" layoutInCell="0" allowOverlap="1">
            <wp:simplePos x="0" y="0"/>
            <wp:positionH relativeFrom="column">
              <wp:posOffset>435610</wp:posOffset>
            </wp:positionH>
            <wp:positionV relativeFrom="paragraph">
              <wp:posOffset>28575</wp:posOffset>
            </wp:positionV>
            <wp:extent cx="48488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48860" cy="6985"/>
                    </a:xfrm>
                    <a:prstGeom prst="rect">
                      <a:avLst/>
                    </a:prstGeom>
                    <a:noFill/>
                  </pic:spPr>
                </pic:pic>
              </a:graphicData>
            </a:graphic>
          </wp:anchor>
        </w:drawing>
      </w:r>
    </w:p>
    <w:p>
      <w:pPr>
        <w:spacing w:after="0" w:line="7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UNITED STATES</w:t>
      </w:r>
    </w:p>
    <w:p>
      <w:pPr>
        <w:jc w:val="center"/>
        <w:spacing w:after="0" w:line="198" w:lineRule="auto"/>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50800</wp:posOffset>
            </wp:positionV>
            <wp:extent cx="96837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68375" cy="698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S-3</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REGISTRATION STATEMENT</w:t>
      </w:r>
    </w:p>
    <w:p>
      <w:pPr>
        <w:jc w:val="center"/>
        <w:ind w:right="39"/>
        <w:spacing w:after="0" w:line="193" w:lineRule="auto"/>
        <w:rPr>
          <w:sz w:val="20"/>
          <w:szCs w:val="20"/>
          <w:color w:val="auto"/>
        </w:rPr>
      </w:pPr>
      <w:r>
        <w:rPr>
          <w:rFonts w:ascii="Times New Roman" w:cs="Times New Roman" w:eastAsia="Times New Roman" w:hAnsi="Times New Roman"/>
          <w:sz w:val="14"/>
          <w:szCs w:val="14"/>
          <w:b w:val="1"/>
          <w:bCs w:val="1"/>
          <w:color w:val="auto"/>
        </w:rPr>
        <w:t>UNDER</w:t>
      </w: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THE SECURITIES ACT OF 1933</w:t>
      </w:r>
      <w:r>
        <w:rPr>
          <w:rFonts w:ascii="Times New Roman" w:cs="Times New Roman" w:eastAsia="Times New Roman" w:hAnsi="Times New Roman"/>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53975</wp:posOffset>
            </wp:positionV>
            <wp:extent cx="96837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68375" cy="6985"/>
                    </a:xfrm>
                    <a:prstGeom prst="rect">
                      <a:avLst/>
                    </a:prstGeom>
                    <a:noFill/>
                  </pic:spPr>
                </pic:pic>
              </a:graphicData>
            </a:graphic>
          </wp:anchor>
        </w:drawing>
      </w:r>
    </w:p>
    <w:p>
      <w:pPr>
        <w:spacing w:after="0" w:line="15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PLAINS ALL AMERICAN PIPELINE, L.P.</w:t>
      </w:r>
    </w:p>
    <w:p>
      <w:pPr>
        <w:jc w:val="center"/>
        <w:spacing w:after="0" w:line="187" w:lineRule="auto"/>
        <w:rPr>
          <w:sz w:val="20"/>
          <w:szCs w:val="20"/>
          <w:color w:val="auto"/>
        </w:rPr>
      </w:pPr>
      <w:r>
        <w:rPr>
          <w:rFonts w:ascii="Times New Roman" w:cs="Times New Roman" w:eastAsia="Times New Roman" w:hAnsi="Times New Roman"/>
          <w:sz w:val="20"/>
          <w:szCs w:val="20"/>
          <w:b w:val="1"/>
          <w:bCs w:val="1"/>
          <w:color w:val="auto"/>
        </w:rPr>
        <w:t>PAA FINANCE CORP.</w:t>
      </w:r>
    </w:p>
    <w:tbl>
      <w:tblPr>
        <w:tblLayout w:type="fixed"/>
        <w:tblInd w:w="680" w:type="dxa"/>
        <w:tblCellMar>
          <w:top w:w="0" w:type="dxa"/>
          <w:left w:w="0" w:type="dxa"/>
          <w:bottom w:w="0" w:type="dxa"/>
          <w:right w:w="0" w:type="dxa"/>
        </w:tblCellMar>
      </w:tblPr>
      <w:tr>
        <w:trPr>
          <w:trHeight w:val="165"/>
        </w:trPr>
        <w:tc>
          <w:tcPr>
            <w:tcW w:w="5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r>
              <w:rPr>
                <w:rFonts w:ascii="Times New Roman" w:cs="Times New Roman" w:eastAsia="Times New Roman" w:hAnsi="Times New Roman"/>
                <w:sz w:val="12"/>
                <w:szCs w:val="12"/>
                <w:color w:val="auto"/>
              </w:rPr>
              <w:t>​</w:t>
            </w:r>
          </w:p>
        </w:tc>
        <w:tc>
          <w:tcPr>
            <w:tcW w:w="17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9"/>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960" w:type="dxa"/>
            <w:vAlign w:val="bottom"/>
          </w:tcPr>
          <w:p>
            <w:pPr>
              <w:jc w:val="center"/>
              <w:ind w:left="560"/>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700" w:type="dxa"/>
            <w:vAlign w:val="bottom"/>
          </w:tcPr>
          <w:p>
            <w:pPr>
              <w:jc w:val="center"/>
              <w:ind w:right="20"/>
              <w:spacing w:after="0"/>
              <w:rPr>
                <w:sz w:val="20"/>
                <w:szCs w:val="20"/>
                <w:color w:val="auto"/>
              </w:rPr>
            </w:pPr>
            <w:r>
              <w:rPr>
                <w:rFonts w:ascii="Times New Roman" w:cs="Times New Roman" w:eastAsia="Times New Roman" w:hAnsi="Times New Roman"/>
                <w:sz w:val="13"/>
                <w:szCs w:val="13"/>
                <w:color w:val="auto"/>
              </w:rPr>
              <w:t>​ ​</w:t>
            </w:r>
          </w:p>
        </w:tc>
        <w:tc>
          <w:tcPr>
            <w:tcW w:w="1700" w:type="dxa"/>
            <w:vAlign w:val="bottom"/>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w w:val="92"/>
              </w:rPr>
              <w:t>76-0582150</w:t>
            </w:r>
          </w:p>
        </w:tc>
        <w:tc>
          <w:tcPr>
            <w:tcW w:w="740" w:type="dxa"/>
            <w:vAlign w:val="bottom"/>
          </w:tcPr>
          <w:p>
            <w:pPr>
              <w:ind w:left="72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67"/>
        </w:trPr>
        <w:tc>
          <w:tcPr>
            <w:tcW w:w="560" w:type="dxa"/>
            <w:vAlign w:val="bottom"/>
          </w:tcPr>
          <w:p>
            <w:pPr>
              <w:spacing w:after="0"/>
              <w:rPr>
                <w:sz w:val="14"/>
                <w:szCs w:val="14"/>
                <w:color w:val="auto"/>
              </w:rPr>
            </w:pPr>
          </w:p>
        </w:tc>
        <w:tc>
          <w:tcPr>
            <w:tcW w:w="1960" w:type="dxa"/>
            <w:vAlign w:val="bottom"/>
          </w:tcPr>
          <w:p>
            <w:pPr>
              <w:jc w:val="center"/>
              <w:ind w:left="600"/>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700" w:type="dxa"/>
            <w:vAlign w:val="bottom"/>
          </w:tcPr>
          <w:p>
            <w:pPr>
              <w:spacing w:after="0"/>
              <w:rPr>
                <w:sz w:val="14"/>
                <w:szCs w:val="14"/>
                <w:color w:val="auto"/>
              </w:rPr>
            </w:pPr>
          </w:p>
        </w:tc>
        <w:tc>
          <w:tcPr>
            <w:tcW w:w="1700" w:type="dxa"/>
            <w:vAlign w:val="bottom"/>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56-2464313</w:t>
            </w:r>
          </w:p>
        </w:tc>
        <w:tc>
          <w:tcPr>
            <w:tcW w:w="740" w:type="dxa"/>
            <w:vAlign w:val="bottom"/>
          </w:tcPr>
          <w:p>
            <w:pPr>
              <w:spacing w:after="0"/>
              <w:rPr>
                <w:sz w:val="14"/>
                <w:szCs w:val="14"/>
                <w:color w:val="auto"/>
              </w:rPr>
            </w:pPr>
          </w:p>
        </w:tc>
      </w:tr>
      <w:tr>
        <w:trPr>
          <w:trHeight w:val="131"/>
        </w:trPr>
        <w:tc>
          <w:tcPr>
            <w:tcW w:w="560" w:type="dxa"/>
            <w:vAlign w:val="bottom"/>
          </w:tcPr>
          <w:p>
            <w:pPr>
              <w:spacing w:after="0"/>
              <w:rPr>
                <w:sz w:val="11"/>
                <w:szCs w:val="11"/>
                <w:color w:val="auto"/>
              </w:rPr>
            </w:pPr>
          </w:p>
        </w:tc>
        <w:tc>
          <w:tcPr>
            <w:tcW w:w="1960" w:type="dxa"/>
            <w:vAlign w:val="bottom"/>
          </w:tcPr>
          <w:p>
            <w:pPr>
              <w:jc w:val="center"/>
              <w:ind w:left="560"/>
              <w:spacing w:after="0"/>
              <w:rPr>
                <w:sz w:val="20"/>
                <w:szCs w:val="20"/>
                <w:color w:val="auto"/>
              </w:rPr>
            </w:pPr>
            <w:r>
              <w:rPr>
                <w:rFonts w:ascii="Times New Roman" w:cs="Times New Roman" w:eastAsia="Times New Roman" w:hAnsi="Times New Roman"/>
                <w:sz w:val="11"/>
                <w:szCs w:val="11"/>
                <w:color w:val="auto"/>
              </w:rPr>
              <w:t>(State or Other Jurisdiction</w:t>
            </w:r>
          </w:p>
        </w:tc>
        <w:tc>
          <w:tcPr>
            <w:tcW w:w="2700" w:type="dxa"/>
            <w:vAlign w:val="bottom"/>
          </w:tcPr>
          <w:p>
            <w:pPr>
              <w:spacing w:after="0"/>
              <w:rPr>
                <w:sz w:val="11"/>
                <w:szCs w:val="11"/>
                <w:color w:val="auto"/>
              </w:rPr>
            </w:pPr>
          </w:p>
        </w:tc>
        <w:tc>
          <w:tcPr>
            <w:tcW w:w="1700" w:type="dxa"/>
            <w:vAlign w:val="bottom"/>
          </w:tcPr>
          <w:p>
            <w:pPr>
              <w:jc w:val="center"/>
              <w:ind w:right="580"/>
              <w:spacing w:after="0"/>
              <w:rPr>
                <w:sz w:val="20"/>
                <w:szCs w:val="20"/>
                <w:color w:val="auto"/>
              </w:rPr>
            </w:pPr>
            <w:r>
              <w:rPr>
                <w:rFonts w:ascii="Times New Roman" w:cs="Times New Roman" w:eastAsia="Times New Roman" w:hAnsi="Times New Roman"/>
                <w:sz w:val="11"/>
                <w:szCs w:val="11"/>
                <w:color w:val="auto"/>
              </w:rPr>
              <w:t>(I.R.S. Employer</w:t>
            </w:r>
          </w:p>
        </w:tc>
        <w:tc>
          <w:tcPr>
            <w:tcW w:w="740" w:type="dxa"/>
            <w:vAlign w:val="bottom"/>
          </w:tcPr>
          <w:p>
            <w:pPr>
              <w:spacing w:after="0"/>
              <w:rPr>
                <w:sz w:val="11"/>
                <w:szCs w:val="11"/>
                <w:color w:val="auto"/>
              </w:rPr>
            </w:pPr>
          </w:p>
        </w:tc>
      </w:tr>
      <w:tr>
        <w:trPr>
          <w:trHeight w:val="165"/>
        </w:trPr>
        <w:tc>
          <w:tcPr>
            <w:tcW w:w="560" w:type="dxa"/>
            <w:vAlign w:val="bottom"/>
          </w:tcPr>
          <w:p>
            <w:pPr>
              <w:spacing w:after="0"/>
              <w:rPr>
                <w:sz w:val="14"/>
                <w:szCs w:val="14"/>
                <w:color w:val="auto"/>
              </w:rPr>
            </w:pPr>
          </w:p>
        </w:tc>
        <w:tc>
          <w:tcPr>
            <w:tcW w:w="4660" w:type="dxa"/>
            <w:vAlign w:val="bottom"/>
            <w:gridSpan w:val="2"/>
          </w:tcPr>
          <w:p>
            <w:pPr>
              <w:jc w:val="center"/>
              <w:ind w:right="1940"/>
              <w:spacing w:after="0"/>
              <w:rPr>
                <w:sz w:val="20"/>
                <w:szCs w:val="20"/>
                <w:color w:val="auto"/>
              </w:rPr>
            </w:pPr>
            <w:r>
              <w:rPr>
                <w:rFonts w:ascii="Times New Roman" w:cs="Times New Roman" w:eastAsia="Times New Roman" w:hAnsi="Times New Roman"/>
                <w:sz w:val="11"/>
                <w:szCs w:val="11"/>
                <w:color w:val="auto"/>
              </w:rPr>
              <w:t>of Incorporation or Organization)</w:t>
            </w:r>
            <w:r>
              <w:rPr>
                <w:rFonts w:ascii="Times New Roman" w:cs="Times New Roman" w:eastAsia="Times New Roman" w:hAnsi="Times New Roman"/>
                <w:sz w:val="12"/>
                <w:szCs w:val="12"/>
                <w:color w:val="auto"/>
              </w:rPr>
              <w:t>​</w:t>
            </w:r>
          </w:p>
        </w:tc>
        <w:tc>
          <w:tcPr>
            <w:tcW w:w="1700" w:type="dxa"/>
            <w:vAlign w:val="bottom"/>
          </w:tcPr>
          <w:p>
            <w:pPr>
              <w:jc w:val="center"/>
              <w:ind w:right="560"/>
              <w:spacing w:after="0"/>
              <w:rPr>
                <w:sz w:val="20"/>
                <w:szCs w:val="20"/>
                <w:color w:val="auto"/>
              </w:rPr>
            </w:pPr>
            <w:r>
              <w:rPr>
                <w:rFonts w:ascii="Times New Roman" w:cs="Times New Roman" w:eastAsia="Times New Roman" w:hAnsi="Times New Roman"/>
                <w:sz w:val="11"/>
                <w:szCs w:val="11"/>
                <w:color w:val="auto"/>
              </w:rPr>
              <w:t>Identification No.)</w:t>
            </w:r>
          </w:p>
        </w:tc>
        <w:tc>
          <w:tcPr>
            <w:tcW w:w="740" w:type="dxa"/>
            <w:vAlign w:val="bottom"/>
          </w:tcPr>
          <w:p>
            <w:pPr>
              <w:spacing w:after="0"/>
              <w:rPr>
                <w:sz w:val="14"/>
                <w:szCs w:val="14"/>
                <w:color w:val="auto"/>
              </w:rPr>
            </w:pPr>
          </w:p>
        </w:tc>
      </w:tr>
    </w:tbl>
    <w:p>
      <w:pPr>
        <w:spacing w:after="0" w:line="129"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3"/>
          <w:szCs w:val="13"/>
          <w:b w:val="1"/>
          <w:bCs w:val="1"/>
          <w:color w:val="auto"/>
        </w:rPr>
        <w:t>333 Clay Street, Suite 1600</w:t>
      </w:r>
    </w:p>
    <w:p>
      <w:pPr>
        <w:spacing w:after="0" w:line="3"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3"/>
          <w:szCs w:val="13"/>
          <w:b w:val="1"/>
          <w:bCs w:val="1"/>
          <w:color w:val="auto"/>
        </w:rPr>
        <w:t>Houston, Texas 77002</w:t>
      </w:r>
    </w:p>
    <w:p>
      <w:pPr>
        <w:jc w:val="center"/>
        <w:spacing w:after="0" w:line="221" w:lineRule="auto"/>
        <w:rPr>
          <w:sz w:val="20"/>
          <w:szCs w:val="20"/>
          <w:color w:val="auto"/>
        </w:rPr>
      </w:pPr>
      <w:r>
        <w:rPr>
          <w:rFonts w:ascii="Times New Roman" w:cs="Times New Roman" w:eastAsia="Times New Roman" w:hAnsi="Times New Roman"/>
          <w:sz w:val="13"/>
          <w:szCs w:val="13"/>
          <w:b w:val="1"/>
          <w:bCs w:val="1"/>
          <w:color w:val="auto"/>
        </w:rPr>
        <w:t>(713) 646-4100</w:t>
      </w:r>
    </w:p>
    <w:p>
      <w:pPr>
        <w:jc w:val="center"/>
        <w:ind w:right="-20"/>
        <w:spacing w:after="0"/>
        <w:rPr>
          <w:sz w:val="20"/>
          <w:szCs w:val="20"/>
          <w:color w:val="auto"/>
        </w:rPr>
      </w:pPr>
      <w:r>
        <w:rPr>
          <w:rFonts w:ascii="Times New Roman" w:cs="Times New Roman" w:eastAsia="Times New Roman" w:hAnsi="Times New Roman"/>
          <w:sz w:val="11"/>
          <w:szCs w:val="11"/>
          <w:color w:val="auto"/>
        </w:rPr>
        <w:t>(Address, Including Zip Code, and Telephone Number, Including Area Code, of Registrant’s Principal Executive Offices)</w:t>
      </w:r>
      <w:r>
        <w:rPr>
          <w:rFonts w:ascii="Times New Roman" w:cs="Times New Roman" w:eastAsia="Times New Roman" w:hAnsi="Times New Roman"/>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58420</wp:posOffset>
            </wp:positionV>
            <wp:extent cx="96837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68375" cy="6985"/>
                    </a:xfrm>
                    <a:prstGeom prst="rect">
                      <a:avLst/>
                    </a:prstGeom>
                    <a:noFill/>
                  </pic:spPr>
                </pic:pic>
              </a:graphicData>
            </a:graphic>
          </wp:anchor>
        </w:drawing>
      </w:r>
    </w:p>
    <w:p>
      <w:pPr>
        <w:spacing w:after="0" w:line="1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Richard McGee</w:t>
      </w: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Executive Vice President, General</w:t>
      </w:r>
    </w:p>
    <w:p>
      <w:pPr>
        <w:jc w:val="center"/>
        <w:ind w:right="39"/>
        <w:spacing w:after="0" w:line="221" w:lineRule="auto"/>
        <w:rPr>
          <w:sz w:val="20"/>
          <w:szCs w:val="20"/>
          <w:color w:val="auto"/>
        </w:rPr>
      </w:pPr>
      <w:r>
        <w:rPr>
          <w:rFonts w:ascii="Times New Roman" w:cs="Times New Roman" w:eastAsia="Times New Roman" w:hAnsi="Times New Roman"/>
          <w:sz w:val="13"/>
          <w:szCs w:val="13"/>
          <w:b w:val="1"/>
          <w:bCs w:val="1"/>
          <w:color w:val="auto"/>
        </w:rPr>
        <w:t>Counsel and Secretary</w:t>
      </w:r>
    </w:p>
    <w:p>
      <w:pPr>
        <w:jc w:val="center"/>
        <w:ind w:right="39"/>
        <w:spacing w:after="0" w:line="221" w:lineRule="auto"/>
        <w:rPr>
          <w:sz w:val="20"/>
          <w:szCs w:val="20"/>
          <w:color w:val="auto"/>
        </w:rPr>
      </w:pPr>
      <w:r>
        <w:rPr>
          <w:rFonts w:ascii="Times New Roman" w:cs="Times New Roman" w:eastAsia="Times New Roman" w:hAnsi="Times New Roman"/>
          <w:sz w:val="13"/>
          <w:szCs w:val="13"/>
          <w:b w:val="1"/>
          <w:bCs w:val="1"/>
          <w:color w:val="auto"/>
        </w:rPr>
        <w:t>333 Clay Street, Suite 1600</w:t>
      </w:r>
    </w:p>
    <w:p>
      <w:pPr>
        <w:jc w:val="center"/>
        <w:ind w:right="39"/>
        <w:spacing w:after="0" w:line="238" w:lineRule="auto"/>
        <w:rPr>
          <w:sz w:val="20"/>
          <w:szCs w:val="20"/>
          <w:color w:val="auto"/>
        </w:rPr>
      </w:pPr>
      <w:r>
        <w:rPr>
          <w:rFonts w:ascii="Times New Roman" w:cs="Times New Roman" w:eastAsia="Times New Roman" w:hAnsi="Times New Roman"/>
          <w:sz w:val="13"/>
          <w:szCs w:val="13"/>
          <w:b w:val="1"/>
          <w:bCs w:val="1"/>
          <w:color w:val="auto"/>
        </w:rPr>
        <w:t>Houston, Texas 77002</w:t>
      </w:r>
    </w:p>
    <w:p>
      <w:pPr>
        <w:jc w:val="center"/>
        <w:spacing w:after="0"/>
        <w:rPr>
          <w:sz w:val="20"/>
          <w:szCs w:val="20"/>
          <w:color w:val="auto"/>
        </w:rPr>
      </w:pPr>
      <w:r>
        <w:rPr>
          <w:rFonts w:ascii="Times New Roman" w:cs="Times New Roman" w:eastAsia="Times New Roman" w:hAnsi="Times New Roman"/>
          <w:sz w:val="13"/>
          <w:szCs w:val="13"/>
          <w:b w:val="1"/>
          <w:bCs w:val="1"/>
          <w:color w:val="auto"/>
        </w:rPr>
        <w:t>(713) 646-4100</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57785</wp:posOffset>
            </wp:positionV>
            <wp:extent cx="96837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68375" cy="6985"/>
                    </a:xfrm>
                    <a:prstGeom prst="rect">
                      <a:avLst/>
                    </a:prstGeom>
                    <a:noFill/>
                  </pic:spPr>
                </pic:pic>
              </a:graphicData>
            </a:graphic>
          </wp:anchor>
        </w:drawing>
      </w:r>
    </w:p>
    <w:p>
      <w:pPr>
        <w:spacing w:after="0" w:line="1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Copies to:</w:t>
      </w:r>
    </w:p>
    <w:p>
      <w:pPr>
        <w:ind w:left="4060"/>
        <w:spacing w:after="0" w:line="227" w:lineRule="auto"/>
        <w:rPr>
          <w:sz w:val="20"/>
          <w:szCs w:val="20"/>
          <w:color w:val="auto"/>
        </w:rPr>
      </w:pPr>
      <w:r>
        <w:rPr>
          <w:rFonts w:ascii="Times New Roman" w:cs="Times New Roman" w:eastAsia="Times New Roman" w:hAnsi="Times New Roman"/>
          <w:sz w:val="13"/>
          <w:szCs w:val="13"/>
          <w:b w:val="1"/>
          <w:bCs w:val="1"/>
          <w:color w:val="auto"/>
        </w:rPr>
        <w:t>David P. Oelman</w:t>
      </w:r>
    </w:p>
    <w:p>
      <w:pPr>
        <w:ind w:left="4100"/>
        <w:spacing w:after="0"/>
        <w:rPr>
          <w:sz w:val="20"/>
          <w:szCs w:val="20"/>
          <w:color w:val="auto"/>
        </w:rPr>
      </w:pPr>
      <w:r>
        <w:rPr>
          <w:rFonts w:ascii="Times New Roman" w:cs="Times New Roman" w:eastAsia="Times New Roman" w:hAnsi="Times New Roman"/>
          <w:sz w:val="13"/>
          <w:szCs w:val="13"/>
          <w:b w:val="1"/>
          <w:bCs w:val="1"/>
          <w:color w:val="auto"/>
        </w:rPr>
        <w:t>Scott Rubinsky</w:t>
      </w:r>
    </w:p>
    <w:p>
      <w:pPr>
        <w:jc w:val="center"/>
        <w:ind w:right="39"/>
        <w:spacing w:after="0" w:line="221" w:lineRule="auto"/>
        <w:rPr>
          <w:sz w:val="20"/>
          <w:szCs w:val="20"/>
          <w:color w:val="auto"/>
        </w:rPr>
      </w:pPr>
      <w:r>
        <w:rPr>
          <w:rFonts w:ascii="Times New Roman" w:cs="Times New Roman" w:eastAsia="Times New Roman" w:hAnsi="Times New Roman"/>
          <w:sz w:val="13"/>
          <w:szCs w:val="13"/>
          <w:b w:val="1"/>
          <w:bCs w:val="1"/>
          <w:color w:val="auto"/>
        </w:rPr>
        <w:t>Vinson &amp; Elkins L.L.P.</w:t>
      </w:r>
    </w:p>
    <w:p>
      <w:pPr>
        <w:jc w:val="center"/>
        <w:ind w:right="39"/>
        <w:spacing w:after="0" w:line="221" w:lineRule="auto"/>
        <w:rPr>
          <w:sz w:val="20"/>
          <w:szCs w:val="20"/>
          <w:color w:val="auto"/>
        </w:rPr>
      </w:pPr>
      <w:r>
        <w:rPr>
          <w:rFonts w:ascii="Times New Roman" w:cs="Times New Roman" w:eastAsia="Times New Roman" w:hAnsi="Times New Roman"/>
          <w:sz w:val="13"/>
          <w:szCs w:val="13"/>
          <w:b w:val="1"/>
          <w:bCs w:val="1"/>
          <w:color w:val="auto"/>
        </w:rPr>
        <w:t>845 Texas Avenue, Suite 4700</w:t>
      </w:r>
    </w:p>
    <w:p>
      <w:pPr>
        <w:ind w:left="3920"/>
        <w:spacing w:after="0" w:line="238" w:lineRule="auto"/>
        <w:rPr>
          <w:sz w:val="20"/>
          <w:szCs w:val="20"/>
          <w:color w:val="auto"/>
        </w:rPr>
      </w:pPr>
      <w:r>
        <w:rPr>
          <w:rFonts w:ascii="Times New Roman" w:cs="Times New Roman" w:eastAsia="Times New Roman" w:hAnsi="Times New Roman"/>
          <w:sz w:val="13"/>
          <w:szCs w:val="13"/>
          <w:b w:val="1"/>
          <w:bCs w:val="1"/>
          <w:color w:val="auto"/>
        </w:rPr>
        <w:t>Houston, Texas 77002</w:t>
      </w:r>
    </w:p>
    <w:p>
      <w:pPr>
        <w:ind w:left="4120"/>
        <w:spacing w:after="0"/>
        <w:rPr>
          <w:sz w:val="20"/>
          <w:szCs w:val="20"/>
          <w:color w:val="auto"/>
        </w:rPr>
      </w:pPr>
      <w:r>
        <w:rPr>
          <w:rFonts w:ascii="Times New Roman" w:cs="Times New Roman" w:eastAsia="Times New Roman" w:hAnsi="Times New Roman"/>
          <w:sz w:val="13"/>
          <w:szCs w:val="13"/>
          <w:b w:val="1"/>
          <w:bCs w:val="1"/>
          <w:color w:val="auto"/>
        </w:rPr>
        <w:t>(713) 758-2222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50800</wp:posOffset>
            </wp:positionV>
            <wp:extent cx="96837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68375" cy="6985"/>
                    </a:xfrm>
                    <a:prstGeom prst="rect">
                      <a:avLst/>
                    </a:prstGeom>
                    <a:noFill/>
                  </pic:spPr>
                </pic:pic>
              </a:graphicData>
            </a:graphic>
          </wp:anchor>
        </w:drawing>
      </w:r>
    </w:p>
    <w:p>
      <w:pPr>
        <w:spacing w:after="0" w:line="1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Approximate date of commencement of proposed sale to the public:</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From time to time after the effective date of this Registration Statement.</w:t>
      </w:r>
    </w:p>
    <w:p>
      <w:pPr>
        <w:spacing w:after="0" w:line="27" w:lineRule="exact"/>
        <w:rPr>
          <w:sz w:val="24"/>
          <w:szCs w:val="24"/>
          <w:color w:val="auto"/>
        </w:rPr>
      </w:pPr>
    </w:p>
    <w:p>
      <w:pPr>
        <w:ind w:left="680" w:right="739" w:firstLine="282"/>
        <w:spacing w:after="0" w:line="167" w:lineRule="exact"/>
        <w:rPr>
          <w:sz w:val="20"/>
          <w:szCs w:val="20"/>
          <w:color w:val="auto"/>
        </w:rPr>
      </w:pPr>
      <w:r>
        <w:rPr>
          <w:rFonts w:ascii="Times New Roman" w:cs="Times New Roman" w:eastAsia="Times New Roman" w:hAnsi="Times New Roman"/>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6" w:lineRule="exact"/>
        <w:rPr>
          <w:sz w:val="24"/>
          <w:szCs w:val="24"/>
          <w:color w:val="auto"/>
        </w:rPr>
      </w:pPr>
    </w:p>
    <w:p>
      <w:pPr>
        <w:ind w:left="680" w:right="899" w:firstLine="282"/>
        <w:spacing w:after="0" w:line="157"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3"/>
          <w:szCs w:val="13"/>
          <w:color w:val="auto"/>
        </w:rPr>
        <w:t>☒</w:t>
      </w:r>
    </w:p>
    <w:p>
      <w:pPr>
        <w:spacing w:after="0" w:line="16" w:lineRule="exact"/>
        <w:rPr>
          <w:sz w:val="24"/>
          <w:szCs w:val="24"/>
          <w:color w:val="auto"/>
        </w:rPr>
      </w:pPr>
    </w:p>
    <w:p>
      <w:pPr>
        <w:ind w:left="680" w:right="819" w:firstLine="282"/>
        <w:spacing w:after="0" w:line="162"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6" w:lineRule="exact"/>
        <w:rPr>
          <w:sz w:val="24"/>
          <w:szCs w:val="24"/>
          <w:color w:val="auto"/>
        </w:rPr>
      </w:pPr>
    </w:p>
    <w:p>
      <w:pPr>
        <w:ind w:left="680" w:right="899" w:firstLine="282"/>
        <w:spacing w:after="0" w:line="162"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6" w:lineRule="exact"/>
        <w:rPr>
          <w:sz w:val="24"/>
          <w:szCs w:val="24"/>
          <w:color w:val="auto"/>
        </w:rPr>
      </w:pPr>
    </w:p>
    <w:p>
      <w:pPr>
        <w:ind w:left="680" w:right="1039" w:firstLine="282"/>
        <w:spacing w:after="0" w:line="162" w:lineRule="exact"/>
        <w:rPr>
          <w:sz w:val="20"/>
          <w:szCs w:val="20"/>
          <w:color w:val="auto"/>
        </w:rPr>
      </w:pPr>
      <w:r>
        <w:rPr>
          <w:rFonts w:ascii="Times New Roman" w:cs="Times New Roman" w:eastAsia="Times New Roman" w:hAnsi="Times New Roman"/>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16" w:lineRule="exact"/>
        <w:rPr>
          <w:sz w:val="24"/>
          <w:szCs w:val="24"/>
          <w:color w:val="auto"/>
        </w:rPr>
      </w:pPr>
    </w:p>
    <w:p>
      <w:pPr>
        <w:ind w:left="680" w:right="719" w:firstLine="282"/>
        <w:spacing w:after="0" w:line="162"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ectPr>
          <w:pgSz w:w="11900" w:h="16838" w:orient="portrait"/>
          <w:cols w:equalWidth="0" w:num="1">
            <w:col w:w="9019"/>
          </w:cols>
          <w:pgMar w:left="1440" w:top="192" w:right="1440" w:bottom="1440" w:gutter="0" w:footer="0" w:header="0"/>
        </w:sectPr>
      </w:pPr>
    </w:p>
    <w:p>
      <w:pPr>
        <w:spacing w:after="0" w:line="16" w:lineRule="exact"/>
        <w:rPr>
          <w:sz w:val="24"/>
          <w:szCs w:val="24"/>
          <w:color w:val="auto"/>
        </w:rPr>
      </w:pPr>
    </w:p>
    <w:p>
      <w:pPr>
        <w:ind w:left="680" w:firstLine="282"/>
        <w:spacing w:after="0" w:line="23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680" w:type="dxa"/>
        <w:tblCellMar>
          <w:top w:w="0" w:type="dxa"/>
          <w:left w:w="0" w:type="dxa"/>
          <w:bottom w:w="0" w:type="dxa"/>
          <w:right w:w="0" w:type="dxa"/>
        </w:tblCellMar>
      </w:tblPr>
      <w:tr>
        <w:trPr>
          <w:trHeight w:val="167"/>
        </w:trPr>
        <w:tc>
          <w:tcPr>
            <w:tcW w:w="1520" w:type="dxa"/>
            <w:vAlign w:val="bottom"/>
          </w:tcPr>
          <w:p>
            <w:pPr>
              <w:spacing w:after="0" w:line="150" w:lineRule="exact"/>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p>
        </w:tc>
        <w:tc>
          <w:tcPr>
            <w:tcW w:w="3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ind w:left="40"/>
              <w:spacing w:after="0" w:line="150" w:lineRule="exact"/>
              <w:rPr>
                <w:sz w:val="20"/>
                <w:szCs w:val="20"/>
                <w:color w:val="auto"/>
              </w:rPr>
            </w:pP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40" w:type="dxa"/>
            <w:vAlign w:val="bottom"/>
          </w:tcPr>
          <w:p>
            <w:pPr>
              <w:ind w:left="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38"/>
        </w:trPr>
        <w:tc>
          <w:tcPr>
            <w:tcW w:w="15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Emerging growth company</w:t>
            </w:r>
          </w:p>
        </w:tc>
        <w:tc>
          <w:tcPr>
            <w:tcW w:w="140" w:type="dxa"/>
            <w:vAlign w:val="bottom"/>
          </w:tcPr>
          <w:p>
            <w:pPr>
              <w:ind w:left="2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206" w:lineRule="exact"/>
        <w:rPr>
          <w:sz w:val="24"/>
          <w:szCs w:val="24"/>
          <w:color w:val="auto"/>
        </w:rPr>
      </w:pPr>
    </w:p>
    <w:p>
      <w:pPr>
        <w:sectPr>
          <w:pgSz w:w="11900" w:h="16838" w:orient="portrait"/>
          <w:cols w:equalWidth="0" w:num="2">
            <w:col w:w="8220" w:space="80"/>
            <w:col w:w="719"/>
          </w:cols>
          <w:pgMar w:left="1440" w:top="192" w:right="1440" w:bottom="1440" w:gutter="0" w:footer="0" w:header="0"/>
          <w:type w:val="continuous"/>
        </w:sectPr>
      </w:pPr>
    </w:p>
    <w:p>
      <w:pPr>
        <w:ind w:left="680" w:right="1199" w:firstLine="282"/>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435610</wp:posOffset>
            </wp:positionH>
            <wp:positionV relativeFrom="paragraph">
              <wp:posOffset>37465</wp:posOffset>
            </wp:positionV>
            <wp:extent cx="484886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48860" cy="6985"/>
                    </a:xfrm>
                    <a:prstGeom prst="rect">
                      <a:avLst/>
                    </a:prstGeom>
                    <a:noFill/>
                  </pic:spPr>
                </pic:pic>
              </a:graphicData>
            </a:graphic>
          </wp:anchor>
        </w:drawing>
      </w:r>
    </w:p>
    <w:p>
      <w:pPr>
        <w:spacing w:after="0" w:line="44"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435610</wp:posOffset>
            </wp:positionH>
            <wp:positionV relativeFrom="paragraph">
              <wp:posOffset>1905</wp:posOffset>
            </wp:positionV>
            <wp:extent cx="4848860" cy="13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848860" cy="13335"/>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197485</wp:posOffset>
            </wp:positionV>
            <wp:extent cx="53581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92" w:right="1440" w:bottom="1440" w:gutter="0" w:footer="0" w:header="0"/>
          <w:type w:val="continuous"/>
        </w:sectPr>
      </w:pPr>
    </w:p>
    <w:bookmarkStart w:id="1" w:name="page2"/>
    <w:bookmarkEnd w:id="1"/>
    <w:p>
      <w:pPr>
        <w:ind w:left="300"/>
        <w:spacing w:after="0"/>
        <w:rPr>
          <w:sz w:val="20"/>
          <w:szCs w:val="20"/>
          <w:color w:val="auto"/>
        </w:rPr>
      </w:pPr>
      <w:r>
        <w:rPr>
          <w:rFonts w:ascii="Calibri" w:cs="Calibri" w:eastAsia="Calibri" w:hAnsi="Calibri"/>
          <w:sz w:val="11"/>
          <w:szCs w:val="11"/>
          <w:color w:val="003366"/>
        </w:rPr>
        <w:t>TABLE OF CONTENTS</w:t>
      </w:r>
    </w:p>
    <w:p>
      <w:pPr>
        <w:spacing w:after="0" w:line="38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PLAINS ALL AMERICAN PIPELINE, L.P.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PAA FINANCE CORP.</w:t>
      </w:r>
    </w:p>
    <w:p>
      <w:pPr>
        <w:spacing w:after="0" w:line="31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Common Units</w:t>
      </w:r>
    </w:p>
    <w:p>
      <w:pPr>
        <w:spacing w:after="0" w:line="1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Preferred Units</w:t>
      </w:r>
    </w:p>
    <w:p>
      <w:pPr>
        <w:spacing w:after="0" w:line="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Debt Securities</w:t>
      </w:r>
    </w:p>
    <w:p>
      <w:pPr>
        <w:spacing w:after="0" w:line="90" w:lineRule="exact"/>
        <w:rPr>
          <w:sz w:val="20"/>
          <w:szCs w:val="20"/>
          <w:color w:val="auto"/>
        </w:rPr>
      </w:pPr>
    </w:p>
    <w:p>
      <w:pPr>
        <w:ind w:left="1280" w:right="1299" w:firstLine="282"/>
        <w:spacing w:after="0" w:line="261" w:lineRule="auto"/>
        <w:rPr>
          <w:sz w:val="20"/>
          <w:szCs w:val="20"/>
          <w:color w:val="auto"/>
        </w:rPr>
      </w:pPr>
      <w:r>
        <w:rPr>
          <w:rFonts w:ascii="Times New Roman" w:cs="Times New Roman" w:eastAsia="Times New Roman" w:hAnsi="Times New Roman"/>
          <w:sz w:val="14"/>
          <w:szCs w:val="14"/>
          <w:color w:val="auto"/>
        </w:rPr>
        <w:t>We may offer and sell common units representing limited partner interests in Plains All American Pipeline, L.P., preferred units representing limited partner interests in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w:t>
      </w:r>
    </w:p>
    <w:p>
      <w:pPr>
        <w:spacing w:after="0" w:line="78" w:lineRule="exact"/>
        <w:rPr>
          <w:sz w:val="20"/>
          <w:szCs w:val="20"/>
          <w:color w:val="auto"/>
        </w:rPr>
      </w:pPr>
    </w:p>
    <w:p>
      <w:pPr>
        <w:ind w:left="1280" w:right="1419" w:firstLine="282"/>
        <w:spacing w:after="0" w:line="258" w:lineRule="auto"/>
        <w:rPr>
          <w:sz w:val="20"/>
          <w:szCs w:val="20"/>
          <w:color w:val="auto"/>
        </w:rPr>
      </w:pPr>
      <w:r>
        <w:rPr>
          <w:rFonts w:ascii="Times New Roman" w:cs="Times New Roman" w:eastAsia="Times New Roman" w:hAnsi="Times New Roman"/>
          <w:sz w:val="14"/>
          <w:szCs w:val="14"/>
          <w:color w:val="auto"/>
        </w:rPr>
        <w:t>We may offer and sell these securities to or through one or more underwriters, dealers and agents, or directly to purchasers, on a continuous or delayed basis. This prospectus describes the general terms of these common units, preferred units and debt securities and the general manner in which we will offer the common units, preferred units and debt securities. The specific terms of any common units, preferred units or debt securities we offer will be included in a supplement to this prospectus. The prospectus supplement will also describe the specific manner in which we will offer the common units, preferred units or debt securities.</w:t>
      </w:r>
    </w:p>
    <w:p>
      <w:pPr>
        <w:spacing w:after="0" w:line="262" w:lineRule="exact"/>
        <w:rPr>
          <w:sz w:val="20"/>
          <w:szCs w:val="20"/>
          <w:color w:val="auto"/>
        </w:rPr>
      </w:pPr>
    </w:p>
    <w:p>
      <w:pPr>
        <w:ind w:left="1280" w:right="1339" w:firstLine="282"/>
        <w:spacing w:after="0" w:line="301" w:lineRule="auto"/>
        <w:rPr>
          <w:sz w:val="20"/>
          <w:szCs w:val="20"/>
          <w:color w:val="auto"/>
        </w:rPr>
      </w:pPr>
      <w:r>
        <w:rPr>
          <w:rFonts w:ascii="Times New Roman" w:cs="Times New Roman" w:eastAsia="Times New Roman" w:hAnsi="Times New Roman"/>
          <w:sz w:val="13"/>
          <w:szCs w:val="13"/>
          <w:b w:val="1"/>
          <w:bCs w:val="1"/>
          <w:color w:val="auto"/>
        </w:rPr>
        <w:t xml:space="preserve">Investing in our common units, preferred units and debt securities involves risks. Limited partnerships are inherently different from corporations. You should carefully consider the risk factors described under “Risk Factors” beginning on page </w:t>
      </w:r>
      <w:r>
        <w:rPr>
          <w:rFonts w:ascii="Times New Roman" w:cs="Times New Roman" w:eastAsia="Times New Roman" w:hAnsi="Times New Roman"/>
          <w:sz w:val="13"/>
          <w:szCs w:val="13"/>
          <w:b w:val="1"/>
          <w:bCs w:val="1"/>
          <w:u w:val="single" w:color="auto"/>
          <w:color w:val="0000EE"/>
        </w:rPr>
        <w:t>3</w:t>
      </w:r>
      <w:r>
        <w:rPr>
          <w:rFonts w:ascii="Times New Roman" w:cs="Times New Roman" w:eastAsia="Times New Roman" w:hAnsi="Times New Roman"/>
          <w:sz w:val="13"/>
          <w:szCs w:val="13"/>
          <w:b w:val="1"/>
          <w:bCs w:val="1"/>
          <w:color w:val="auto"/>
        </w:rPr>
        <w:t xml:space="preserve"> of this prospectus before you make an investment in our securities.</w:t>
      </w:r>
    </w:p>
    <w:p>
      <w:pPr>
        <w:spacing w:after="0" w:line="64" w:lineRule="exact"/>
        <w:rPr>
          <w:sz w:val="20"/>
          <w:szCs w:val="20"/>
          <w:color w:val="auto"/>
        </w:rPr>
      </w:pPr>
    </w:p>
    <w:p>
      <w:pPr>
        <w:jc w:val="both"/>
        <w:ind w:left="1280" w:right="1479" w:firstLine="282"/>
        <w:spacing w:after="0" w:line="269" w:lineRule="auto"/>
        <w:rPr>
          <w:sz w:val="20"/>
          <w:szCs w:val="20"/>
          <w:color w:val="auto"/>
        </w:rPr>
      </w:pPr>
      <w:r>
        <w:rPr>
          <w:rFonts w:ascii="Times New Roman" w:cs="Times New Roman" w:eastAsia="Times New Roman" w:hAnsi="Times New Roman"/>
          <w:sz w:val="14"/>
          <w:szCs w:val="14"/>
          <w:color w:val="auto"/>
        </w:rPr>
        <w:t>Our common units are traded on the Nasdaq Global Select Market under the symbol “PAA.” We will provide information in the prospectus supplement for the trading market, if any, for any preferred units or debt securities we may offer.</w:t>
      </w:r>
    </w:p>
    <w:p>
      <w:pPr>
        <w:spacing w:after="0" w:line="71" w:lineRule="exact"/>
        <w:rPr>
          <w:sz w:val="20"/>
          <w:szCs w:val="20"/>
          <w:color w:val="auto"/>
        </w:rPr>
      </w:pPr>
    </w:p>
    <w:p>
      <w:pPr>
        <w:ind w:left="1280" w:right="1319" w:firstLine="282"/>
        <w:spacing w:after="0" w:line="271" w:lineRule="auto"/>
        <w:rPr>
          <w:sz w:val="20"/>
          <w:szCs w:val="20"/>
          <w:color w:val="auto"/>
        </w:rPr>
      </w:pPr>
      <w:r>
        <w:rPr>
          <w:rFonts w:ascii="Times New Roman" w:cs="Times New Roman" w:eastAsia="Times New Roman" w:hAnsi="Times New Roman"/>
          <w:sz w:val="14"/>
          <w:szCs w:val="14"/>
          <w:b w:val="1"/>
          <w:bCs w:val="1"/>
          <w:color w:val="auto"/>
        </w:rPr>
        <w:t>Neither the U.S. Securities and Exchange Commission nor any state securities commission has approved or disapproved these securities or determined if this prospectus is truthful or complete. Any representation to the contrary is a criminal offense.</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date of this prospectus is September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2222500</wp:posOffset>
            </wp:positionV>
            <wp:extent cx="53581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 w:name="page3"/>
    <w:bookmarkEnd w:id="2"/>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12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5040" w:type="dxa"/>
            <w:vAlign w:val="bottom"/>
            <w:gridSpan w:val="15"/>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0000EE"/>
              </w:rPr>
              <w:t>About This Prospectus</w:t>
            </w:r>
          </w:p>
        </w:tc>
        <w:tc>
          <w:tcPr>
            <w:tcW w:w="1400" w:type="dxa"/>
            <w:vAlign w:val="bottom"/>
            <w:gridSpan w:val="4"/>
            <w:shd w:val="clear" w:color="auto" w:fill="CCEEFF"/>
          </w:tcPr>
          <w:p>
            <w:pPr>
              <w:jc w:val="right"/>
              <w:ind w:right="15"/>
              <w:spacing w:after="0" w:line="107"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0000EE"/>
              </w:rPr>
              <w:t>ii</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80" w:type="dxa"/>
            <w:vAlign w:val="bottom"/>
            <w:tcBorders>
              <w:right w:val="single" w:sz="8" w:color="0000EE"/>
            </w:tcBorders>
            <w:shd w:val="clear" w:color="auto" w:fill="CCEEFF"/>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060" w:type="dxa"/>
            <w:vAlign w:val="bottom"/>
            <w:gridSpan w:val="16"/>
          </w:tcPr>
          <w:p>
            <w:pPr>
              <w:spacing w:after="0" w:line="159"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1240" w:type="dxa"/>
            <w:vAlign w:val="bottom"/>
          </w:tcPr>
          <w:p>
            <w:pPr>
              <w:spacing w:after="0"/>
              <w:rPr>
                <w:sz w:val="13"/>
                <w:szCs w:val="13"/>
                <w:color w:val="auto"/>
              </w:rPr>
            </w:pPr>
          </w:p>
        </w:tc>
        <w:tc>
          <w:tcPr>
            <w:tcW w:w="14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0000EE"/>
              </w:rPr>
              <w:t>iii</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360" w:type="dxa"/>
            <w:vAlign w:val="bottom"/>
            <w:gridSpan w:val="12"/>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20" w:type="dxa"/>
            <w:vAlign w:val="bottom"/>
            <w:tcBorders>
              <w:right w:val="single" w:sz="8" w:color="0000EE"/>
            </w:tcBorders>
            <w:gridSpan w:val="2"/>
            <w:shd w:val="clear" w:color="auto" w:fill="0000EE"/>
          </w:tcPr>
          <w:p>
            <w:pPr>
              <w:ind w:left="1100"/>
              <w:spacing w:after="0" w:line="10" w:lineRule="exact"/>
              <w:rPr>
                <w:sz w:val="20"/>
                <w:szCs w:val="20"/>
                <w:color w:val="auto"/>
              </w:rPr>
            </w:pPr>
            <w:r>
              <w:rPr>
                <w:rFonts w:ascii="Times New Roman" w:cs="Times New Roman" w:eastAsia="Times New Roman" w:hAnsi="Times New Roman"/>
                <w:sz w:val="1"/>
                <w:szCs w:val="1"/>
                <w:color w:val="auto"/>
              </w:rPr>
              <w:t>​ ​</w:t>
            </w:r>
            <w:r>
              <w:rPr>
                <w:rFonts w:ascii="Times New Roman" w:cs="Times New Roman" w:eastAsia="Times New Roman" w:hAnsi="Times New Roman"/>
                <w:sz w:val="1"/>
                <w:szCs w:val="1"/>
                <w:b w:val="1"/>
                <w:bCs w:val="1"/>
                <w:color w:val="auto"/>
              </w:rPr>
              <w:t>​</w:t>
            </w:r>
          </w:p>
        </w:tc>
        <w:tc>
          <w:tcPr>
            <w:tcW w:w="6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0000EE"/>
              </w:rPr>
              <w:t>Forward-Looking Statements</w:t>
            </w:r>
          </w:p>
        </w:tc>
        <w:tc>
          <w:tcPr>
            <w:tcW w:w="124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0000EE"/>
              </w:rPr>
              <w:t>iv</w:t>
            </w:r>
          </w:p>
        </w:tc>
        <w:tc>
          <w:tcPr>
            <w:tcW w:w="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shd w:val="clear" w:color="auto" w:fill="0000EE"/>
          </w:tcPr>
          <w:p>
            <w:pPr>
              <w:spacing w:after="0" w:line="20" w:lineRule="exact"/>
              <w:rPr>
                <w:sz w:val="1"/>
                <w:szCs w:val="1"/>
                <w:color w:val="auto"/>
              </w:rPr>
            </w:pPr>
          </w:p>
        </w:tc>
        <w:tc>
          <w:tcPr>
            <w:tcW w:w="1720" w:type="dxa"/>
            <w:vAlign w:val="bottom"/>
            <w:tcBorders>
              <w:bottom w:val="single" w:sz="8" w:color="CCEEFF"/>
            </w:tcBorders>
            <w:gridSpan w:val="8"/>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32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360" w:type="dxa"/>
            <w:vAlign w:val="bottom"/>
            <w:tcBorders>
              <w:bottom w:val="single" w:sz="8" w:color="CCEEFF"/>
            </w:tcBorders>
            <w:gridSpan w:val="2"/>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380" w:type="dxa"/>
            <w:vAlign w:val="bottom"/>
            <w:tcBorders>
              <w:bottom w:val="single" w:sz="8" w:color="CCEEFF"/>
            </w:tcBorders>
            <w:shd w:val="clear" w:color="auto" w:fill="CCEEFF"/>
          </w:tcPr>
          <w:p>
            <w:pPr>
              <w:spacing w:after="0" w:line="20" w:lineRule="exact"/>
              <w:rPr>
                <w:sz w:val="1"/>
                <w:szCs w:val="1"/>
                <w:color w:val="auto"/>
              </w:rPr>
            </w:pPr>
          </w:p>
        </w:tc>
        <w:tc>
          <w:tcPr>
            <w:tcW w:w="2160" w:type="dxa"/>
            <w:vAlign w:val="bottom"/>
            <w:tcBorders>
              <w:bottom w:val="single" w:sz="8" w:color="CCEEFF"/>
            </w:tcBorders>
            <w:shd w:val="clear" w:color="auto" w:fill="CCEEFF"/>
          </w:tcPr>
          <w:p>
            <w:pPr>
              <w:spacing w:after="0" w:line="20" w:lineRule="exact"/>
              <w:rPr>
                <w:sz w:val="1"/>
                <w:szCs w:val="1"/>
                <w:color w:val="auto"/>
              </w:rPr>
            </w:pPr>
          </w:p>
        </w:tc>
        <w:tc>
          <w:tcPr>
            <w:tcW w:w="1320" w:type="dxa"/>
            <w:vAlign w:val="bottom"/>
            <w:tcBorders>
              <w:bottom w:val="single" w:sz="8" w:color="CCEEFF"/>
              <w:right w:val="single" w:sz="8" w:color="0000EE"/>
            </w:tcBorders>
            <w:gridSpan w:val="2"/>
            <w:shd w:val="clear" w:color="auto" w:fill="CCEEFF"/>
          </w:tcPr>
          <w:p>
            <w:pPr>
              <w:ind w:left="1100"/>
              <w:spacing w:after="0" w:line="2" w:lineRule="exact"/>
              <w:rPr>
                <w:sz w:val="20"/>
                <w:szCs w:val="20"/>
                <w:color w:val="auto"/>
              </w:rPr>
            </w:pPr>
            <w:r>
              <w:rPr>
                <w:rFonts w:ascii="Times New Roman" w:cs="Times New Roman" w:eastAsia="Times New Roman" w:hAnsi="Times New Roman"/>
                <w:sz w:val="1"/>
                <w:szCs w:val="1"/>
                <w:color w:val="auto"/>
              </w:rPr>
              <w:t>​ ​</w:t>
            </w:r>
            <w:r>
              <w:rPr>
                <w:rFonts w:ascii="Times New Roman" w:cs="Times New Roman" w:eastAsia="Times New Roman" w:hAnsi="Times New Roman"/>
                <w:sz w:val="1"/>
                <w:szCs w:val="1"/>
                <w:b w:val="1"/>
                <w:bCs w:val="1"/>
                <w:color w:val="auto"/>
              </w:rPr>
              <w:t>​</w:t>
            </w:r>
          </w:p>
        </w:tc>
        <w:tc>
          <w:tcPr>
            <w:tcW w:w="60" w:type="dxa"/>
            <w:vAlign w:val="bottom"/>
            <w:tcBorders>
              <w:bottom w:val="single" w:sz="8" w:color="CCEEFF"/>
            </w:tcBorders>
            <w:shd w:val="clear" w:color="auto" w:fill="0000EE"/>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Pr>
          <w:p>
            <w:pPr>
              <w:spacing w:after="0" w:line="2" w:lineRule="exact"/>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69"/>
        </w:trPr>
        <w:tc>
          <w:tcPr>
            <w:tcW w:w="5060" w:type="dxa"/>
            <w:vAlign w:val="bottom"/>
            <w:gridSpan w:val="16"/>
          </w:tcPr>
          <w:p>
            <w:pPr>
              <w:spacing w:after="0"/>
              <w:rPr>
                <w:sz w:val="20"/>
                <w:szCs w:val="20"/>
                <w:color w:val="auto"/>
              </w:rPr>
            </w:pPr>
            <w:r>
              <w:rPr>
                <w:rFonts w:ascii="Times New Roman" w:cs="Times New Roman" w:eastAsia="Times New Roman" w:hAnsi="Times New Roman"/>
                <w:sz w:val="14"/>
                <w:szCs w:val="14"/>
                <w:color w:val="0000EE"/>
              </w:rPr>
              <w:t>About Plains All American Pipeline, L.P.</w:t>
            </w:r>
          </w:p>
        </w:tc>
        <w:tc>
          <w:tcPr>
            <w:tcW w:w="132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0000EE"/>
                <w:w w:val="71"/>
              </w:rPr>
              <w:t>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440" w:type="dxa"/>
            <w:vAlign w:val="bottom"/>
            <w:gridSpan w:val="13"/>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0000EE"/>
              </w:rPr>
              <w:t>Risk Factors</w:t>
            </w:r>
          </w:p>
        </w:tc>
        <w:tc>
          <w:tcPr>
            <w:tcW w:w="1320" w:type="dxa"/>
            <w:vAlign w:val="bottom"/>
            <w:tcBorders>
              <w:right w:val="single" w:sz="8" w:color="CCEEFF"/>
            </w:tcBorders>
            <w:gridSpan w:val="2"/>
            <w:vMerge w:val="restart"/>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0000EE"/>
                <w:w w:val="71"/>
              </w:rPr>
              <w:t>3</w:t>
            </w:r>
          </w:p>
        </w:tc>
        <w:tc>
          <w:tcPr>
            <w:tcW w:w="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shd w:val="clear" w:color="auto" w:fill="0000EE"/>
          </w:tcPr>
          <w:p>
            <w:pPr>
              <w:spacing w:after="0" w:line="20" w:lineRule="exact"/>
              <w:rPr>
                <w:sz w:val="1"/>
                <w:szCs w:val="1"/>
                <w:color w:val="auto"/>
              </w:rPr>
            </w:pPr>
          </w:p>
        </w:tc>
        <w:tc>
          <w:tcPr>
            <w:tcW w:w="720" w:type="dxa"/>
            <w:vAlign w:val="bottom"/>
            <w:tcBorders>
              <w:bottom w:val="single" w:sz="8" w:color="CCEEFF"/>
            </w:tcBorders>
            <w:gridSpan w:val="2"/>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140" w:type="dxa"/>
            <w:vAlign w:val="bottom"/>
            <w:tcBorders>
              <w:bottom w:val="single" w:sz="8" w:color="CCEEFF"/>
            </w:tcBorders>
            <w:shd w:val="clear" w:color="auto" w:fill="CCEEFF"/>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280" w:type="dxa"/>
            <w:vAlign w:val="bottom"/>
            <w:tcBorders>
              <w:bottom w:val="single" w:sz="8" w:color="CCEEFF"/>
            </w:tcBorders>
            <w:gridSpan w:val="2"/>
            <w:shd w:val="clear" w:color="auto" w:fill="CCEEFF"/>
          </w:tcPr>
          <w:p>
            <w:pPr>
              <w:spacing w:after="0" w:line="20" w:lineRule="exact"/>
              <w:rPr>
                <w:sz w:val="1"/>
                <w:szCs w:val="1"/>
                <w:color w:val="auto"/>
              </w:rPr>
            </w:pPr>
          </w:p>
        </w:tc>
        <w:tc>
          <w:tcPr>
            <w:tcW w:w="600" w:type="dxa"/>
            <w:vAlign w:val="bottom"/>
            <w:tcBorders>
              <w:bottom w:val="single" w:sz="8" w:color="CCEEFF"/>
            </w:tcBorders>
            <w:gridSpan w:val="2"/>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440" w:type="dxa"/>
            <w:vAlign w:val="bottom"/>
            <w:tcBorders>
              <w:bottom w:val="single" w:sz="8" w:color="CCEEFF"/>
            </w:tcBorders>
            <w:gridSpan w:val="3"/>
            <w:shd w:val="clear" w:color="auto" w:fill="CCEEFF"/>
          </w:tcPr>
          <w:p>
            <w:pPr>
              <w:spacing w:after="0" w:line="20" w:lineRule="exact"/>
              <w:rPr>
                <w:sz w:val="1"/>
                <w:szCs w:val="1"/>
                <w:color w:val="auto"/>
              </w:rPr>
            </w:pPr>
          </w:p>
        </w:tc>
        <w:tc>
          <w:tcPr>
            <w:tcW w:w="380" w:type="dxa"/>
            <w:vAlign w:val="bottom"/>
            <w:tcBorders>
              <w:bottom w:val="single" w:sz="8" w:color="CCEEFF"/>
            </w:tcBorders>
            <w:shd w:val="clear" w:color="auto" w:fill="CCEEFF"/>
          </w:tcPr>
          <w:p>
            <w:pPr>
              <w:spacing w:after="0" w:line="20" w:lineRule="exact"/>
              <w:rPr>
                <w:sz w:val="1"/>
                <w:szCs w:val="1"/>
                <w:color w:val="auto"/>
              </w:rPr>
            </w:pPr>
          </w:p>
        </w:tc>
        <w:tc>
          <w:tcPr>
            <w:tcW w:w="2160" w:type="dxa"/>
            <w:vAlign w:val="bottom"/>
            <w:tcBorders>
              <w:bottom w:val="single" w:sz="8" w:color="CCEEFF"/>
            </w:tcBorders>
            <w:shd w:val="clear" w:color="auto" w:fill="CCEEFF"/>
          </w:tcPr>
          <w:p>
            <w:pPr>
              <w:spacing w:after="0" w:line="20" w:lineRule="exact"/>
              <w:rPr>
                <w:sz w:val="1"/>
                <w:szCs w:val="1"/>
                <w:color w:val="auto"/>
              </w:rPr>
            </w:pPr>
          </w:p>
        </w:tc>
        <w:tc>
          <w:tcPr>
            <w:tcW w:w="1320" w:type="dxa"/>
            <w:vAlign w:val="bottom"/>
            <w:tcBorders>
              <w:bottom w:val="single" w:sz="8" w:color="CCEEFF"/>
              <w:right w:val="single" w:sz="8" w:color="CCEEFF"/>
            </w:tcBorders>
            <w:gridSpan w:val="2"/>
            <w:vMerge w:val="continue"/>
            <w:shd w:val="clear" w:color="auto" w:fill="CCEEFF"/>
          </w:tcPr>
          <w:p>
            <w:pPr>
              <w:spacing w:after="0" w:line="20" w:lineRule="exact"/>
              <w:rPr>
                <w:sz w:val="1"/>
                <w:szCs w:val="1"/>
                <w:color w:val="auto"/>
              </w:rPr>
            </w:pPr>
          </w:p>
        </w:tc>
        <w:tc>
          <w:tcPr>
            <w:tcW w:w="60" w:type="dxa"/>
            <w:vAlign w:val="bottom"/>
            <w:tcBorders>
              <w:bottom w:val="single" w:sz="8" w:color="CCEEFF"/>
            </w:tcBorders>
            <w:shd w:val="clear" w:color="auto" w:fill="0000EE"/>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Pr>
          <w:p>
            <w:pPr>
              <w:spacing w:after="0" w:line="2" w:lineRule="exact"/>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69"/>
        </w:trPr>
        <w:tc>
          <w:tcPr>
            <w:tcW w:w="5060" w:type="dxa"/>
            <w:vAlign w:val="bottom"/>
            <w:gridSpan w:val="16"/>
          </w:tcPr>
          <w:p>
            <w:pPr>
              <w:spacing w:after="0"/>
              <w:rPr>
                <w:sz w:val="20"/>
                <w:szCs w:val="20"/>
                <w:color w:val="auto"/>
              </w:rPr>
            </w:pPr>
            <w:r>
              <w:rPr>
                <w:rFonts w:ascii="Times New Roman" w:cs="Times New Roman" w:eastAsia="Times New Roman" w:hAnsi="Times New Roman"/>
                <w:sz w:val="14"/>
                <w:szCs w:val="14"/>
                <w:color w:val="0000EE"/>
              </w:rPr>
              <w:t>Use of Proceeds</w:t>
            </w:r>
          </w:p>
        </w:tc>
        <w:tc>
          <w:tcPr>
            <w:tcW w:w="132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0000EE"/>
                <w:w w:val="71"/>
              </w:rPr>
              <w:t>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60" w:type="dxa"/>
            <w:vAlign w:val="bottom"/>
            <w:gridSpan w:val="5"/>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0000EE"/>
              </w:rPr>
              <w:t>Description of Our Debt Securities</w:t>
            </w:r>
          </w:p>
        </w:tc>
        <w:tc>
          <w:tcPr>
            <w:tcW w:w="1320" w:type="dxa"/>
            <w:vAlign w:val="bottom"/>
            <w:tcBorders>
              <w:right w:val="single" w:sz="8" w:color="CCEEFF"/>
            </w:tcBorders>
            <w:gridSpan w:val="2"/>
            <w:vMerge w:val="restart"/>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0000EE"/>
                <w:w w:val="71"/>
              </w:rPr>
              <w:t>5</w:t>
            </w:r>
          </w:p>
        </w:tc>
        <w:tc>
          <w:tcPr>
            <w:tcW w:w="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shd w:val="clear" w:color="auto" w:fill="0000EE"/>
          </w:tcPr>
          <w:p>
            <w:pPr>
              <w:spacing w:after="0" w:line="20" w:lineRule="exact"/>
              <w:rPr>
                <w:sz w:val="1"/>
                <w:szCs w:val="1"/>
                <w:color w:val="auto"/>
              </w:rPr>
            </w:pPr>
          </w:p>
        </w:tc>
        <w:tc>
          <w:tcPr>
            <w:tcW w:w="2060" w:type="dxa"/>
            <w:vAlign w:val="bottom"/>
            <w:tcBorders>
              <w:bottom w:val="single" w:sz="8" w:color="CCEEFF"/>
            </w:tcBorders>
            <w:gridSpan w:val="10"/>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440" w:type="dxa"/>
            <w:vAlign w:val="bottom"/>
            <w:tcBorders>
              <w:bottom w:val="single" w:sz="8" w:color="CCEEFF"/>
            </w:tcBorders>
            <w:gridSpan w:val="3"/>
            <w:shd w:val="clear" w:color="auto" w:fill="CCEEFF"/>
          </w:tcPr>
          <w:p>
            <w:pPr>
              <w:spacing w:after="0" w:line="20" w:lineRule="exact"/>
              <w:rPr>
                <w:sz w:val="1"/>
                <w:szCs w:val="1"/>
                <w:color w:val="auto"/>
              </w:rPr>
            </w:pPr>
          </w:p>
        </w:tc>
        <w:tc>
          <w:tcPr>
            <w:tcW w:w="380" w:type="dxa"/>
            <w:vAlign w:val="bottom"/>
            <w:tcBorders>
              <w:bottom w:val="single" w:sz="8" w:color="CCEEFF"/>
            </w:tcBorders>
            <w:shd w:val="clear" w:color="auto" w:fill="CCEEFF"/>
          </w:tcPr>
          <w:p>
            <w:pPr>
              <w:spacing w:after="0" w:line="20" w:lineRule="exact"/>
              <w:rPr>
                <w:sz w:val="1"/>
                <w:szCs w:val="1"/>
                <w:color w:val="auto"/>
              </w:rPr>
            </w:pPr>
          </w:p>
        </w:tc>
        <w:tc>
          <w:tcPr>
            <w:tcW w:w="2160" w:type="dxa"/>
            <w:vAlign w:val="bottom"/>
            <w:tcBorders>
              <w:bottom w:val="single" w:sz="8" w:color="CCEEFF"/>
            </w:tcBorders>
            <w:shd w:val="clear" w:color="auto" w:fill="CCEEFF"/>
          </w:tcPr>
          <w:p>
            <w:pPr>
              <w:spacing w:after="0" w:line="20" w:lineRule="exact"/>
              <w:rPr>
                <w:sz w:val="1"/>
                <w:szCs w:val="1"/>
                <w:color w:val="auto"/>
              </w:rPr>
            </w:pPr>
          </w:p>
        </w:tc>
        <w:tc>
          <w:tcPr>
            <w:tcW w:w="1320" w:type="dxa"/>
            <w:vAlign w:val="bottom"/>
            <w:tcBorders>
              <w:bottom w:val="single" w:sz="8" w:color="CCEEFF"/>
              <w:right w:val="single" w:sz="8" w:color="CCEEFF"/>
            </w:tcBorders>
            <w:gridSpan w:val="2"/>
            <w:vMerge w:val="continue"/>
            <w:shd w:val="clear" w:color="auto" w:fill="CCEEFF"/>
          </w:tcPr>
          <w:p>
            <w:pPr>
              <w:spacing w:after="0" w:line="20" w:lineRule="exact"/>
              <w:rPr>
                <w:sz w:val="1"/>
                <w:szCs w:val="1"/>
                <w:color w:val="auto"/>
              </w:rPr>
            </w:pPr>
          </w:p>
        </w:tc>
        <w:tc>
          <w:tcPr>
            <w:tcW w:w="60" w:type="dxa"/>
            <w:vAlign w:val="bottom"/>
            <w:tcBorders>
              <w:bottom w:val="single" w:sz="8" w:color="CCEEFF"/>
            </w:tcBorders>
            <w:shd w:val="clear" w:color="auto" w:fill="0000EE"/>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Pr>
          <w:p>
            <w:pPr>
              <w:spacing w:after="0" w:line="2" w:lineRule="exact"/>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69"/>
        </w:trPr>
        <w:tc>
          <w:tcPr>
            <w:tcW w:w="5060" w:type="dxa"/>
            <w:vAlign w:val="bottom"/>
            <w:gridSpan w:val="16"/>
          </w:tcPr>
          <w:p>
            <w:pPr>
              <w:spacing w:after="0"/>
              <w:rPr>
                <w:sz w:val="20"/>
                <w:szCs w:val="20"/>
                <w:color w:val="auto"/>
              </w:rPr>
            </w:pPr>
            <w:r>
              <w:rPr>
                <w:rFonts w:ascii="Times New Roman" w:cs="Times New Roman" w:eastAsia="Times New Roman" w:hAnsi="Times New Roman"/>
                <w:sz w:val="14"/>
                <w:szCs w:val="14"/>
                <w:color w:val="0000EE"/>
              </w:rPr>
              <w:t>Description of Our Preferred Units</w:t>
            </w:r>
          </w:p>
        </w:tc>
        <w:tc>
          <w:tcPr>
            <w:tcW w:w="1380" w:type="dxa"/>
            <w:vAlign w:val="bottom"/>
            <w:gridSpan w:val="3"/>
          </w:tcPr>
          <w:p>
            <w:pPr>
              <w:ind w:left="1240"/>
              <w:spacing w:after="0"/>
              <w:rPr>
                <w:sz w:val="20"/>
                <w:szCs w:val="20"/>
                <w:color w:val="auto"/>
              </w:rPr>
            </w:pPr>
            <w:r>
              <w:rPr>
                <w:rFonts w:ascii="Times New Roman" w:cs="Times New Roman" w:eastAsia="Times New Roman" w:hAnsi="Times New Roman"/>
                <w:sz w:val="14"/>
                <w:szCs w:val="14"/>
                <w:color w:val="0000EE"/>
                <w:w w:val="85"/>
              </w:rPr>
              <w:t>13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80" w:type="dxa"/>
            <w:vAlign w:val="bottom"/>
            <w:gridSpan w:val="11"/>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4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40" w:type="dxa"/>
            <w:vAlign w:val="bottom"/>
          </w:tcPr>
          <w:p>
            <w:pPr>
              <w:ind w:left="1100"/>
              <w:spacing w:after="0" w:line="2"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right w:val="single" w:sz="8" w:color="0000EE"/>
            </w:tcBorders>
            <w:shd w:val="clear" w:color="auto" w:fill="0000EE"/>
          </w:tcPr>
          <w:p>
            <w:pPr>
              <w:spacing w:after="0" w:line="10"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0000EE"/>
              </w:rPr>
              <w:t>Description of Our Common Units</w:t>
            </w:r>
          </w:p>
        </w:tc>
        <w:tc>
          <w:tcPr>
            <w:tcW w:w="138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4"/>
                <w:szCs w:val="14"/>
                <w:color w:val="0000EE"/>
                <w:w w:val="85"/>
              </w:rPr>
              <w:t>15</w:t>
            </w:r>
          </w:p>
        </w:tc>
        <w:tc>
          <w:tcPr>
            <w:tcW w:w="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shd w:val="clear" w:color="auto" w:fill="0000EE"/>
          </w:tcPr>
          <w:p>
            <w:pPr>
              <w:spacing w:after="0" w:line="20" w:lineRule="exact"/>
              <w:rPr>
                <w:sz w:val="1"/>
                <w:szCs w:val="1"/>
                <w:color w:val="auto"/>
              </w:rPr>
            </w:pPr>
          </w:p>
        </w:tc>
        <w:tc>
          <w:tcPr>
            <w:tcW w:w="2040" w:type="dxa"/>
            <w:vAlign w:val="bottom"/>
            <w:tcBorders>
              <w:bottom w:val="single" w:sz="8" w:color="CCEEFF"/>
            </w:tcBorders>
            <w:gridSpan w:val="9"/>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460" w:type="dxa"/>
            <w:vAlign w:val="bottom"/>
            <w:tcBorders>
              <w:bottom w:val="single" w:sz="8" w:color="CCEEFF"/>
            </w:tcBorders>
            <w:gridSpan w:val="4"/>
            <w:shd w:val="clear" w:color="auto" w:fill="CCEEFF"/>
          </w:tcPr>
          <w:p>
            <w:pPr>
              <w:spacing w:after="0" w:line="20" w:lineRule="exact"/>
              <w:rPr>
                <w:sz w:val="1"/>
                <w:szCs w:val="1"/>
                <w:color w:val="auto"/>
              </w:rPr>
            </w:pPr>
          </w:p>
        </w:tc>
        <w:tc>
          <w:tcPr>
            <w:tcW w:w="380" w:type="dxa"/>
            <w:vAlign w:val="bottom"/>
            <w:tcBorders>
              <w:bottom w:val="single" w:sz="8" w:color="CCEEFF"/>
            </w:tcBorders>
            <w:shd w:val="clear" w:color="auto" w:fill="CCEEFF"/>
          </w:tcPr>
          <w:p>
            <w:pPr>
              <w:spacing w:after="0" w:line="20" w:lineRule="exact"/>
              <w:rPr>
                <w:sz w:val="1"/>
                <w:szCs w:val="1"/>
                <w:color w:val="auto"/>
              </w:rPr>
            </w:pPr>
          </w:p>
        </w:tc>
        <w:tc>
          <w:tcPr>
            <w:tcW w:w="2160" w:type="dxa"/>
            <w:vAlign w:val="bottom"/>
            <w:tcBorders>
              <w:bottom w:val="single" w:sz="8" w:color="CCEEFF"/>
            </w:tcBorders>
            <w:shd w:val="clear" w:color="auto" w:fill="CCEEFF"/>
          </w:tcPr>
          <w:p>
            <w:pPr>
              <w:spacing w:after="0" w:line="20" w:lineRule="exact"/>
              <w:rPr>
                <w:sz w:val="1"/>
                <w:szCs w:val="1"/>
                <w:color w:val="auto"/>
              </w:rPr>
            </w:pPr>
          </w:p>
        </w:tc>
        <w:tc>
          <w:tcPr>
            <w:tcW w:w="1240" w:type="dxa"/>
            <w:vAlign w:val="bottom"/>
            <w:tcBorders>
              <w:bottom w:val="single" w:sz="8" w:color="CCEEFF"/>
            </w:tcBorders>
            <w:shd w:val="clear" w:color="auto" w:fill="CCEEFF"/>
          </w:tcPr>
          <w:p>
            <w:pPr>
              <w:ind w:left="1100"/>
              <w:spacing w:after="0" w:line="2"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bottom w:val="single" w:sz="8" w:color="CCEEFF"/>
              <w:right w:val="single" w:sz="8" w:color="0000EE"/>
            </w:tcBorders>
            <w:shd w:val="clear" w:color="auto" w:fill="0000EE"/>
          </w:tcPr>
          <w:p>
            <w:pPr>
              <w:spacing w:after="0" w:line="10"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bottom w:val="single" w:sz="8" w:color="CCEEFF"/>
            </w:tcBorders>
            <w:shd w:val="clear" w:color="auto" w:fill="0000EE"/>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Pr>
          <w:p>
            <w:pPr>
              <w:spacing w:after="0" w:line="2" w:lineRule="exact"/>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69"/>
        </w:trPr>
        <w:tc>
          <w:tcPr>
            <w:tcW w:w="5060" w:type="dxa"/>
            <w:vAlign w:val="bottom"/>
            <w:gridSpan w:val="16"/>
          </w:tcPr>
          <w:p>
            <w:pPr>
              <w:spacing w:after="0"/>
              <w:rPr>
                <w:sz w:val="20"/>
                <w:szCs w:val="20"/>
                <w:color w:val="auto"/>
              </w:rPr>
            </w:pPr>
            <w:r>
              <w:rPr>
                <w:rFonts w:ascii="Times New Roman" w:cs="Times New Roman" w:eastAsia="Times New Roman" w:hAnsi="Times New Roman"/>
                <w:sz w:val="14"/>
                <w:szCs w:val="14"/>
                <w:color w:val="0000EE"/>
              </w:rPr>
              <w:t>Cash Distribution Policy</w:t>
            </w:r>
          </w:p>
        </w:tc>
        <w:tc>
          <w:tcPr>
            <w:tcW w:w="1380" w:type="dxa"/>
            <w:vAlign w:val="bottom"/>
            <w:gridSpan w:val="3"/>
          </w:tcPr>
          <w:p>
            <w:pPr>
              <w:ind w:left="1240"/>
              <w:spacing w:after="0"/>
              <w:rPr>
                <w:sz w:val="20"/>
                <w:szCs w:val="20"/>
                <w:color w:val="auto"/>
              </w:rPr>
            </w:pPr>
            <w:r>
              <w:rPr>
                <w:rFonts w:ascii="Times New Roman" w:cs="Times New Roman" w:eastAsia="Times New Roman" w:hAnsi="Times New Roman"/>
                <w:sz w:val="14"/>
                <w:szCs w:val="14"/>
                <w:color w:val="0000EE"/>
                <w:w w:val="85"/>
              </w:rPr>
              <w:t>17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60" w:type="dxa"/>
            <w:vAlign w:val="bottom"/>
            <w:gridSpan w:val="8"/>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106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40" w:type="dxa"/>
            <w:vAlign w:val="bottom"/>
          </w:tcPr>
          <w:p>
            <w:pPr>
              <w:ind w:left="1100"/>
              <w:spacing w:after="0" w:line="2"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right w:val="single" w:sz="8" w:color="0000EE"/>
            </w:tcBorders>
            <w:shd w:val="clear" w:color="auto" w:fill="0000EE"/>
          </w:tcPr>
          <w:p>
            <w:pPr>
              <w:spacing w:after="0" w:line="10"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0000EE"/>
              </w:rPr>
              <w:t>Description of Our Partnership Agreement</w:t>
            </w:r>
          </w:p>
        </w:tc>
        <w:tc>
          <w:tcPr>
            <w:tcW w:w="138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4"/>
                <w:szCs w:val="14"/>
                <w:color w:val="0000EE"/>
                <w:w w:val="85"/>
              </w:rPr>
              <w:t>19</w:t>
            </w:r>
          </w:p>
        </w:tc>
        <w:tc>
          <w:tcPr>
            <w:tcW w:w="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shd w:val="clear" w:color="auto" w:fill="0000EE"/>
          </w:tcPr>
          <w:p>
            <w:pPr>
              <w:spacing w:after="0" w:line="20" w:lineRule="exact"/>
              <w:rPr>
                <w:sz w:val="1"/>
                <w:szCs w:val="1"/>
                <w:color w:val="auto"/>
              </w:rPr>
            </w:pPr>
          </w:p>
        </w:tc>
        <w:tc>
          <w:tcPr>
            <w:tcW w:w="2500" w:type="dxa"/>
            <w:vAlign w:val="bottom"/>
            <w:tcBorders>
              <w:bottom w:val="single" w:sz="8" w:color="CCEEFF"/>
            </w:tcBorders>
            <w:gridSpan w:val="13"/>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380" w:type="dxa"/>
            <w:vAlign w:val="bottom"/>
            <w:tcBorders>
              <w:bottom w:val="single" w:sz="8" w:color="CCEEFF"/>
            </w:tcBorders>
            <w:shd w:val="clear" w:color="auto" w:fill="CCEEFF"/>
          </w:tcPr>
          <w:p>
            <w:pPr>
              <w:spacing w:after="0" w:line="20" w:lineRule="exact"/>
              <w:rPr>
                <w:sz w:val="1"/>
                <w:szCs w:val="1"/>
                <w:color w:val="auto"/>
              </w:rPr>
            </w:pPr>
          </w:p>
        </w:tc>
        <w:tc>
          <w:tcPr>
            <w:tcW w:w="2160" w:type="dxa"/>
            <w:vAlign w:val="bottom"/>
            <w:tcBorders>
              <w:bottom w:val="single" w:sz="8" w:color="CCEEFF"/>
            </w:tcBorders>
            <w:shd w:val="clear" w:color="auto" w:fill="CCEEFF"/>
          </w:tcPr>
          <w:p>
            <w:pPr>
              <w:spacing w:after="0" w:line="20" w:lineRule="exact"/>
              <w:rPr>
                <w:sz w:val="1"/>
                <w:szCs w:val="1"/>
                <w:color w:val="auto"/>
              </w:rPr>
            </w:pPr>
          </w:p>
        </w:tc>
        <w:tc>
          <w:tcPr>
            <w:tcW w:w="1240" w:type="dxa"/>
            <w:vAlign w:val="bottom"/>
            <w:tcBorders>
              <w:bottom w:val="single" w:sz="8" w:color="CCEEFF"/>
            </w:tcBorders>
            <w:shd w:val="clear" w:color="auto" w:fill="CCEEFF"/>
          </w:tcPr>
          <w:p>
            <w:pPr>
              <w:ind w:left="1100"/>
              <w:spacing w:after="0" w:line="2"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bottom w:val="single" w:sz="8" w:color="CCEEFF"/>
              <w:right w:val="single" w:sz="8" w:color="0000EE"/>
            </w:tcBorders>
            <w:shd w:val="clear" w:color="auto" w:fill="0000EE"/>
          </w:tcPr>
          <w:p>
            <w:pPr>
              <w:spacing w:after="0" w:line="10"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bottom w:val="single" w:sz="8" w:color="CCEEFF"/>
            </w:tcBorders>
            <w:shd w:val="clear" w:color="auto" w:fill="0000EE"/>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Pr>
          <w:p>
            <w:pPr>
              <w:spacing w:after="0" w:line="2" w:lineRule="exact"/>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69"/>
        </w:trPr>
        <w:tc>
          <w:tcPr>
            <w:tcW w:w="5060" w:type="dxa"/>
            <w:vAlign w:val="bottom"/>
            <w:gridSpan w:val="16"/>
          </w:tcPr>
          <w:p>
            <w:pPr>
              <w:spacing w:after="0"/>
              <w:rPr>
                <w:sz w:val="20"/>
                <w:szCs w:val="20"/>
                <w:color w:val="auto"/>
              </w:rPr>
            </w:pPr>
            <w:r>
              <w:rPr>
                <w:rFonts w:ascii="Times New Roman" w:cs="Times New Roman" w:eastAsia="Times New Roman" w:hAnsi="Times New Roman"/>
                <w:sz w:val="14"/>
                <w:szCs w:val="14"/>
                <w:color w:val="0000EE"/>
              </w:rPr>
              <w:t>Material U.S. Federal Income Tax Consequences</w:t>
            </w:r>
          </w:p>
        </w:tc>
        <w:tc>
          <w:tcPr>
            <w:tcW w:w="1380" w:type="dxa"/>
            <w:vAlign w:val="bottom"/>
            <w:gridSpan w:val="3"/>
          </w:tcPr>
          <w:p>
            <w:pPr>
              <w:ind w:left="1240"/>
              <w:spacing w:after="0"/>
              <w:rPr>
                <w:sz w:val="20"/>
                <w:szCs w:val="20"/>
                <w:color w:val="auto"/>
              </w:rPr>
            </w:pPr>
            <w:r>
              <w:rPr>
                <w:rFonts w:ascii="Times New Roman" w:cs="Times New Roman" w:eastAsia="Times New Roman" w:hAnsi="Times New Roman"/>
                <w:sz w:val="14"/>
                <w:szCs w:val="14"/>
                <w:color w:val="0000EE"/>
                <w:w w:val="85"/>
              </w:rPr>
              <w:t>24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900" w:type="dxa"/>
            <w:vAlign w:val="bottom"/>
            <w:gridSpan w:val="15"/>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2160" w:type="dxa"/>
            <w:vAlign w:val="bottom"/>
          </w:tcPr>
          <w:p>
            <w:pPr>
              <w:spacing w:after="0" w:line="20" w:lineRule="exact"/>
              <w:rPr>
                <w:sz w:val="1"/>
                <w:szCs w:val="1"/>
                <w:color w:val="auto"/>
              </w:rPr>
            </w:pPr>
          </w:p>
        </w:tc>
        <w:tc>
          <w:tcPr>
            <w:tcW w:w="1240" w:type="dxa"/>
            <w:vAlign w:val="bottom"/>
          </w:tcPr>
          <w:p>
            <w:pPr>
              <w:ind w:left="1100"/>
              <w:spacing w:after="0" w:line="2"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right w:val="single" w:sz="8" w:color="0000EE"/>
            </w:tcBorders>
            <w:shd w:val="clear" w:color="auto" w:fill="0000EE"/>
          </w:tcPr>
          <w:p>
            <w:pPr>
              <w:spacing w:after="0" w:line="10"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0000EE"/>
              </w:rPr>
              <w:t>Plan of Distribution</w:t>
            </w:r>
          </w:p>
        </w:tc>
        <w:tc>
          <w:tcPr>
            <w:tcW w:w="138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4"/>
                <w:szCs w:val="14"/>
                <w:color w:val="0000EE"/>
                <w:w w:val="85"/>
              </w:rPr>
              <w:t>40</w:t>
            </w:r>
          </w:p>
        </w:tc>
        <w:tc>
          <w:tcPr>
            <w:tcW w:w="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shd w:val="clear" w:color="auto" w:fill="0000EE"/>
          </w:tcPr>
          <w:p>
            <w:pPr>
              <w:spacing w:after="0" w:line="20" w:lineRule="exact"/>
              <w:rPr>
                <w:sz w:val="1"/>
                <w:szCs w:val="1"/>
                <w:color w:val="auto"/>
              </w:rPr>
            </w:pPr>
          </w:p>
        </w:tc>
        <w:tc>
          <w:tcPr>
            <w:tcW w:w="1160" w:type="dxa"/>
            <w:vAlign w:val="bottom"/>
            <w:tcBorders>
              <w:bottom w:val="single" w:sz="8" w:color="CCEEFF"/>
            </w:tcBorders>
            <w:gridSpan w:val="5"/>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3880" w:type="dxa"/>
            <w:vAlign w:val="bottom"/>
            <w:tcBorders>
              <w:bottom w:val="single" w:sz="8" w:color="CCEEFF"/>
            </w:tcBorders>
            <w:gridSpan w:val="10"/>
            <w:shd w:val="clear" w:color="auto" w:fill="CCEEFF"/>
          </w:tcPr>
          <w:p>
            <w:pPr>
              <w:spacing w:after="0" w:line="20" w:lineRule="exact"/>
              <w:rPr>
                <w:sz w:val="1"/>
                <w:szCs w:val="1"/>
                <w:color w:val="auto"/>
              </w:rPr>
            </w:pPr>
          </w:p>
        </w:tc>
        <w:tc>
          <w:tcPr>
            <w:tcW w:w="1240" w:type="dxa"/>
            <w:vAlign w:val="bottom"/>
            <w:tcBorders>
              <w:bottom w:val="single" w:sz="8" w:color="CCEEFF"/>
            </w:tcBorders>
            <w:shd w:val="clear" w:color="auto" w:fill="CCEEFF"/>
          </w:tcPr>
          <w:p>
            <w:pPr>
              <w:ind w:left="1100"/>
              <w:spacing w:after="0" w:line="2"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bottom w:val="single" w:sz="8" w:color="CCEEFF"/>
              <w:right w:val="single" w:sz="8" w:color="0000EE"/>
            </w:tcBorders>
            <w:shd w:val="clear" w:color="auto" w:fill="0000EE"/>
          </w:tcPr>
          <w:p>
            <w:pPr>
              <w:spacing w:after="0" w:line="10"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bottom w:val="single" w:sz="8" w:color="CCEEFF"/>
            </w:tcBorders>
            <w:shd w:val="clear" w:color="auto" w:fill="0000EE"/>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Pr>
          <w:p>
            <w:pPr>
              <w:spacing w:after="0" w:line="2" w:lineRule="exact"/>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69"/>
        </w:trPr>
        <w:tc>
          <w:tcPr>
            <w:tcW w:w="5060" w:type="dxa"/>
            <w:vAlign w:val="bottom"/>
            <w:gridSpan w:val="16"/>
          </w:tcPr>
          <w:p>
            <w:pPr>
              <w:spacing w:after="0"/>
              <w:rPr>
                <w:sz w:val="20"/>
                <w:szCs w:val="20"/>
                <w:color w:val="auto"/>
              </w:rPr>
            </w:pPr>
            <w:r>
              <w:rPr>
                <w:rFonts w:ascii="Times New Roman" w:cs="Times New Roman" w:eastAsia="Times New Roman" w:hAnsi="Times New Roman"/>
                <w:sz w:val="14"/>
                <w:szCs w:val="14"/>
                <w:color w:val="0000EE"/>
              </w:rPr>
              <w:t>Legal Matters</w:t>
            </w:r>
          </w:p>
        </w:tc>
        <w:tc>
          <w:tcPr>
            <w:tcW w:w="1380" w:type="dxa"/>
            <w:vAlign w:val="bottom"/>
            <w:gridSpan w:val="3"/>
          </w:tcPr>
          <w:p>
            <w:pPr>
              <w:ind w:left="1240"/>
              <w:spacing w:after="0"/>
              <w:rPr>
                <w:sz w:val="20"/>
                <w:szCs w:val="20"/>
                <w:color w:val="auto"/>
              </w:rPr>
            </w:pPr>
            <w:r>
              <w:rPr>
                <w:rFonts w:ascii="Times New Roman" w:cs="Times New Roman" w:eastAsia="Times New Roman" w:hAnsi="Times New Roman"/>
                <w:sz w:val="14"/>
                <w:szCs w:val="14"/>
                <w:color w:val="0000EE"/>
                <w:w w:val="85"/>
              </w:rPr>
              <w:t>42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20" w:type="dxa"/>
            <w:vAlign w:val="bottom"/>
            <w:gridSpan w:val="4"/>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4240" w:type="dxa"/>
            <w:vAlign w:val="bottom"/>
            <w:gridSpan w:val="12"/>
          </w:tcPr>
          <w:p>
            <w:pPr>
              <w:spacing w:after="0" w:line="20" w:lineRule="exact"/>
              <w:rPr>
                <w:sz w:val="1"/>
                <w:szCs w:val="1"/>
                <w:color w:val="auto"/>
              </w:rPr>
            </w:pPr>
          </w:p>
        </w:tc>
        <w:tc>
          <w:tcPr>
            <w:tcW w:w="1240" w:type="dxa"/>
            <w:vAlign w:val="bottom"/>
          </w:tcPr>
          <w:p>
            <w:pPr>
              <w:ind w:left="1100"/>
              <w:spacing w:after="0" w:line="2"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right w:val="single" w:sz="8" w:color="0000EE"/>
            </w:tcBorders>
            <w:shd w:val="clear" w:color="auto" w:fill="0000EE"/>
          </w:tcPr>
          <w:p>
            <w:pPr>
              <w:spacing w:after="0" w:line="10"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0000EE"/>
              </w:rPr>
              <w:t>Experts</w:t>
            </w:r>
          </w:p>
        </w:tc>
        <w:tc>
          <w:tcPr>
            <w:tcW w:w="138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4"/>
                <w:szCs w:val="14"/>
                <w:color w:val="0000EE"/>
                <w:w w:val="85"/>
              </w:rPr>
              <w:t>42</w:t>
            </w:r>
          </w:p>
        </w:tc>
        <w:tc>
          <w:tcPr>
            <w:tcW w:w="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shd w:val="clear" w:color="auto" w:fill="0000EE"/>
          </w:tcPr>
          <w:p>
            <w:pPr>
              <w:spacing w:after="0" w:line="20" w:lineRule="exact"/>
              <w:rPr>
                <w:sz w:val="1"/>
                <w:szCs w:val="1"/>
                <w:color w:val="auto"/>
              </w:rPr>
            </w:pPr>
          </w:p>
        </w:tc>
        <w:tc>
          <w:tcPr>
            <w:tcW w:w="440" w:type="dxa"/>
            <w:vAlign w:val="bottom"/>
            <w:tcBorders>
              <w:bottom w:val="single" w:sz="8" w:color="CCEEFF"/>
            </w:tcBorders>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4600" w:type="dxa"/>
            <w:vAlign w:val="bottom"/>
            <w:tcBorders>
              <w:bottom w:val="single" w:sz="8" w:color="CCEEFF"/>
            </w:tcBorders>
            <w:gridSpan w:val="14"/>
            <w:shd w:val="clear" w:color="auto" w:fill="CCEEFF"/>
          </w:tcPr>
          <w:p>
            <w:pPr>
              <w:spacing w:after="0" w:line="20" w:lineRule="exact"/>
              <w:rPr>
                <w:sz w:val="1"/>
                <w:szCs w:val="1"/>
                <w:color w:val="auto"/>
              </w:rPr>
            </w:pPr>
          </w:p>
        </w:tc>
        <w:tc>
          <w:tcPr>
            <w:tcW w:w="1240" w:type="dxa"/>
            <w:vAlign w:val="bottom"/>
            <w:tcBorders>
              <w:bottom w:val="single" w:sz="8" w:color="CCEEFF"/>
            </w:tcBorders>
            <w:shd w:val="clear" w:color="auto" w:fill="CCEEFF"/>
          </w:tcPr>
          <w:p>
            <w:pPr>
              <w:ind w:left="1100"/>
              <w:spacing w:after="0" w:line="2"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bottom w:val="single" w:sz="8" w:color="CCEEFF"/>
              <w:right w:val="single" w:sz="8" w:color="0000EE"/>
            </w:tcBorders>
            <w:shd w:val="clear" w:color="auto" w:fill="0000EE"/>
          </w:tcPr>
          <w:p>
            <w:pPr>
              <w:spacing w:after="0" w:line="10"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bottom w:val="single" w:sz="8" w:color="CCEEFF"/>
            </w:tcBorders>
            <w:shd w:val="clear" w:color="auto" w:fill="0000EE"/>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Pr>
          <w:p>
            <w:pPr>
              <w:spacing w:after="0" w:line="2" w:lineRule="exact"/>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1280" w:right="1459" w:firstLine="282"/>
        <w:spacing w:after="0" w:line="259" w:lineRule="auto"/>
        <w:rPr>
          <w:sz w:val="20"/>
          <w:szCs w:val="20"/>
          <w:color w:val="auto"/>
        </w:rPr>
      </w:pPr>
      <w:r>
        <w:rPr>
          <w:rFonts w:ascii="Times New Roman" w:cs="Times New Roman" w:eastAsia="Times New Roman" w:hAnsi="Times New Roman"/>
          <w:sz w:val="14"/>
          <w:szCs w:val="14"/>
          <w:color w:val="auto"/>
        </w:rPr>
        <w:t>This prospectus, any accompanying prospectus supplement and any free writing prospectus that we prepare or authorize contain and incorporate by reference information that you should consider when making your investment decision. We have not authorized anyone to provide any information or to make any representations other than those contained or incorporated by reference in this prospectus. We take no responsibility for, and can provide no assurance as to the reliability of, any other information that others may give you.</w:t>
      </w:r>
    </w:p>
    <w:p>
      <w:pPr>
        <w:spacing w:after="0" w:line="89" w:lineRule="exact"/>
        <w:rPr>
          <w:sz w:val="20"/>
          <w:szCs w:val="20"/>
          <w:color w:val="auto"/>
        </w:rPr>
      </w:pPr>
    </w:p>
    <w:p>
      <w:pPr>
        <w:ind w:left="1280" w:right="1399" w:firstLine="282"/>
        <w:spacing w:after="0" w:line="258" w:lineRule="auto"/>
        <w:rPr>
          <w:sz w:val="20"/>
          <w:szCs w:val="20"/>
          <w:color w:val="auto"/>
        </w:rPr>
      </w:pPr>
      <w:r>
        <w:rPr>
          <w:rFonts w:ascii="Times New Roman" w:cs="Times New Roman" w:eastAsia="Times New Roman" w:hAnsi="Times New Roman"/>
          <w:sz w:val="14"/>
          <w:szCs w:val="14"/>
          <w:b w:val="1"/>
          <w:bCs w:val="1"/>
          <w:color w:val="auto"/>
        </w:rPr>
        <w:t>This prospectus and any prospectus supplement are not an offer to sell, 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 Our business, financial condition, results of operations and prospects may have changed since those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 w:name="page4"/>
    <w:bookmarkEnd w:id="3"/>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27" w:lineRule="exact"/>
        <w:rPr>
          <w:sz w:val="20"/>
          <w:szCs w:val="20"/>
          <w:color w:val="auto"/>
        </w:rPr>
      </w:pPr>
    </w:p>
    <w:p>
      <w:pPr>
        <w:ind w:left="1280" w:right="1319" w:firstLine="282"/>
        <w:spacing w:after="0" w:line="255"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and PAA Finance Corp. have filed with the U.S.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 w:name="page5"/>
    <w:bookmarkEnd w:id="4"/>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27" w:lineRule="exact"/>
        <w:rPr>
          <w:sz w:val="20"/>
          <w:szCs w:val="20"/>
          <w:color w:val="auto"/>
        </w:rPr>
      </w:pPr>
    </w:p>
    <w:p>
      <w:pPr>
        <w:ind w:left="1280" w:right="1299" w:firstLine="282"/>
        <w:spacing w:after="0" w:line="256" w:lineRule="auto"/>
        <w:rPr>
          <w:sz w:val="20"/>
          <w:szCs w:val="20"/>
          <w:color w:val="auto"/>
        </w:rPr>
      </w:pPr>
      <w:r>
        <w:rPr>
          <w:rFonts w:ascii="Times New Roman" w:cs="Times New Roman" w:eastAsia="Times New Roman" w:hAnsi="Times New Roman"/>
          <w:sz w:val="14"/>
          <w:szCs w:val="14"/>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 Our business, financial condition, results of operations and prospects may have changed since such dates.</w:t>
      </w:r>
    </w:p>
    <w:p>
      <w:pPr>
        <w:spacing w:after="0" w:line="96" w:lineRule="exact"/>
        <w:rPr>
          <w:sz w:val="20"/>
          <w:szCs w:val="20"/>
          <w:color w:val="auto"/>
        </w:rPr>
      </w:pPr>
    </w:p>
    <w:p>
      <w:pPr>
        <w:ind w:left="1280" w:right="1359" w:firstLine="282"/>
        <w:spacing w:after="0" w:line="263" w:lineRule="auto"/>
        <w:rPr>
          <w:sz w:val="20"/>
          <w:szCs w:val="20"/>
          <w:color w:val="auto"/>
        </w:rPr>
      </w:pPr>
      <w:r>
        <w:rPr>
          <w:rFonts w:ascii="Times New Roman" w:cs="Times New Roman" w:eastAsia="Times New Roman" w:hAnsi="Times New Roman"/>
          <w:sz w:val="14"/>
          <w:szCs w:val="14"/>
          <w:color w:val="auto"/>
        </w:rPr>
        <w:t>We incorporate by reference the documents listed below and any future filings we make with the SEC under Section 13(a), 13(c), 14 or 15(d) of the Securities Exchange Act of 1934, as amended (the “Exchange Act”) (excluding, in each case, any information furnished pursuant to Item 2.02 or 7.01 of any Current Report on Form 8-K) until all offerings under the registration statement and the prospectus are completed:</w:t>
      </w:r>
    </w:p>
    <w:p>
      <w:pPr>
        <w:spacing w:after="0" w:line="57" w:lineRule="exact"/>
        <w:rPr>
          <w:sz w:val="20"/>
          <w:szCs w:val="20"/>
          <w:color w:val="auto"/>
        </w:rPr>
      </w:pPr>
    </w:p>
    <w:p>
      <w:pPr>
        <w:ind w:left="1700" w:hanging="133"/>
        <w:spacing w:after="0"/>
        <w:tabs>
          <w:tab w:leader="none" w:pos="1700" w:val="left"/>
        </w:tabs>
        <w:numPr>
          <w:ilvl w:val="0"/>
          <w:numId w:val="1"/>
        </w:numPr>
        <w:rPr>
          <w:rFonts w:ascii="Times New Roman" w:cs="Times New Roman" w:eastAsia="Times New Roman" w:hAnsi="Times New Roman"/>
          <w:sz w:val="14"/>
          <w:szCs w:val="14"/>
          <w:u w:val="single" w:color="auto"/>
          <w:color w:val="0000EE"/>
        </w:rPr>
      </w:pPr>
      <w:hyperlink r:id="rId21">
        <w:r>
          <w:rPr>
            <w:rFonts w:ascii="Times New Roman" w:cs="Times New Roman" w:eastAsia="Times New Roman" w:hAnsi="Times New Roman"/>
            <w:sz w:val="14"/>
            <w:szCs w:val="14"/>
            <w:u w:val="single" w:color="auto"/>
            <w:color w:val="0000EE"/>
          </w:rPr>
          <w:t>our Annual Report on Form 10-K for the fiscal year ended December 31, 2023;</w:t>
        </w:r>
      </w:hyperlink>
    </w:p>
    <w:p>
      <w:pPr>
        <w:spacing w:after="0" w:line="93" w:lineRule="exact"/>
        <w:rPr>
          <w:rFonts w:ascii="Times New Roman" w:cs="Times New Roman" w:eastAsia="Times New Roman" w:hAnsi="Times New Roman"/>
          <w:sz w:val="14"/>
          <w:szCs w:val="14"/>
          <w:u w:val="single" w:color="auto"/>
          <w:color w:val="0000EE"/>
        </w:rPr>
      </w:pPr>
    </w:p>
    <w:p>
      <w:pPr>
        <w:ind w:left="1700" w:right="1519" w:hanging="133"/>
        <w:spacing w:after="0" w:line="286" w:lineRule="auto"/>
        <w:tabs>
          <w:tab w:leader="none" w:pos="1700" w:val="left"/>
        </w:tabs>
        <w:numPr>
          <w:ilvl w:val="0"/>
          <w:numId w:val="1"/>
        </w:numPr>
        <w:rPr>
          <w:rFonts w:ascii="Times New Roman" w:cs="Times New Roman" w:eastAsia="Times New Roman" w:hAnsi="Times New Roman"/>
          <w:sz w:val="14"/>
          <w:szCs w:val="14"/>
          <w:color w:val="0000EE"/>
        </w:rPr>
      </w:pPr>
      <w:hyperlink r:id="rId22">
        <w:r>
          <w:rPr>
            <w:rFonts w:ascii="Times New Roman" w:cs="Times New Roman" w:eastAsia="Times New Roman" w:hAnsi="Times New Roman"/>
            <w:sz w:val="14"/>
            <w:szCs w:val="14"/>
            <w:color w:val="auto"/>
          </w:rPr>
          <w:t xml:space="preserve">our Quarterly Reports on Form 10-Q for the quarterly periods ended </w:t>
        </w:r>
        <w:r>
          <w:rPr>
            <w:rFonts w:ascii="Times New Roman" w:cs="Times New Roman" w:eastAsia="Times New Roman" w:hAnsi="Times New Roman"/>
            <w:sz w:val="14"/>
            <w:szCs w:val="14"/>
            <w:u w:val="single" w:color="auto"/>
            <w:color w:val="0000EE"/>
          </w:rPr>
          <w:t>March 31, 2024</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0000EE"/>
          </w:rPr>
          <w:t>June 30,</w:t>
        </w:r>
      </w:hyperlink>
      <w:r>
        <w:rPr>
          <w:rFonts w:ascii="Times New Roman" w:cs="Times New Roman" w:eastAsia="Times New Roman" w:hAnsi="Times New Roman"/>
          <w:sz w:val="14"/>
          <w:szCs w:val="14"/>
          <w:color w:val="auto"/>
        </w:rPr>
        <w:t xml:space="preserve"> </w:t>
      </w:r>
      <w:hyperlink r:id="rId22">
        <w:r>
          <w:rPr>
            <w:rFonts w:ascii="Times New Roman" w:cs="Times New Roman" w:eastAsia="Times New Roman" w:hAnsi="Times New Roman"/>
            <w:sz w:val="14"/>
            <w:szCs w:val="14"/>
            <w:u w:val="single" w:color="auto"/>
            <w:color w:val="0000EE"/>
          </w:rPr>
          <w:t>2024</w:t>
        </w:r>
        <w:r>
          <w:rPr>
            <w:rFonts w:ascii="Times New Roman" w:cs="Times New Roman" w:eastAsia="Times New Roman" w:hAnsi="Times New Roman"/>
            <w:sz w:val="14"/>
            <w:szCs w:val="14"/>
            <w:color w:val="000000"/>
          </w:rPr>
          <w:t>;</w:t>
        </w:r>
      </w:hyperlink>
    </w:p>
    <w:p>
      <w:pPr>
        <w:spacing w:after="0" w:line="39" w:lineRule="exact"/>
        <w:rPr>
          <w:rFonts w:ascii="Times New Roman" w:cs="Times New Roman" w:eastAsia="Times New Roman" w:hAnsi="Times New Roman"/>
          <w:sz w:val="14"/>
          <w:szCs w:val="14"/>
          <w:color w:val="0000EE"/>
        </w:rPr>
      </w:pPr>
    </w:p>
    <w:p>
      <w:pPr>
        <w:ind w:left="1700" w:right="1919" w:hanging="133"/>
        <w:spacing w:after="0" w:line="286" w:lineRule="auto"/>
        <w:tabs>
          <w:tab w:leader="none" w:pos="1700" w:val="left"/>
        </w:tabs>
        <w:numPr>
          <w:ilvl w:val="0"/>
          <w:numId w:val="1"/>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Current Reports on Form 8-K filed on </w:t>
      </w:r>
      <w:hyperlink r:id="rId23">
        <w:r>
          <w:rPr>
            <w:rFonts w:ascii="Times New Roman" w:cs="Times New Roman" w:eastAsia="Times New Roman" w:hAnsi="Times New Roman"/>
            <w:sz w:val="14"/>
            <w:szCs w:val="14"/>
            <w:u w:val="single" w:color="auto"/>
            <w:color w:val="0000EE"/>
          </w:rPr>
          <w:t>May 28, 2024</w:t>
        </w:r>
      </w:hyperlink>
      <w:r>
        <w:rPr>
          <w:rFonts w:ascii="Times New Roman" w:cs="Times New Roman" w:eastAsia="Times New Roman" w:hAnsi="Times New Roman"/>
          <w:sz w:val="14"/>
          <w:szCs w:val="14"/>
          <w:color w:val="auto"/>
        </w:rPr>
        <w:t xml:space="preserve">, </w:t>
      </w:r>
      <w:hyperlink r:id="rId24">
        <w:r>
          <w:rPr>
            <w:rFonts w:ascii="Times New Roman" w:cs="Times New Roman" w:eastAsia="Times New Roman" w:hAnsi="Times New Roman"/>
            <w:sz w:val="14"/>
            <w:szCs w:val="14"/>
            <w:u w:val="single" w:color="auto"/>
            <w:color w:val="0000EE"/>
          </w:rPr>
          <w:t>June 20, 2024</w:t>
        </w:r>
      </w:hyperlink>
      <w:r>
        <w:rPr>
          <w:rFonts w:ascii="Times New Roman" w:cs="Times New Roman" w:eastAsia="Times New Roman" w:hAnsi="Times New Roman"/>
          <w:sz w:val="14"/>
          <w:szCs w:val="14"/>
          <w:color w:val="auto"/>
        </w:rPr>
        <w:t xml:space="preserve">, </w:t>
      </w:r>
      <w:hyperlink r:id="rId25">
        <w:r>
          <w:rPr>
            <w:rFonts w:ascii="Times New Roman" w:cs="Times New Roman" w:eastAsia="Times New Roman" w:hAnsi="Times New Roman"/>
            <w:sz w:val="14"/>
            <w:szCs w:val="14"/>
            <w:u w:val="single" w:color="auto"/>
            <w:color w:val="0000EE"/>
          </w:rPr>
          <w:t>June 27,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26">
        <w:r>
          <w:rPr>
            <w:rFonts w:ascii="Times New Roman" w:cs="Times New Roman" w:eastAsia="Times New Roman" w:hAnsi="Times New Roman"/>
            <w:sz w:val="14"/>
            <w:szCs w:val="14"/>
            <w:u w:val="single" w:color="auto"/>
            <w:color w:val="0000EE"/>
          </w:rPr>
          <w:t>August 22, 2024</w:t>
        </w:r>
      </w:hyperlink>
      <w:r>
        <w:rPr>
          <w:rFonts w:ascii="Times New Roman" w:cs="Times New Roman" w:eastAsia="Times New Roman" w:hAnsi="Times New Roman"/>
          <w:sz w:val="14"/>
          <w:szCs w:val="14"/>
          <w:color w:val="000000"/>
        </w:rPr>
        <w:t>;</w:t>
      </w:r>
    </w:p>
    <w:p>
      <w:pPr>
        <w:spacing w:after="0" w:line="39" w:lineRule="exact"/>
        <w:rPr>
          <w:rFonts w:ascii="Times New Roman" w:cs="Times New Roman" w:eastAsia="Times New Roman" w:hAnsi="Times New Roman"/>
          <w:sz w:val="14"/>
          <w:szCs w:val="14"/>
          <w:color w:val="0000EE"/>
        </w:rPr>
      </w:pPr>
    </w:p>
    <w:p>
      <w:pPr>
        <w:ind w:left="1700" w:right="1319" w:hanging="133"/>
        <w:spacing w:after="0" w:line="269" w:lineRule="auto"/>
        <w:tabs>
          <w:tab w:leader="none" w:pos="1700" w:val="left"/>
        </w:tabs>
        <w:numPr>
          <w:ilvl w:val="0"/>
          <w:numId w:val="1"/>
        </w:numPr>
        <w:rPr>
          <w:rFonts w:ascii="Times New Roman" w:cs="Times New Roman" w:eastAsia="Times New Roman" w:hAnsi="Times New Roman"/>
          <w:sz w:val="14"/>
          <w:szCs w:val="14"/>
          <w:color w:val="0000EE"/>
        </w:rPr>
      </w:pPr>
      <w:hyperlink r:id="rId21">
        <w:r>
          <w:rPr>
            <w:rFonts w:ascii="Times New Roman" w:cs="Times New Roman" w:eastAsia="Times New Roman" w:hAnsi="Times New Roman"/>
            <w:sz w:val="14"/>
            <w:szCs w:val="14"/>
            <w:color w:val="auto"/>
          </w:rPr>
          <w:t xml:space="preserve">information specifically incorporated by reference into our </w:t>
        </w:r>
        <w:r>
          <w:rPr>
            <w:rFonts w:ascii="Times New Roman" w:cs="Times New Roman" w:eastAsia="Times New Roman" w:hAnsi="Times New Roman"/>
            <w:sz w:val="14"/>
            <w:szCs w:val="14"/>
            <w:u w:val="single" w:color="auto"/>
            <w:color w:val="0000EE"/>
          </w:rPr>
          <w:t>Annual Report on Form 10-K for the year</w:t>
        </w:r>
      </w:hyperlink>
      <w:r>
        <w:rPr>
          <w:rFonts w:ascii="Times New Roman" w:cs="Times New Roman" w:eastAsia="Times New Roman" w:hAnsi="Times New Roman"/>
          <w:sz w:val="14"/>
          <w:szCs w:val="14"/>
          <w:color w:val="auto"/>
        </w:rPr>
        <w:t xml:space="preserve"> </w:t>
      </w:r>
      <w:hyperlink r:id="rId21">
        <w:r>
          <w:rPr>
            <w:rFonts w:ascii="Times New Roman" w:cs="Times New Roman" w:eastAsia="Times New Roman" w:hAnsi="Times New Roman"/>
            <w:sz w:val="14"/>
            <w:szCs w:val="14"/>
            <w:u w:val="single" w:color="auto"/>
            <w:color w:val="0000EE"/>
          </w:rPr>
          <w:t>ended December 31, 2023</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from our proxy statement, on Schedule 14A, filed with the SEC on</w:t>
        </w:r>
      </w:hyperlink>
      <w:r>
        <w:rPr>
          <w:rFonts w:ascii="Times New Roman" w:cs="Times New Roman" w:eastAsia="Times New Roman" w:hAnsi="Times New Roman"/>
          <w:sz w:val="14"/>
          <w:szCs w:val="14"/>
          <w:color w:val="0000EE"/>
        </w:rPr>
        <w:t xml:space="preserve"> </w:t>
      </w:r>
      <w:hyperlink r:id="rId27">
        <w:r>
          <w:rPr>
            <w:rFonts w:ascii="Times New Roman" w:cs="Times New Roman" w:eastAsia="Times New Roman" w:hAnsi="Times New Roman"/>
            <w:sz w:val="14"/>
            <w:szCs w:val="14"/>
            <w:u w:val="single" w:color="auto"/>
            <w:color w:val="0000EE"/>
          </w:rPr>
          <w:t>April 12, 2024</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p>
    <w:p>
      <w:pPr>
        <w:spacing w:after="0" w:line="51" w:lineRule="exact"/>
        <w:rPr>
          <w:rFonts w:ascii="Times New Roman" w:cs="Times New Roman" w:eastAsia="Times New Roman" w:hAnsi="Times New Roman"/>
          <w:sz w:val="14"/>
          <w:szCs w:val="14"/>
          <w:color w:val="0000EE"/>
        </w:rPr>
      </w:pPr>
    </w:p>
    <w:p>
      <w:pPr>
        <w:jc w:val="both"/>
        <w:ind w:left="1700" w:right="1439" w:hanging="133"/>
        <w:spacing w:after="0" w:line="263" w:lineRule="auto"/>
        <w:tabs>
          <w:tab w:leader="none" w:pos="1700" w:val="left"/>
        </w:tabs>
        <w:numPr>
          <w:ilvl w:val="0"/>
          <w:numId w:val="1"/>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the description of our common units contained in </w:t>
      </w:r>
      <w:hyperlink r:id="rId28">
        <w:r>
          <w:rPr>
            <w:rFonts w:ascii="Times New Roman" w:cs="Times New Roman" w:eastAsia="Times New Roman" w:hAnsi="Times New Roman"/>
            <w:sz w:val="14"/>
            <w:szCs w:val="14"/>
            <w:u w:val="single" w:color="auto"/>
            <w:color w:val="0000EE"/>
          </w:rPr>
          <w:t>Exhibit 4.16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of our Annual Report on Form 10-K </w:t>
      </w:r>
      <w:hyperlink r:id="rId29">
        <w:r>
          <w:rPr>
            <w:rFonts w:ascii="Times New Roman" w:cs="Times New Roman" w:eastAsia="Times New Roman" w:hAnsi="Times New Roman"/>
            <w:sz w:val="14"/>
            <w:szCs w:val="14"/>
            <w:color w:val="auto"/>
          </w:rPr>
          <w:t xml:space="preserve">for the year ended December 31, 2023, </w:t>
        </w:r>
        <w:r>
          <w:rPr>
            <w:rFonts w:ascii="Times New Roman" w:cs="Times New Roman" w:eastAsia="Times New Roman" w:hAnsi="Times New Roman"/>
            <w:sz w:val="14"/>
            <w:szCs w:val="14"/>
            <w:u w:val="single" w:color="auto"/>
            <w:color w:val="0000EE"/>
          </w:rPr>
          <w:t>Form 8-A/A dated November 16, 2016</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0000EE"/>
          </w:rPr>
          <w:t>Form 8-A dated</w:t>
        </w:r>
      </w:hyperlink>
      <w:r>
        <w:rPr>
          <w:rFonts w:ascii="Times New Roman" w:cs="Times New Roman" w:eastAsia="Times New Roman" w:hAnsi="Times New Roman"/>
          <w:sz w:val="14"/>
          <w:szCs w:val="14"/>
          <w:color w:val="auto"/>
        </w:rPr>
        <w:t xml:space="preserve"> </w:t>
      </w:r>
      <w:hyperlink r:id="rId29">
        <w:r>
          <w:rPr>
            <w:rFonts w:ascii="Times New Roman" w:cs="Times New Roman" w:eastAsia="Times New Roman" w:hAnsi="Times New Roman"/>
            <w:sz w:val="14"/>
            <w:szCs w:val="14"/>
            <w:u w:val="single" w:color="auto"/>
            <w:color w:val="0000EE"/>
          </w:rPr>
          <w:t>December 11, 2020</w:t>
        </w:r>
        <w:r>
          <w:rPr>
            <w:rFonts w:ascii="Times New Roman" w:cs="Times New Roman" w:eastAsia="Times New Roman" w:hAnsi="Times New Roman"/>
            <w:sz w:val="14"/>
            <w:szCs w:val="14"/>
            <w:color w:val="000000"/>
          </w:rPr>
          <w:t>, and any subsequent amendment thereto filed for the purpose of updating such</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description.</w:t>
      </w:r>
    </w:p>
    <w:p>
      <w:pPr>
        <w:spacing w:after="0" w:line="78" w:lineRule="exact"/>
        <w:rPr>
          <w:rFonts w:ascii="Times New Roman" w:cs="Times New Roman" w:eastAsia="Times New Roman" w:hAnsi="Times New Roman"/>
          <w:sz w:val="14"/>
          <w:szCs w:val="14"/>
          <w:color w:val="auto"/>
        </w:rPr>
      </w:pPr>
    </w:p>
    <w:p>
      <w:pPr>
        <w:ind w:left="1280" w:right="1299" w:firstLine="282"/>
        <w:spacing w:after="0" w:line="269" w:lineRule="auto"/>
        <w:rPr>
          <w:sz w:val="20"/>
          <w:szCs w:val="20"/>
          <w:color w:val="auto"/>
        </w:rPr>
      </w:pPr>
      <w:r>
        <w:rPr>
          <w:rFonts w:ascii="Times New Roman" w:cs="Times New Roman" w:eastAsia="Times New Roman" w:hAnsi="Times New Roman"/>
          <w:sz w:val="14"/>
          <w:szCs w:val="14"/>
          <w:color w:val="auto"/>
        </w:rPr>
        <w:t>You may request a copy of any document incorporated by reference into this prospectus and any exhibit specifically incorporated by reference in those documents, at no cost, by writing or telephoning us at the following address or phone number:</w:t>
      </w:r>
    </w:p>
    <w:p>
      <w:pPr>
        <w:spacing w:after="0" w:line="84" w:lineRule="exact"/>
        <w:rPr>
          <w:rFonts w:ascii="Times New Roman" w:cs="Times New Roman" w:eastAsia="Times New Roman" w:hAnsi="Times New Roman"/>
          <w:sz w:val="14"/>
          <w:szCs w:val="14"/>
          <w:color w:val="auto"/>
        </w:rPr>
      </w:pPr>
    </w:p>
    <w:p>
      <w:pPr>
        <w:ind w:left="3460"/>
        <w:spacing w:after="0"/>
        <w:rPr>
          <w:sz w:val="20"/>
          <w:szCs w:val="20"/>
          <w:color w:val="auto"/>
        </w:rPr>
      </w:pPr>
      <w:r>
        <w:rPr>
          <w:rFonts w:ascii="Times New Roman" w:cs="Times New Roman" w:eastAsia="Times New Roman" w:hAnsi="Times New Roman"/>
          <w:sz w:val="14"/>
          <w:szCs w:val="14"/>
          <w:color w:val="auto"/>
        </w:rPr>
        <w:t>Plains All American Pipeline, L.P.</w:t>
      </w:r>
    </w:p>
    <w:p>
      <w:pPr>
        <w:spacing w:after="0" w:line="23" w:lineRule="exact"/>
        <w:rPr>
          <w:rFonts w:ascii="Times New Roman" w:cs="Times New Roman" w:eastAsia="Times New Roman" w:hAnsi="Times New Roman"/>
          <w:sz w:val="14"/>
          <w:szCs w:val="14"/>
          <w:color w:val="auto"/>
        </w:rPr>
      </w:pPr>
    </w:p>
    <w:p>
      <w:pPr>
        <w:ind w:left="3680"/>
        <w:spacing w:after="0"/>
        <w:rPr>
          <w:sz w:val="20"/>
          <w:szCs w:val="20"/>
          <w:color w:val="auto"/>
        </w:rPr>
      </w:pPr>
      <w:r>
        <w:rPr>
          <w:rFonts w:ascii="Times New Roman" w:cs="Times New Roman" w:eastAsia="Times New Roman" w:hAnsi="Times New Roman"/>
          <w:sz w:val="14"/>
          <w:szCs w:val="14"/>
          <w:color w:val="auto"/>
        </w:rPr>
        <w:t>333 Clay Street, Suite 1600</w:t>
      </w:r>
    </w:p>
    <w:p>
      <w:pPr>
        <w:spacing w:after="0" w:line="8" w:lineRule="exact"/>
        <w:rPr>
          <w:rFonts w:ascii="Times New Roman" w:cs="Times New Roman" w:eastAsia="Times New Roman" w:hAnsi="Times New Roman"/>
          <w:sz w:val="14"/>
          <w:szCs w:val="14"/>
          <w:color w:val="auto"/>
        </w:rPr>
      </w:pPr>
    </w:p>
    <w:p>
      <w:pPr>
        <w:ind w:left="3820"/>
        <w:spacing w:after="0"/>
        <w:rPr>
          <w:sz w:val="20"/>
          <w:szCs w:val="20"/>
          <w:color w:val="auto"/>
        </w:rPr>
      </w:pPr>
      <w:r>
        <w:rPr>
          <w:rFonts w:ascii="Times New Roman" w:cs="Times New Roman" w:eastAsia="Times New Roman" w:hAnsi="Times New Roman"/>
          <w:sz w:val="14"/>
          <w:szCs w:val="14"/>
          <w:color w:val="auto"/>
        </w:rPr>
        <w:t>Houston, Texas 77002</w:t>
      </w:r>
    </w:p>
    <w:p>
      <w:pPr>
        <w:spacing w:after="0" w:line="8" w:lineRule="exact"/>
        <w:rPr>
          <w:rFonts w:ascii="Times New Roman" w:cs="Times New Roman" w:eastAsia="Times New Roman" w:hAnsi="Times New Roman"/>
          <w:sz w:val="14"/>
          <w:szCs w:val="14"/>
          <w:color w:val="auto"/>
        </w:rPr>
      </w:pPr>
    </w:p>
    <w:p>
      <w:pPr>
        <w:ind w:left="3580"/>
        <w:spacing w:after="0"/>
        <w:rPr>
          <w:sz w:val="20"/>
          <w:szCs w:val="20"/>
          <w:color w:val="auto"/>
        </w:rPr>
      </w:pPr>
      <w:r>
        <w:rPr>
          <w:rFonts w:ascii="Times New Roman" w:cs="Times New Roman" w:eastAsia="Times New Roman" w:hAnsi="Times New Roman"/>
          <w:sz w:val="14"/>
          <w:szCs w:val="14"/>
          <w:color w:val="auto"/>
        </w:rPr>
        <w:t>Attention: Corporate Secretary</w:t>
      </w:r>
    </w:p>
    <w:p>
      <w:pPr>
        <w:spacing w:after="0" w:line="8" w:lineRule="exact"/>
        <w:rPr>
          <w:rFonts w:ascii="Times New Roman" w:cs="Times New Roman" w:eastAsia="Times New Roman" w:hAnsi="Times New Roman"/>
          <w:sz w:val="14"/>
          <w:szCs w:val="14"/>
          <w:color w:val="auto"/>
        </w:rPr>
      </w:pPr>
    </w:p>
    <w:p>
      <w:pPr>
        <w:ind w:left="3700"/>
        <w:spacing w:after="0"/>
        <w:rPr>
          <w:sz w:val="20"/>
          <w:szCs w:val="20"/>
          <w:color w:val="auto"/>
        </w:rPr>
      </w:pPr>
      <w:r>
        <w:rPr>
          <w:rFonts w:ascii="Times New Roman" w:cs="Times New Roman" w:eastAsia="Times New Roman" w:hAnsi="Times New Roman"/>
          <w:sz w:val="14"/>
          <w:szCs w:val="14"/>
          <w:color w:val="auto"/>
        </w:rPr>
        <w:t>Telephone: (713) 646-4100</w:t>
      </w:r>
    </w:p>
    <w:p>
      <w:pPr>
        <w:spacing w:after="0" w:line="111" w:lineRule="exact"/>
        <w:rPr>
          <w:rFonts w:ascii="Times New Roman" w:cs="Times New Roman" w:eastAsia="Times New Roman" w:hAnsi="Times New Roman"/>
          <w:sz w:val="14"/>
          <w:szCs w:val="14"/>
          <w:color w:val="auto"/>
        </w:rPr>
      </w:pPr>
    </w:p>
    <w:p>
      <w:pPr>
        <w:ind w:left="1280" w:right="1379" w:firstLine="282"/>
        <w:spacing w:after="0" w:line="258" w:lineRule="auto"/>
        <w:rPr>
          <w:sz w:val="20"/>
          <w:szCs w:val="20"/>
          <w:color w:val="auto"/>
        </w:rPr>
      </w:pPr>
      <w:r>
        <w:rPr>
          <w:rFonts w:ascii="Times New Roman" w:cs="Times New Roman" w:eastAsia="Times New Roman" w:hAnsi="Times New Roman"/>
          <w:sz w:val="14"/>
          <w:szCs w:val="14"/>
          <w:color w:val="auto"/>
        </w:rPr>
        <w:t>We file periodic reports, current reports, proxy statements and other information with the SEC. The SEC maintains an internet site that contains information we have filed electronically with the SEC, which you can access over the internet at http://www.sec.gov. Our SEC filings are also available free of charge on our website at www.plains.com under “Investor Relations”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13"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 w:name="page6"/>
    <w:bookmarkEnd w:id="5"/>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27" w:lineRule="exact"/>
        <w:rPr>
          <w:sz w:val="20"/>
          <w:szCs w:val="20"/>
          <w:color w:val="auto"/>
        </w:rPr>
      </w:pPr>
    </w:p>
    <w:p>
      <w:pPr>
        <w:ind w:left="1280" w:right="1319" w:firstLine="282"/>
        <w:spacing w:after="0" w:line="246" w:lineRule="auto"/>
        <w:rPr>
          <w:sz w:val="20"/>
          <w:szCs w:val="20"/>
          <w:color w:val="auto"/>
        </w:rPr>
      </w:pPr>
      <w:r>
        <w:rPr>
          <w:rFonts w:ascii="Times New Roman" w:cs="Times New Roman" w:eastAsia="Times New Roman" w:hAnsi="Times New Roman"/>
          <w:sz w:val="14"/>
          <w:szCs w:val="14"/>
          <w:color w:val="auto"/>
        </w:rPr>
        <w:t>All statements included or incorporated by reference in this prospectus or the accompanying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61" w:lineRule="exact"/>
        <w:rPr>
          <w:sz w:val="20"/>
          <w:szCs w:val="20"/>
          <w:color w:val="auto"/>
        </w:rPr>
      </w:pPr>
    </w:p>
    <w:p>
      <w:pPr>
        <w:ind w:left="1700" w:right="1399" w:hanging="133"/>
        <w:spacing w:after="0" w:line="259" w:lineRule="auto"/>
        <w:tabs>
          <w:tab w:leader="none" w:pos="17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37" w:lineRule="exact"/>
        <w:rPr>
          <w:rFonts w:ascii="Times New Roman" w:cs="Times New Roman" w:eastAsia="Times New Roman" w:hAnsi="Times New Roman"/>
          <w:sz w:val="14"/>
          <w:szCs w:val="14"/>
          <w:color w:val="auto"/>
        </w:rPr>
      </w:pPr>
    </w:p>
    <w:p>
      <w:pPr>
        <w:ind w:left="1700" w:right="1339" w:hanging="133"/>
        <w:spacing w:after="0" w:line="257" w:lineRule="auto"/>
        <w:tabs>
          <w:tab w:leader="none" w:pos="17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declines in global crude oil demand and/or crude oil prices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209" w:lineRule="exact"/>
        <w:rPr>
          <w:rFonts w:ascii="Times New Roman" w:cs="Times New Roman" w:eastAsia="Times New Roman" w:hAnsi="Times New Roman"/>
          <w:sz w:val="14"/>
          <w:szCs w:val="14"/>
          <w:color w:val="auto"/>
        </w:rPr>
      </w:pPr>
    </w:p>
    <w:p>
      <w:pPr>
        <w:ind w:left="1700" w:right="1499" w:hanging="133"/>
        <w:spacing w:after="0" w:line="286" w:lineRule="auto"/>
        <w:tabs>
          <w:tab w:leader="none" w:pos="17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refinery capacity and other factors affecting demand for various grades of crude oil and NGL and resulting changes in pricing conditions or transportation throughput requirements;</w:t>
      </w:r>
    </w:p>
    <w:p>
      <w:pPr>
        <w:spacing w:after="0" w:line="29" w:lineRule="exact"/>
        <w:rPr>
          <w:rFonts w:ascii="Times New Roman" w:cs="Times New Roman" w:eastAsia="Times New Roman" w:hAnsi="Times New Roman"/>
          <w:sz w:val="14"/>
          <w:szCs w:val="14"/>
          <w:color w:val="auto"/>
        </w:rPr>
      </w:pPr>
    </w:p>
    <w:p>
      <w:pPr>
        <w:ind w:left="1700" w:right="1499" w:hanging="133"/>
        <w:spacing w:after="0" w:line="286" w:lineRule="auto"/>
        <w:tabs>
          <w:tab w:leader="none" w:pos="17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changes in crude oil and NGL market structure, grade differentials and volatility (or lack thereof);</w:t>
      </w:r>
    </w:p>
    <w:p>
      <w:pPr>
        <w:spacing w:after="0" w:line="18" w:lineRule="exact"/>
        <w:rPr>
          <w:rFonts w:ascii="Times New Roman" w:cs="Times New Roman" w:eastAsia="Times New Roman" w:hAnsi="Times New Roman"/>
          <w:sz w:val="14"/>
          <w:szCs w:val="14"/>
          <w:color w:val="auto"/>
        </w:rPr>
      </w:pPr>
    </w:p>
    <w:p>
      <w:pPr>
        <w:ind w:left="1700" w:right="1299" w:hanging="133"/>
        <w:spacing w:after="0" w:line="263" w:lineRule="auto"/>
        <w:tabs>
          <w:tab w:leader="none" w:pos="17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46" w:lineRule="exact"/>
        <w:rPr>
          <w:rFonts w:ascii="Times New Roman" w:cs="Times New Roman" w:eastAsia="Times New Roman" w:hAnsi="Times New Roman"/>
          <w:sz w:val="14"/>
          <w:szCs w:val="14"/>
          <w:color w:val="auto"/>
        </w:rPr>
      </w:pPr>
    </w:p>
    <w:p>
      <w:pPr>
        <w:ind w:left="1700" w:right="1539" w:hanging="133"/>
        <w:spacing w:after="0" w:line="269" w:lineRule="auto"/>
        <w:tabs>
          <w:tab w:leader="none" w:pos="17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30" w:lineRule="exact"/>
        <w:rPr>
          <w:rFonts w:ascii="Times New Roman" w:cs="Times New Roman" w:eastAsia="Times New Roman" w:hAnsi="Times New Roman"/>
          <w:sz w:val="14"/>
          <w:szCs w:val="14"/>
          <w:color w:val="auto"/>
        </w:rPr>
      </w:pPr>
    </w:p>
    <w:p>
      <w:pPr>
        <w:ind w:left="1700" w:right="1339" w:hanging="133"/>
        <w:spacing w:after="0" w:line="286" w:lineRule="auto"/>
        <w:tabs>
          <w:tab w:leader="none" w:pos="17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environmental liabilities, litigation or other events that are not covered by an indemnity, insurance or existing reserves;</w:t>
      </w:r>
    </w:p>
    <w:p>
      <w:pPr>
        <w:spacing w:after="0" w:line="18" w:lineRule="exact"/>
        <w:rPr>
          <w:rFonts w:ascii="Times New Roman" w:cs="Times New Roman" w:eastAsia="Times New Roman" w:hAnsi="Times New Roman"/>
          <w:sz w:val="14"/>
          <w:szCs w:val="14"/>
          <w:color w:val="auto"/>
        </w:rPr>
      </w:pPr>
    </w:p>
    <w:p>
      <w:pPr>
        <w:ind w:left="1700" w:right="1479" w:hanging="133"/>
        <w:spacing w:after="0" w:line="269" w:lineRule="auto"/>
        <w:tabs>
          <w:tab w:leader="none" w:pos="17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41" w:lineRule="exact"/>
        <w:rPr>
          <w:rFonts w:ascii="Times New Roman" w:cs="Times New Roman" w:eastAsia="Times New Roman" w:hAnsi="Times New Roman"/>
          <w:sz w:val="14"/>
          <w:szCs w:val="14"/>
          <w:color w:val="auto"/>
        </w:rPr>
      </w:pPr>
    </w:p>
    <w:p>
      <w:pPr>
        <w:ind w:left="1700" w:right="1779" w:hanging="133"/>
        <w:spacing w:after="0" w:line="286" w:lineRule="auto"/>
        <w:tabs>
          <w:tab w:leader="none" w:pos="17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weather interference with business operations or project construction, including the impact of extreme weather events or conditions (including wildfires and drought);</w:t>
      </w:r>
    </w:p>
    <w:p>
      <w:pPr>
        <w:spacing w:after="0" w:line="18" w:lineRule="exact"/>
        <w:rPr>
          <w:rFonts w:ascii="Times New Roman" w:cs="Times New Roman" w:eastAsia="Times New Roman" w:hAnsi="Times New Roman"/>
          <w:sz w:val="14"/>
          <w:szCs w:val="14"/>
          <w:color w:val="auto"/>
        </w:rPr>
      </w:pPr>
    </w:p>
    <w:p>
      <w:pPr>
        <w:ind w:left="1700" w:right="1719" w:hanging="133"/>
        <w:spacing w:after="0" w:line="263" w:lineRule="auto"/>
        <w:tabs>
          <w:tab w:leader="none" w:pos="17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current and future laws, rulings, legislation, governmental regulations, executive orders, trade policies, accounting standards and statements, and related interpretations that</w:t>
      </w:r>
    </w:p>
    <w:p>
      <w:pPr>
        <w:ind w:left="1700" w:right="1359"/>
        <w:spacing w:after="0" w:line="25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prohibit, restrict or regulate the development of oil and gas resources and the related infrastructure on lands dedicated to or served by our pipelines or (ii) negatively impact our ability to develop, operate or repair midstream assets;</w:t>
      </w:r>
    </w:p>
    <w:p>
      <w:pPr>
        <w:spacing w:after="0" w:line="48" w:lineRule="exact"/>
        <w:rPr>
          <w:rFonts w:ascii="Times New Roman" w:cs="Times New Roman" w:eastAsia="Times New Roman" w:hAnsi="Times New Roman"/>
          <w:sz w:val="14"/>
          <w:szCs w:val="14"/>
          <w:color w:val="auto"/>
        </w:rPr>
      </w:pPr>
    </w:p>
    <w:p>
      <w:pPr>
        <w:ind w:left="1700" w:right="1479" w:hanging="133"/>
        <w:spacing w:after="0" w:line="269" w:lineRule="auto"/>
        <w:tabs>
          <w:tab w:leader="none" w:pos="17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 w:name="page7"/>
    <w:bookmarkEnd w:id="6"/>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700" w:hanging="133"/>
        <w:spacing w:after="0"/>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key personnel and inability to attract and retain new talent;</w:t>
      </w:r>
    </w:p>
    <w:p>
      <w:pPr>
        <w:spacing w:after="0" w:line="82" w:lineRule="exact"/>
        <w:rPr>
          <w:rFonts w:ascii="Times New Roman" w:cs="Times New Roman" w:eastAsia="Times New Roman" w:hAnsi="Times New Roman"/>
          <w:sz w:val="14"/>
          <w:szCs w:val="14"/>
          <w:color w:val="auto"/>
        </w:rPr>
      </w:pPr>
    </w:p>
    <w:p>
      <w:pPr>
        <w:ind w:left="1700" w:right="1479" w:hanging="133"/>
        <w:spacing w:after="0" w:line="286" w:lineRule="auto"/>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to futures markets for crude oil, NGL and other petroleum products, which may impair our ability to execute our commercial or hedging strategies;</w:t>
      </w:r>
    </w:p>
    <w:p>
      <w:pPr>
        <w:spacing w:after="0" w:line="2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our risk management activities;</w:t>
      </w:r>
    </w:p>
    <w:p>
      <w:pPr>
        <w:spacing w:after="0" w:line="82"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shortages or cost increases of supplies, materials or labor;</w:t>
      </w:r>
    </w:p>
    <w:p>
      <w:pPr>
        <w:spacing w:after="0" w:line="82" w:lineRule="exact"/>
        <w:rPr>
          <w:rFonts w:ascii="Times New Roman" w:cs="Times New Roman" w:eastAsia="Times New Roman" w:hAnsi="Times New Roman"/>
          <w:sz w:val="14"/>
          <w:szCs w:val="14"/>
          <w:color w:val="auto"/>
        </w:rPr>
      </w:pPr>
    </w:p>
    <w:p>
      <w:pPr>
        <w:ind w:left="1700" w:right="1659" w:hanging="133"/>
        <w:spacing w:after="0" w:line="286" w:lineRule="auto"/>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maintenance of our credit ratings and ability to receive open credit from our suppliers and trade counterparties;</w:t>
      </w:r>
    </w:p>
    <w:p>
      <w:pPr>
        <w:spacing w:after="0" w:line="18" w:lineRule="exact"/>
        <w:rPr>
          <w:rFonts w:ascii="Times New Roman" w:cs="Times New Roman" w:eastAsia="Times New Roman" w:hAnsi="Times New Roman"/>
          <w:sz w:val="14"/>
          <w:szCs w:val="14"/>
          <w:color w:val="auto"/>
        </w:rPr>
      </w:pPr>
    </w:p>
    <w:p>
      <w:pPr>
        <w:ind w:left="1700" w:right="1299" w:hanging="133"/>
        <w:spacing w:after="0" w:line="269" w:lineRule="auto"/>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41" w:lineRule="exact"/>
        <w:rPr>
          <w:rFonts w:ascii="Times New Roman" w:cs="Times New Roman" w:eastAsia="Times New Roman" w:hAnsi="Times New Roman"/>
          <w:sz w:val="14"/>
          <w:szCs w:val="14"/>
          <w:color w:val="auto"/>
        </w:rPr>
      </w:pPr>
    </w:p>
    <w:p>
      <w:pPr>
        <w:ind w:left="1700" w:right="1459" w:hanging="133"/>
        <w:spacing w:after="0" w:line="286" w:lineRule="auto"/>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and our ability to consummate, acquisitions, divestitures, joint ventures or other strategic opportunities;</w:t>
      </w:r>
    </w:p>
    <w:p>
      <w:pPr>
        <w:spacing w:after="0" w:line="29" w:lineRule="exact"/>
        <w:rPr>
          <w:rFonts w:ascii="Times New Roman" w:cs="Times New Roman" w:eastAsia="Times New Roman" w:hAnsi="Times New Roman"/>
          <w:sz w:val="14"/>
          <w:szCs w:val="14"/>
          <w:color w:val="auto"/>
        </w:rPr>
      </w:pPr>
    </w:p>
    <w:p>
      <w:pPr>
        <w:ind w:left="1700" w:right="1419" w:hanging="133"/>
        <w:spacing w:after="0" w:line="259" w:lineRule="auto"/>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48" w:lineRule="exact"/>
        <w:rPr>
          <w:rFonts w:ascii="Times New Roman" w:cs="Times New Roman" w:eastAsia="Times New Roman" w:hAnsi="Times New Roman"/>
          <w:sz w:val="14"/>
          <w:szCs w:val="14"/>
          <w:color w:val="auto"/>
        </w:rPr>
      </w:pPr>
    </w:p>
    <w:p>
      <w:pPr>
        <w:ind w:left="1700" w:right="1459" w:hanging="133"/>
        <w:spacing w:after="0" w:line="266" w:lineRule="auto"/>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216" w:lineRule="exact"/>
        <w:rPr>
          <w:rFonts w:ascii="Times New Roman" w:cs="Times New Roman" w:eastAsia="Times New Roman" w:hAnsi="Times New Roman"/>
          <w:sz w:val="14"/>
          <w:szCs w:val="14"/>
          <w:color w:val="auto"/>
        </w:rPr>
      </w:pPr>
    </w:p>
    <w:p>
      <w:pPr>
        <w:ind w:left="1700" w:right="1659" w:hanging="133"/>
        <w:spacing w:after="0" w:line="286" w:lineRule="auto"/>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incurrence of costs and expenses related to unexpected or unplanned capital or maintenance expenditures, third-party claims or other factors;</w:t>
      </w:r>
    </w:p>
    <w:p>
      <w:pPr>
        <w:spacing w:after="0" w:line="18" w:lineRule="exact"/>
        <w:rPr>
          <w:rFonts w:ascii="Times New Roman" w:cs="Times New Roman" w:eastAsia="Times New Roman" w:hAnsi="Times New Roman"/>
          <w:sz w:val="14"/>
          <w:szCs w:val="14"/>
          <w:color w:val="auto"/>
        </w:rPr>
      </w:pPr>
    </w:p>
    <w:p>
      <w:pPr>
        <w:ind w:left="1700" w:right="1479" w:hanging="133"/>
        <w:spacing w:after="0" w:line="286" w:lineRule="auto"/>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implement or capitalize, or delays in implementing or capitalizing, on investment capital projects, whether due to permitting delays, permitting withdrawals or other factors;</w:t>
      </w:r>
    </w:p>
    <w:p>
      <w:pPr>
        <w:spacing w:after="0" w:line="29" w:lineRule="exact"/>
        <w:rPr>
          <w:rFonts w:ascii="Times New Roman" w:cs="Times New Roman" w:eastAsia="Times New Roman" w:hAnsi="Times New Roman"/>
          <w:sz w:val="14"/>
          <w:szCs w:val="14"/>
          <w:color w:val="auto"/>
        </w:rPr>
      </w:pPr>
    </w:p>
    <w:p>
      <w:pPr>
        <w:ind w:left="1700" w:right="1599" w:hanging="133"/>
        <w:spacing w:after="0" w:line="269" w:lineRule="auto"/>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41" w:lineRule="exact"/>
        <w:rPr>
          <w:rFonts w:ascii="Times New Roman" w:cs="Times New Roman" w:eastAsia="Times New Roman" w:hAnsi="Times New Roman"/>
          <w:sz w:val="14"/>
          <w:szCs w:val="14"/>
          <w:color w:val="auto"/>
        </w:rPr>
      </w:pPr>
    </w:p>
    <w:p>
      <w:pPr>
        <w:ind w:left="1700" w:right="1539" w:hanging="133"/>
        <w:spacing w:after="0" w:line="286" w:lineRule="auto"/>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amplification of other risks caused by volatile or closed financial markets, capital constraints, liquidity concerns and inflation;</w:t>
      </w:r>
    </w:p>
    <w:p>
      <w:pPr>
        <w:spacing w:after="0" w:line="18" w:lineRule="exact"/>
        <w:rPr>
          <w:rFonts w:ascii="Times New Roman" w:cs="Times New Roman" w:eastAsia="Times New Roman" w:hAnsi="Times New Roman"/>
          <w:sz w:val="14"/>
          <w:szCs w:val="14"/>
          <w:color w:val="auto"/>
        </w:rPr>
      </w:pPr>
    </w:p>
    <w:p>
      <w:pPr>
        <w:ind w:left="1700" w:right="1579" w:hanging="133"/>
        <w:spacing w:after="0" w:line="286" w:lineRule="auto"/>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use or availability of third-party assets upon which our operations depend and over which we have little or no control;</w:t>
      </w:r>
    </w:p>
    <w:p>
      <w:pPr>
        <w:spacing w:after="0" w:line="2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exchange rate of the Canadian dollar to the United States dollar;</w:t>
      </w:r>
    </w:p>
    <w:p>
      <w:pPr>
        <w:spacing w:after="0" w:line="82" w:lineRule="exact"/>
        <w:rPr>
          <w:rFonts w:ascii="Times New Roman" w:cs="Times New Roman" w:eastAsia="Times New Roman" w:hAnsi="Times New Roman"/>
          <w:sz w:val="14"/>
          <w:szCs w:val="14"/>
          <w:color w:val="auto"/>
        </w:rPr>
      </w:pPr>
    </w:p>
    <w:p>
      <w:pPr>
        <w:jc w:val="both"/>
        <w:ind w:left="1700" w:right="1459" w:hanging="133"/>
        <w:spacing w:after="0" w:line="279" w:lineRule="auto"/>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recognize current revenue attributable to deficiency payments received from customers who fail to ship or move more than minimum contracted volumes until the related credits expire or are used;</w:t>
      </w:r>
    </w:p>
    <w:p>
      <w:pPr>
        <w:spacing w:after="0" w:line="197"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under-utilization of our assets and facilities;</w:t>
      </w:r>
    </w:p>
    <w:p>
      <w:pPr>
        <w:spacing w:after="0" w:line="82"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costs, or lack of availability, of insurance;</w:t>
      </w:r>
    </w:p>
    <w:p>
      <w:pPr>
        <w:spacing w:after="0" w:line="82" w:lineRule="exact"/>
        <w:rPr>
          <w:rFonts w:ascii="Times New Roman" w:cs="Times New Roman" w:eastAsia="Times New Roman" w:hAnsi="Times New Roman"/>
          <w:sz w:val="14"/>
          <w:szCs w:val="14"/>
          <w:color w:val="auto"/>
        </w:rPr>
      </w:pPr>
    </w:p>
    <w:p>
      <w:pPr>
        <w:ind w:left="1700" w:right="1579" w:hanging="133"/>
        <w:spacing w:after="0" w:line="286" w:lineRule="auto"/>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the debt and equity markets, including the price of our units at the time of vesting under our long-term incentive plans;</w:t>
      </w:r>
    </w:p>
    <w:p>
      <w:pPr>
        <w:spacing w:after="0" w:line="18"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development and operation of our assets;</w:t>
      </w:r>
    </w:p>
    <w:p>
      <w:pPr>
        <w:spacing w:after="0" w:line="82" w:lineRule="exact"/>
        <w:rPr>
          <w:rFonts w:ascii="Times New Roman" w:cs="Times New Roman" w:eastAsia="Times New Roman" w:hAnsi="Times New Roman"/>
          <w:sz w:val="14"/>
          <w:szCs w:val="14"/>
          <w:color w:val="auto"/>
        </w:rPr>
      </w:pPr>
    </w:p>
    <w:p>
      <w:pPr>
        <w:ind w:left="1700" w:right="1319" w:hanging="133"/>
        <w:spacing w:after="0" w:line="286" w:lineRule="auto"/>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pace of development of natural gas infrastructure and its impact on expected crude oil production growth in the Permian Basin; and</w:t>
      </w:r>
    </w:p>
    <w:p>
      <w:pPr>
        <w:spacing w:after="0" w:line="29" w:lineRule="exact"/>
        <w:rPr>
          <w:rFonts w:ascii="Times New Roman" w:cs="Times New Roman" w:eastAsia="Times New Roman" w:hAnsi="Times New Roman"/>
          <w:sz w:val="14"/>
          <w:szCs w:val="14"/>
          <w:color w:val="auto"/>
        </w:rPr>
      </w:pPr>
    </w:p>
    <w:p>
      <w:pPr>
        <w:jc w:val="both"/>
        <w:ind w:left="1700" w:right="1419" w:hanging="133"/>
        <w:spacing w:after="0" w:line="286" w:lineRule="auto"/>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and uncertainties inherent in the transportation, storage, terminalling and marketing of crude oil, as well as in the processing, transportation, fractionation, storage and marketing of NGL.</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7" w:name="page8"/>
    <w:bookmarkEnd w:id="7"/>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right="1319" w:firstLine="282"/>
        <w:spacing w:after="0" w:line="258"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Other factors described or incorporated by reference herein, as well as factors that are unknown or unpredictable, could also have a material adverse effect on future results. See “Risk Factors” beginning on </w:t>
      </w:r>
      <w:hyperlink r:id="rId21">
        <w:r>
          <w:rPr>
            <w:rFonts w:ascii="Times New Roman" w:cs="Times New Roman" w:eastAsia="Times New Roman" w:hAnsi="Times New Roman"/>
            <w:sz w:val="14"/>
            <w:szCs w:val="14"/>
            <w:color w:val="auto"/>
          </w:rPr>
          <w:t xml:space="preserve">page 3 of this prospectus and discussed in Item 1A. “Risk Factors” in our Annual Report on </w:t>
        </w:r>
        <w:r>
          <w:rPr>
            <w:rFonts w:ascii="Times New Roman" w:cs="Times New Roman" w:eastAsia="Times New Roman" w:hAnsi="Times New Roman"/>
            <w:sz w:val="14"/>
            <w:szCs w:val="14"/>
            <w:u w:val="single" w:color="auto"/>
            <w:color w:val="0000EE"/>
          </w:rPr>
          <w:t>Form 10-K for</w:t>
        </w:r>
      </w:hyperlink>
      <w:r>
        <w:rPr>
          <w:rFonts w:ascii="Times New Roman" w:cs="Times New Roman" w:eastAsia="Times New Roman" w:hAnsi="Times New Roman"/>
          <w:sz w:val="14"/>
          <w:szCs w:val="14"/>
          <w:color w:val="auto"/>
        </w:rPr>
        <w:t xml:space="preserve"> </w:t>
      </w:r>
      <w:hyperlink r:id="rId21">
        <w:r>
          <w:rPr>
            <w:rFonts w:ascii="Times New Roman" w:cs="Times New Roman" w:eastAsia="Times New Roman" w:hAnsi="Times New Roman"/>
            <w:sz w:val="14"/>
            <w:szCs w:val="14"/>
            <w:u w:val="single" w:color="auto"/>
            <w:color w:val="0000EE"/>
          </w:rPr>
          <w:t>the year ended December 31, 2023 (File No. 001-14569)</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 in any of our subsequent quarterly or current</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reports, which are incorporated into this prospectus by reference, for information regarding risks you should consider before making an investment decision. Except as required by applicable securities laws, we do not intend to update these forward-looking statements and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8" w:name="page9"/>
    <w:bookmarkEnd w:id="8"/>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PLAINS ALL AMERICAN PIPELINE, L.P.</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27" w:lineRule="exact"/>
        <w:rPr>
          <w:sz w:val="20"/>
          <w:szCs w:val="20"/>
          <w:color w:val="auto"/>
        </w:rPr>
      </w:pPr>
    </w:p>
    <w:p>
      <w:pPr>
        <w:ind w:left="1280" w:right="1659" w:firstLine="282"/>
        <w:spacing w:after="0" w:line="286" w:lineRule="auto"/>
        <w:rPr>
          <w:sz w:val="20"/>
          <w:szCs w:val="20"/>
          <w:color w:val="auto"/>
        </w:rPr>
      </w:pPr>
      <w:r>
        <w:rPr>
          <w:rFonts w:ascii="Times New Roman" w:cs="Times New Roman" w:eastAsia="Times New Roman" w:hAnsi="Times New Roman"/>
          <w:sz w:val="14"/>
          <w:szCs w:val="14"/>
          <w:color w:val="auto"/>
        </w:rPr>
        <w:t>We are a Delaware limited partnership formed in 1998. Our operations are conducted directly and indirectly through our primary operating subsidiaries.</w:t>
      </w:r>
    </w:p>
    <w:p>
      <w:pPr>
        <w:spacing w:after="0" w:line="72" w:lineRule="exact"/>
        <w:rPr>
          <w:sz w:val="20"/>
          <w:szCs w:val="20"/>
          <w:color w:val="auto"/>
        </w:rPr>
      </w:pPr>
    </w:p>
    <w:p>
      <w:pPr>
        <w:ind w:left="1280" w:right="1299" w:firstLine="282"/>
        <w:spacing w:after="0" w:line="258" w:lineRule="auto"/>
        <w:rPr>
          <w:sz w:val="20"/>
          <w:szCs w:val="20"/>
          <w:color w:val="auto"/>
        </w:rPr>
      </w:pPr>
      <w:r>
        <w:rPr>
          <w:rFonts w:ascii="Times New Roman" w:cs="Times New Roman" w:eastAsia="Times New Roman" w:hAnsi="Times New Roman"/>
          <w:sz w:val="14"/>
          <w:szCs w:val="14"/>
          <w:color w:val="auto"/>
        </w:rPr>
        <w:t>Our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Our assets and the services we provide are primarily focused on and conducted through two operating segments: Crude Oil and NGL.</w:t>
      </w:r>
    </w:p>
    <w:p>
      <w:pPr>
        <w:spacing w:after="0" w:line="81" w:lineRule="exact"/>
        <w:rPr>
          <w:sz w:val="20"/>
          <w:szCs w:val="20"/>
          <w:color w:val="auto"/>
        </w:rPr>
      </w:pPr>
    </w:p>
    <w:p>
      <w:pPr>
        <w:ind w:left="1280" w:right="1339" w:firstLine="282"/>
        <w:spacing w:after="0" w:line="266" w:lineRule="auto"/>
        <w:rPr>
          <w:sz w:val="20"/>
          <w:szCs w:val="20"/>
          <w:color w:val="auto"/>
        </w:rPr>
      </w:pPr>
      <w:r>
        <w:rPr>
          <w:rFonts w:ascii="Times New Roman" w:cs="Times New Roman" w:eastAsia="Times New Roman" w:hAnsi="Times New Roman"/>
          <w:sz w:val="14"/>
          <w:szCs w:val="14"/>
          <w:color w:val="auto"/>
        </w:rPr>
        <w:t>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w:t>
      </w:r>
    </w:p>
    <w:p>
      <w:pPr>
        <w:spacing w:after="0" w:line="259" w:lineRule="exact"/>
        <w:rPr>
          <w:sz w:val="20"/>
          <w:szCs w:val="20"/>
          <w:color w:val="auto"/>
        </w:rPr>
      </w:pPr>
    </w:p>
    <w:p>
      <w:pPr>
        <w:ind w:left="1280" w:right="1319" w:firstLine="282"/>
        <w:spacing w:after="0" w:line="259" w:lineRule="auto"/>
        <w:rPr>
          <w:sz w:val="20"/>
          <w:szCs w:val="20"/>
          <w:color w:val="auto"/>
        </w:rPr>
      </w:pPr>
      <w:r>
        <w:rPr>
          <w:rFonts w:ascii="Times New Roman" w:cs="Times New Roman" w:eastAsia="Times New Roman" w:hAnsi="Times New Roman"/>
          <w:sz w:val="14"/>
          <w:szCs w:val="14"/>
          <w:color w:val="auto"/>
        </w:rPr>
        <w:t>Our non-economic general partner interest is held by PAA GP, whose sole member is AAP. In addition to its ownership of PAA GP, as of June 30, 2024, AAP also owned a limited partner interest in us through its ownership of approximately 232.7 million of our common units (approximately 30% of our total outstanding common units and Series A preferred units combined). GP LLC is AAP’s general partner. PAGP is the sole and managing member of GP LLC, and, at June 30, 2024, owned an approximate 85% limited partner interest in AAP. PAGP GP is the general partner of PAGP.</w:t>
      </w:r>
    </w:p>
    <w:p>
      <w:pPr>
        <w:spacing w:after="0" w:line="91" w:lineRule="exact"/>
        <w:rPr>
          <w:sz w:val="20"/>
          <w:szCs w:val="20"/>
          <w:color w:val="auto"/>
        </w:rPr>
      </w:pPr>
    </w:p>
    <w:p>
      <w:pPr>
        <w:ind w:left="1280" w:right="1519" w:firstLine="282"/>
        <w:spacing w:after="0" w:line="263" w:lineRule="auto"/>
        <w:rPr>
          <w:sz w:val="20"/>
          <w:szCs w:val="20"/>
          <w:color w:val="auto"/>
        </w:rPr>
      </w:pPr>
      <w:r>
        <w:rPr>
          <w:rFonts w:ascii="Times New Roman" w:cs="Times New Roman" w:eastAsia="Times New Roman" w:hAnsi="Times New Roman"/>
          <w:sz w:val="14"/>
          <w:szCs w:val="14"/>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w:t>
      </w:r>
    </w:p>
    <w:p>
      <w:pPr>
        <w:spacing w:after="0" w:line="78" w:lineRule="exact"/>
        <w:rPr>
          <w:sz w:val="20"/>
          <w:szCs w:val="20"/>
          <w:color w:val="auto"/>
        </w:rPr>
      </w:pPr>
    </w:p>
    <w:p>
      <w:pPr>
        <w:ind w:left="1280" w:right="1359" w:firstLine="282"/>
        <w:spacing w:after="0" w:line="261" w:lineRule="auto"/>
        <w:rPr>
          <w:sz w:val="20"/>
          <w:szCs w:val="20"/>
          <w:color w:val="auto"/>
        </w:rPr>
      </w:pPr>
      <w:r>
        <w:rPr>
          <w:rFonts w:ascii="Times New Roman" w:cs="Times New Roman" w:eastAsia="Times New Roman" w:hAnsi="Times New Roman"/>
          <w:sz w:val="14"/>
          <w:szCs w:val="14"/>
          <w:color w:val="auto"/>
        </w:rPr>
        <w:t>For purposes of this prospectus, unless the context clearly indicates otherwise, “Partnership,” “Plains,” “PAA,” “we,” “us,” “our,” “ours” and similar terms refer to Plains All American Pipeline, L.P. and its subsidiaries. References to our “general partner,” as the context requires, include any or all of PAA GP Holdings LLC (“PAGP GP”), Plains GP Holdings, L.P. (“PAGP”), PAA GP LLC (“PAA GP”), Plains AAP, L.P. (“AAP”) and Plains All American GP LLC (“GP LLC”).</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Ongoing Activities Related to Strategic Transactions</w:t>
      </w:r>
    </w:p>
    <w:p>
      <w:pPr>
        <w:spacing w:after="0" w:line="127" w:lineRule="exact"/>
        <w:rPr>
          <w:sz w:val="20"/>
          <w:szCs w:val="20"/>
          <w:color w:val="auto"/>
        </w:rPr>
      </w:pPr>
    </w:p>
    <w:p>
      <w:pPr>
        <w:ind w:left="1280" w:right="1319" w:firstLine="282"/>
        <w:spacing w:after="0" w:line="257" w:lineRule="auto"/>
        <w:rPr>
          <w:sz w:val="20"/>
          <w:szCs w:val="20"/>
          <w:color w:val="auto"/>
        </w:rPr>
      </w:pPr>
      <w:r>
        <w:rPr>
          <w:rFonts w:ascii="Times New Roman" w:cs="Times New Roman" w:eastAsia="Times New Roman" w:hAnsi="Times New Roman"/>
          <w:sz w:val="14"/>
          <w:szCs w:val="14"/>
          <w:color w:val="auto"/>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 party or we may negotiate a transaction with one or a limited number of potential sellers (in the case of an acquisition) or buyers (in the case of a divestiture). Such transactions could have a material effect on our financial condition and results of operations.</w:t>
      </w:r>
    </w:p>
    <w:p>
      <w:pPr>
        <w:spacing w:after="0" w:line="265" w:lineRule="exact"/>
        <w:rPr>
          <w:sz w:val="20"/>
          <w:szCs w:val="20"/>
          <w:color w:val="auto"/>
        </w:rPr>
      </w:pPr>
    </w:p>
    <w:p>
      <w:pPr>
        <w:ind w:left="1280" w:right="1299" w:firstLine="282"/>
        <w:spacing w:after="0" w:line="257" w:lineRule="auto"/>
        <w:rPr>
          <w:sz w:val="20"/>
          <w:szCs w:val="20"/>
          <w:color w:val="auto"/>
        </w:rPr>
      </w:pPr>
      <w:r>
        <w:rPr>
          <w:rFonts w:ascii="Times New Roman" w:cs="Times New Roman" w:eastAsia="Times New Roman" w:hAnsi="Times New Roman"/>
          <w:sz w:val="14"/>
          <w:szCs w:val="14"/>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9" w:name="page10"/>
    <w:bookmarkEnd w:id="9"/>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Principal Executive Offices and Internet Address</w:t>
      </w:r>
    </w:p>
    <w:p>
      <w:pPr>
        <w:spacing w:after="0" w:line="127" w:lineRule="exact"/>
        <w:rPr>
          <w:sz w:val="20"/>
          <w:szCs w:val="20"/>
          <w:color w:val="auto"/>
        </w:rPr>
      </w:pPr>
    </w:p>
    <w:p>
      <w:pPr>
        <w:ind w:left="1280" w:right="1319" w:firstLine="282"/>
        <w:spacing w:after="0" w:line="258" w:lineRule="auto"/>
        <w:rPr>
          <w:sz w:val="20"/>
          <w:szCs w:val="20"/>
          <w:color w:val="auto"/>
        </w:rPr>
      </w:pPr>
      <w:r>
        <w:rPr>
          <w:rFonts w:ascii="Times New Roman" w:cs="Times New Roman" w:eastAsia="Times New Roman" w:hAnsi="Times New Roman"/>
          <w:sz w:val="14"/>
          <w:szCs w:val="14"/>
          <w:color w:val="auto"/>
        </w:rPr>
        <w:t xml:space="preserve">Our principal executive offices are located at 333 Clay Street, Suite 1600, Houston, Texas 77002 and our telephone number is (713) 646-4100. We maintain a website at </w:t>
      </w:r>
      <w:r>
        <w:rPr>
          <w:rFonts w:ascii="Times New Roman" w:cs="Times New Roman" w:eastAsia="Times New Roman" w:hAnsi="Times New Roman"/>
          <w:sz w:val="14"/>
          <w:szCs w:val="14"/>
          <w:i w:val="1"/>
          <w:iCs w:val="1"/>
          <w:color w:val="auto"/>
        </w:rPr>
        <w:t>www.plains.com</w:t>
      </w:r>
      <w:r>
        <w:rPr>
          <w:rFonts w:ascii="Times New Roman" w:cs="Times New Roman" w:eastAsia="Times New Roman" w:hAnsi="Times New Roman"/>
          <w:sz w:val="14"/>
          <w:szCs w:val="14"/>
          <w:color w:val="auto"/>
        </w:rPr>
        <w:t xml:space="preserve"> that provides information about our business and operations.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contained on or available through our website or any other website is not incorporated by reference into this prospectus and does not constitute a part of this prospectus.</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Additional Information</w:t>
      </w:r>
    </w:p>
    <w:p>
      <w:pPr>
        <w:spacing w:after="0" w:line="127" w:lineRule="exact"/>
        <w:rPr>
          <w:sz w:val="20"/>
          <w:szCs w:val="20"/>
          <w:color w:val="auto"/>
        </w:rPr>
      </w:pPr>
    </w:p>
    <w:p>
      <w:pPr>
        <w:ind w:left="1280" w:right="1319" w:firstLine="282"/>
        <w:spacing w:after="0" w:line="263"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For additional information about us please refer to the documents set forth under “Where You Can Find </w:t>
      </w:r>
      <w:hyperlink r:id="rId21">
        <w:r>
          <w:rPr>
            <w:rFonts w:ascii="Times New Roman" w:cs="Times New Roman" w:eastAsia="Times New Roman" w:hAnsi="Times New Roman"/>
            <w:sz w:val="14"/>
            <w:szCs w:val="14"/>
            <w:color w:val="auto"/>
          </w:rPr>
          <w:t xml:space="preserve">More Information” in this prospectus, including our </w:t>
        </w:r>
        <w:r>
          <w:rPr>
            <w:rFonts w:ascii="Times New Roman" w:cs="Times New Roman" w:eastAsia="Times New Roman" w:hAnsi="Times New Roman"/>
            <w:sz w:val="14"/>
            <w:szCs w:val="14"/>
            <w:u w:val="single" w:color="auto"/>
            <w:color w:val="0000EE"/>
          </w:rPr>
          <w:t>Annual Report on Form 10-K for the fiscal year ended</w:t>
        </w:r>
      </w:hyperlink>
      <w:r>
        <w:rPr>
          <w:rFonts w:ascii="Times New Roman" w:cs="Times New Roman" w:eastAsia="Times New Roman" w:hAnsi="Times New Roman"/>
          <w:sz w:val="14"/>
          <w:szCs w:val="14"/>
          <w:color w:val="auto"/>
        </w:rPr>
        <w:t xml:space="preserve"> </w:t>
      </w:r>
      <w:hyperlink r:id="rId21">
        <w:r>
          <w:rPr>
            <w:rFonts w:ascii="Times New Roman" w:cs="Times New Roman" w:eastAsia="Times New Roman" w:hAnsi="Times New Roman"/>
            <w:sz w:val="14"/>
            <w:szCs w:val="14"/>
            <w:u w:val="single" w:color="auto"/>
            <w:color w:val="0000EE"/>
          </w:rPr>
          <w:t>December 31, 2023 (File No. 001-14569)</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 any of our subsequent quarterly reports or current reports,</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which are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0" w:name="page11"/>
    <w:bookmarkEnd w:id="10"/>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7" w:lineRule="exact"/>
        <w:rPr>
          <w:sz w:val="20"/>
          <w:szCs w:val="20"/>
          <w:color w:val="auto"/>
        </w:rPr>
      </w:pPr>
    </w:p>
    <w:p>
      <w:pPr>
        <w:ind w:left="1280" w:right="1299" w:firstLine="282"/>
        <w:spacing w:after="0" w:line="256"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An investment in our securities involves a high degree of risk. Before you invest in our securities, you </w:t>
      </w:r>
      <w:hyperlink r:id="rId21">
        <w:r>
          <w:rPr>
            <w:rFonts w:ascii="Times New Roman" w:cs="Times New Roman" w:eastAsia="Times New Roman" w:hAnsi="Times New Roman"/>
            <w:sz w:val="14"/>
            <w:szCs w:val="14"/>
            <w:color w:val="auto"/>
          </w:rPr>
          <w:t xml:space="preserve">should carefully consider the risk factors included in Item 1A. “Risk Factors” in our </w:t>
        </w:r>
        <w:r>
          <w:rPr>
            <w:rFonts w:ascii="Times New Roman" w:cs="Times New Roman" w:eastAsia="Times New Roman" w:hAnsi="Times New Roman"/>
            <w:sz w:val="14"/>
            <w:szCs w:val="14"/>
            <w:u w:val="single" w:color="auto"/>
            <w:color w:val="0000EE"/>
          </w:rPr>
          <w:t>Annual Report on Form</w:t>
        </w:r>
      </w:hyperlink>
      <w:r>
        <w:rPr>
          <w:rFonts w:ascii="Times New Roman" w:cs="Times New Roman" w:eastAsia="Times New Roman" w:hAnsi="Times New Roman"/>
          <w:sz w:val="14"/>
          <w:szCs w:val="14"/>
          <w:color w:val="auto"/>
        </w:rPr>
        <w:t xml:space="preserve"> </w:t>
      </w:r>
      <w:hyperlink r:id="rId21">
        <w:r>
          <w:rPr>
            <w:rFonts w:ascii="Times New Roman" w:cs="Times New Roman" w:eastAsia="Times New Roman" w:hAnsi="Times New Roman"/>
            <w:sz w:val="14"/>
            <w:szCs w:val="14"/>
            <w:u w:val="single" w:color="auto"/>
            <w:color w:val="0000EE"/>
          </w:rPr>
          <w:t>10-K for the year ended December 31, 2023 (File No. 001-14569)</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 in any of our subsequent quarterly</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reports or current reports, which are incorporated into this prospectus by reference, together with all of the other information included in this prospectus, any prospectus supplement and the documents we incorporate by reference, in evaluating an investment in our securities. If any of these risks were to occur, our business, financial condition or results of operations could be materially adversely affected. In such case, the market value of our common units, preferred units or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1" w:name="page12"/>
    <w:bookmarkEnd w:id="11"/>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7" w:lineRule="exact"/>
        <w:rPr>
          <w:sz w:val="20"/>
          <w:szCs w:val="20"/>
          <w:color w:val="auto"/>
        </w:rPr>
      </w:pPr>
    </w:p>
    <w:p>
      <w:pPr>
        <w:ind w:left="1280" w:right="1339" w:firstLine="282"/>
        <w:spacing w:after="0" w:line="263" w:lineRule="auto"/>
        <w:rPr>
          <w:sz w:val="20"/>
          <w:szCs w:val="20"/>
          <w:color w:val="auto"/>
        </w:rPr>
      </w:pPr>
      <w:r>
        <w:rPr>
          <w:rFonts w:ascii="Times New Roman" w:cs="Times New Roman" w:eastAsia="Times New Roman" w:hAnsi="Times New Roman"/>
          <w:sz w:val="14"/>
          <w:szCs w:val="14"/>
          <w:color w:val="auto"/>
        </w:rPr>
        <w:t>Unless otherwise indicated to the contrary in an applicable prospectus supplement, we intend to use the net proceeds we receive from the sale of securities covered by this prospectus and any prospectus supplement for general partnership purposes, which may include, among other things, repayment of indebtedness, acquisitions, capital expenditures and additions to working capital.</w:t>
      </w:r>
    </w:p>
    <w:p>
      <w:pPr>
        <w:spacing w:after="0" w:line="89" w:lineRule="exact"/>
        <w:rPr>
          <w:sz w:val="20"/>
          <w:szCs w:val="20"/>
          <w:color w:val="auto"/>
        </w:rPr>
      </w:pPr>
    </w:p>
    <w:p>
      <w:pPr>
        <w:ind w:left="1280" w:right="1599" w:firstLine="282"/>
        <w:spacing w:after="0" w:line="286" w:lineRule="auto"/>
        <w:rPr>
          <w:sz w:val="20"/>
          <w:szCs w:val="20"/>
          <w:color w:val="auto"/>
        </w:rPr>
      </w:pPr>
      <w:r>
        <w:rPr>
          <w:rFonts w:ascii="Times New Roman" w:cs="Times New Roman" w:eastAsia="Times New Roman" w:hAnsi="Times New Roman"/>
          <w:sz w:val="14"/>
          <w:szCs w:val="14"/>
          <w:color w:val="auto"/>
        </w:rPr>
        <w:t>Any specific allocation of the net proceeds of an offering of securities to a specific purpose will be determined at the time of the offering and will be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2" w:name="page13"/>
    <w:bookmarkEnd w:id="12"/>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OUR DEBT SECURITIES</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debt securities will be:</w:t>
      </w:r>
    </w:p>
    <w:p>
      <w:pPr>
        <w:spacing w:after="0" w:line="93" w:lineRule="exact"/>
        <w:rPr>
          <w:sz w:val="20"/>
          <w:szCs w:val="20"/>
          <w:color w:val="auto"/>
        </w:rPr>
      </w:pPr>
    </w:p>
    <w:p>
      <w:pPr>
        <w:ind w:left="1700" w:hanging="133"/>
        <w:spacing w:after="0"/>
        <w:tabs>
          <w:tab w:leader="none" w:pos="17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direct general obligations;</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senior debt securities or subordinated debt securities; and</w:t>
      </w:r>
    </w:p>
    <w:p>
      <w:pPr>
        <w:spacing w:after="0" w:line="93" w:lineRule="exact"/>
        <w:rPr>
          <w:rFonts w:ascii="Times New Roman" w:cs="Times New Roman" w:eastAsia="Times New Roman" w:hAnsi="Times New Roman"/>
          <w:sz w:val="14"/>
          <w:szCs w:val="14"/>
          <w:color w:val="auto"/>
        </w:rPr>
      </w:pPr>
    </w:p>
    <w:p>
      <w:pPr>
        <w:ind w:left="1700" w:right="1499" w:hanging="133"/>
        <w:spacing w:after="0" w:line="286" w:lineRule="auto"/>
        <w:tabs>
          <w:tab w:leader="none" w:pos="17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under separate indentures (which may be existing indentures) among Plains All American Pipeline, PAA Finance and U.S. Bank Trust Company, National Association, as successor Trustee.</w:t>
      </w:r>
    </w:p>
    <w:p>
      <w:pPr>
        <w:spacing w:after="0" w:line="72" w:lineRule="exact"/>
        <w:rPr>
          <w:sz w:val="20"/>
          <w:szCs w:val="20"/>
          <w:color w:val="auto"/>
        </w:rPr>
      </w:pPr>
    </w:p>
    <w:p>
      <w:pPr>
        <w:ind w:left="1280" w:right="1299" w:firstLine="282"/>
        <w:spacing w:after="0" w:line="257" w:lineRule="auto"/>
        <w:rPr>
          <w:sz w:val="20"/>
          <w:szCs w:val="20"/>
          <w:color w:val="auto"/>
        </w:rPr>
      </w:pPr>
      <w:r>
        <w:rPr>
          <w:rFonts w:ascii="Times New Roman" w:cs="Times New Roman" w:eastAsia="Times New Roman" w:hAnsi="Times New Roman"/>
          <w:sz w:val="14"/>
          <w:szCs w:val="14"/>
          <w:color w:val="auto"/>
        </w:rPr>
        <w:t>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Our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93" w:lineRule="exact"/>
        <w:rPr>
          <w:sz w:val="20"/>
          <w:szCs w:val="20"/>
          <w:color w:val="auto"/>
        </w:rPr>
      </w:pPr>
    </w:p>
    <w:p>
      <w:pPr>
        <w:ind w:left="1280" w:right="1359" w:firstLine="282"/>
        <w:spacing w:after="0" w:line="259" w:lineRule="auto"/>
        <w:rPr>
          <w:sz w:val="20"/>
          <w:szCs w:val="20"/>
          <w:color w:val="auto"/>
        </w:rPr>
      </w:pPr>
      <w:r>
        <w:rPr>
          <w:rFonts w:ascii="Times New Roman" w:cs="Times New Roman" w:eastAsia="Times New Roman" w:hAnsi="Times New Roman"/>
          <w:sz w:val="14"/>
          <w:szCs w:val="14"/>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this summary have the meanings specified in the indentures.</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Specific Terms of Each Series of Debt Securities in the Prospectus Supplement</w:t>
      </w:r>
    </w:p>
    <w:p>
      <w:pPr>
        <w:spacing w:after="0" w:line="116" w:lineRule="exact"/>
        <w:rPr>
          <w:sz w:val="20"/>
          <w:szCs w:val="20"/>
          <w:color w:val="auto"/>
        </w:rPr>
      </w:pPr>
    </w:p>
    <w:p>
      <w:pPr>
        <w:jc w:val="both"/>
        <w:ind w:left="1280" w:right="1359" w:firstLine="282"/>
        <w:spacing w:after="0" w:line="269" w:lineRule="auto"/>
        <w:rPr>
          <w:sz w:val="20"/>
          <w:szCs w:val="20"/>
          <w:color w:val="auto"/>
        </w:rPr>
      </w:pPr>
      <w:r>
        <w:rPr>
          <w:rFonts w:ascii="Times New Roman" w:cs="Times New Roman" w:eastAsia="Times New Roman" w:hAnsi="Times New Roman"/>
          <w:sz w:val="14"/>
          <w:szCs w:val="14"/>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52" w:lineRule="exact"/>
        <w:rPr>
          <w:sz w:val="20"/>
          <w:szCs w:val="20"/>
          <w:color w:val="auto"/>
        </w:rPr>
      </w:pPr>
    </w:p>
    <w:p>
      <w:pPr>
        <w:ind w:left="1700" w:hanging="133"/>
        <w:spacing w:after="0"/>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PAA Finance will be a co-issuer of the debt securities;</w:t>
      </w:r>
    </w:p>
    <w:p>
      <w:pPr>
        <w:spacing w:after="0" w:line="10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senior or subordinated debt securities;</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securities;</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principal amount of the debt securities;</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assets, if any, that are pledged as security for the payment of the debt securities;</w:t>
      </w:r>
    </w:p>
    <w:p>
      <w:pPr>
        <w:spacing w:after="0" w:line="93" w:lineRule="exact"/>
        <w:rPr>
          <w:rFonts w:ascii="Times New Roman" w:cs="Times New Roman" w:eastAsia="Times New Roman" w:hAnsi="Times New Roman"/>
          <w:sz w:val="14"/>
          <w:szCs w:val="14"/>
          <w:color w:val="auto"/>
        </w:rPr>
      </w:pPr>
    </w:p>
    <w:p>
      <w:pPr>
        <w:ind w:left="1700" w:right="1339" w:hanging="133"/>
        <w:spacing w:after="0" w:line="286" w:lineRule="auto"/>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will issue the debt securities in individual certificates to each holder in registered form, or in the form of temporary or permanent global securities held by a depository on behalf of holders;</w:t>
      </w:r>
    </w:p>
    <w:p>
      <w:pPr>
        <w:spacing w:after="0" w:line="3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prices at which we will issue the debt securities;</w:t>
      </w:r>
    </w:p>
    <w:p>
      <w:pPr>
        <w:spacing w:after="0" w:line="93" w:lineRule="exact"/>
        <w:rPr>
          <w:rFonts w:ascii="Times New Roman" w:cs="Times New Roman" w:eastAsia="Times New Roman" w:hAnsi="Times New Roman"/>
          <w:sz w:val="14"/>
          <w:szCs w:val="14"/>
          <w:color w:val="auto"/>
        </w:rPr>
      </w:pPr>
    </w:p>
    <w:p>
      <w:pPr>
        <w:ind w:left="1700" w:right="1739" w:hanging="133"/>
        <w:spacing w:after="0" w:line="286" w:lineRule="auto"/>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the principal amount that will be payable if the maturity of the debt securities is accelerated;</w:t>
      </w:r>
    </w:p>
    <w:p>
      <w:pPr>
        <w:spacing w:after="0" w:line="3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currency unit in which the debt securities will be payable, if not U.S. dollars;</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the principal of the debt securities will be payable;</w:t>
      </w:r>
    </w:p>
    <w:p>
      <w:pPr>
        <w:spacing w:after="0" w:line="93" w:lineRule="exact"/>
        <w:rPr>
          <w:rFonts w:ascii="Times New Roman" w:cs="Times New Roman" w:eastAsia="Times New Roman" w:hAnsi="Times New Roman"/>
          <w:sz w:val="14"/>
          <w:szCs w:val="14"/>
          <w:color w:val="auto"/>
        </w:rPr>
      </w:pPr>
    </w:p>
    <w:p>
      <w:pPr>
        <w:ind w:left="1700" w:right="1899" w:hanging="133"/>
        <w:spacing w:after="0" w:line="286" w:lineRule="auto"/>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that the debt securities will bear and the interest payment dates for the debt securities;</w:t>
      </w:r>
    </w:p>
    <w:p>
      <w:pPr>
        <w:spacing w:after="0" w:line="3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conversion or exchange provisions;</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optional redemption provisions;</w:t>
      </w:r>
    </w:p>
    <w:p>
      <w:pPr>
        <w:spacing w:after="0" w:line="93" w:lineRule="exact"/>
        <w:rPr>
          <w:rFonts w:ascii="Times New Roman" w:cs="Times New Roman" w:eastAsia="Times New Roman" w:hAnsi="Times New Roman"/>
          <w:sz w:val="14"/>
          <w:szCs w:val="14"/>
          <w:color w:val="auto"/>
        </w:rPr>
      </w:pPr>
    </w:p>
    <w:p>
      <w:pPr>
        <w:ind w:left="1700" w:right="1519" w:hanging="133"/>
        <w:spacing w:after="0" w:line="286" w:lineRule="auto"/>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sinking fund or other provisions that would obligate us to repurchase or otherwise redeem the debt securities;</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3" w:name="page14"/>
    <w:bookmarkEnd w:id="13"/>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700" w:hanging="133"/>
        <w:spacing w:after="0"/>
        <w:tabs>
          <w:tab w:leader="none" w:pos="17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changes to or additional events of default or covenants; and</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w:t>
      </w:r>
    </w:p>
    <w:p>
      <w:pPr>
        <w:spacing w:after="0" w:line="125" w:lineRule="exact"/>
        <w:rPr>
          <w:sz w:val="20"/>
          <w:szCs w:val="20"/>
          <w:color w:val="auto"/>
        </w:rPr>
      </w:pPr>
    </w:p>
    <w:p>
      <w:pPr>
        <w:ind w:left="1280" w:right="1319" w:firstLine="282"/>
        <w:spacing w:after="0" w:line="249" w:lineRule="auto"/>
        <w:rPr>
          <w:sz w:val="20"/>
          <w:szCs w:val="20"/>
          <w:color w:val="auto"/>
        </w:rPr>
      </w:pPr>
      <w:r>
        <w:rPr>
          <w:rFonts w:ascii="Times New Roman" w:cs="Times New Roman" w:eastAsia="Times New Roman" w:hAnsi="Times New Roman"/>
          <w:sz w:val="14"/>
          <w:szCs w:val="14"/>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1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Possible Future Guarantees</w:t>
      </w:r>
    </w:p>
    <w:p>
      <w:pPr>
        <w:spacing w:after="0" w:line="127" w:lineRule="exact"/>
        <w:rPr>
          <w:sz w:val="20"/>
          <w:szCs w:val="20"/>
          <w:color w:val="auto"/>
        </w:rPr>
      </w:pPr>
    </w:p>
    <w:p>
      <w:pPr>
        <w:ind w:left="1280" w:right="1479" w:firstLine="282"/>
        <w:spacing w:after="0" w:line="249" w:lineRule="auto"/>
        <w:rPr>
          <w:sz w:val="20"/>
          <w:szCs w:val="20"/>
          <w:color w:val="auto"/>
        </w:rPr>
      </w:pPr>
      <w:r>
        <w:rPr>
          <w:rFonts w:ascii="Times New Roman" w:cs="Times New Roman" w:eastAsia="Times New Roman" w:hAnsi="Times New Roman"/>
          <w:sz w:val="14"/>
          <w:szCs w:val="14"/>
          <w:color w:val="auto"/>
        </w:rPr>
        <w:t>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w:t>
      </w:r>
    </w:p>
    <w:p>
      <w:pPr>
        <w:spacing w:after="0" w:line="86" w:lineRule="exact"/>
        <w:rPr>
          <w:sz w:val="20"/>
          <w:szCs w:val="20"/>
          <w:color w:val="auto"/>
        </w:rPr>
      </w:pPr>
    </w:p>
    <w:p>
      <w:pPr>
        <w:ind w:left="1280" w:right="1519" w:firstLine="282"/>
        <w:spacing w:after="0" w:line="247" w:lineRule="auto"/>
        <w:rPr>
          <w:sz w:val="20"/>
          <w:szCs w:val="20"/>
          <w:color w:val="auto"/>
        </w:rPr>
      </w:pPr>
      <w:r>
        <w:rPr>
          <w:rFonts w:ascii="Times New Roman" w:cs="Times New Roman" w:eastAsia="Times New Roman" w:hAnsi="Times New Roman"/>
          <w:sz w:val="14"/>
          <w:szCs w:val="14"/>
          <w:color w:val="auto"/>
        </w:rPr>
        <w:t>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w:t>
      </w:r>
    </w:p>
    <w:p>
      <w:pPr>
        <w:spacing w:after="0" w:line="90" w:lineRule="exact"/>
        <w:rPr>
          <w:sz w:val="20"/>
          <w:szCs w:val="20"/>
          <w:color w:val="auto"/>
        </w:rPr>
      </w:pPr>
    </w:p>
    <w:p>
      <w:pPr>
        <w:ind w:left="1280" w:right="1499" w:firstLine="282"/>
        <w:spacing w:after="0" w:line="261" w:lineRule="auto"/>
        <w:rPr>
          <w:sz w:val="20"/>
          <w:szCs w:val="20"/>
          <w:color w:val="auto"/>
        </w:rPr>
      </w:pPr>
      <w:r>
        <w:rPr>
          <w:rFonts w:ascii="Times New Roman" w:cs="Times New Roman" w:eastAsia="Times New Roman" w:hAnsi="Times New Roman"/>
          <w:sz w:val="14"/>
          <w:szCs w:val="14"/>
          <w:color w:val="auto"/>
        </w:rPr>
        <w:t>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w:t>
      </w:r>
    </w:p>
    <w:p>
      <w:pPr>
        <w:spacing w:after="0" w:line="12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Consolidation, Merger or Asset Sale</w:t>
      </w:r>
    </w:p>
    <w:p>
      <w:pPr>
        <w:spacing w:after="0" w:line="127" w:lineRule="exact"/>
        <w:rPr>
          <w:sz w:val="20"/>
          <w:szCs w:val="20"/>
          <w:color w:val="auto"/>
        </w:rPr>
      </w:pPr>
    </w:p>
    <w:p>
      <w:pPr>
        <w:ind w:left="1280" w:right="1319" w:firstLine="282"/>
        <w:spacing w:after="0" w:line="249" w:lineRule="auto"/>
        <w:rPr>
          <w:sz w:val="20"/>
          <w:szCs w:val="20"/>
          <w:color w:val="auto"/>
        </w:rPr>
      </w:pPr>
      <w:r>
        <w:rPr>
          <w:rFonts w:ascii="Times New Roman" w:cs="Times New Roman" w:eastAsia="Times New Roman" w:hAnsi="Times New Roman"/>
          <w:sz w:val="14"/>
          <w:szCs w:val="14"/>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86" w:lineRule="exact"/>
        <w:rPr>
          <w:sz w:val="20"/>
          <w:szCs w:val="20"/>
          <w:color w:val="auto"/>
        </w:rPr>
      </w:pPr>
    </w:p>
    <w:p>
      <w:pPr>
        <w:jc w:val="both"/>
        <w:ind w:left="1280" w:right="1379" w:firstLine="282"/>
        <w:spacing w:after="0" w:line="261" w:lineRule="auto"/>
        <w:rPr>
          <w:sz w:val="20"/>
          <w:szCs w:val="20"/>
          <w:color w:val="auto"/>
        </w:rPr>
      </w:pPr>
      <w:r>
        <w:rPr>
          <w:rFonts w:ascii="Times New Roman" w:cs="Times New Roman" w:eastAsia="Times New Roman" w:hAnsi="Times New Roman"/>
          <w:sz w:val="14"/>
          <w:szCs w:val="14"/>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47" w:lineRule="exact"/>
        <w:rPr>
          <w:sz w:val="20"/>
          <w:szCs w:val="20"/>
          <w:color w:val="auto"/>
        </w:rPr>
      </w:pPr>
    </w:p>
    <w:p>
      <w:pPr>
        <w:ind w:left="1700" w:right="1299" w:hanging="133"/>
        <w:spacing w:after="0" w:line="263" w:lineRule="auto"/>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46"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or acquiring entity must assume the issuer’s obligations under the indenture; and</w:t>
      </w:r>
    </w:p>
    <w:p>
      <w:pPr>
        <w:spacing w:after="0" w:line="93" w:lineRule="exact"/>
        <w:rPr>
          <w:rFonts w:ascii="Times New Roman" w:cs="Times New Roman" w:eastAsia="Times New Roman" w:hAnsi="Times New Roman"/>
          <w:sz w:val="14"/>
          <w:szCs w:val="14"/>
          <w:color w:val="auto"/>
        </w:rPr>
      </w:pPr>
    </w:p>
    <w:p>
      <w:pPr>
        <w:ind w:left="1700" w:right="1459" w:hanging="133"/>
        <w:spacing w:after="0" w:line="286" w:lineRule="auto"/>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no Default or Event of Default (as defined under “— Events of Default and Remedies” below) may exist.</w:t>
      </w:r>
    </w:p>
    <w:p>
      <w:pPr>
        <w:spacing w:after="0" w:line="72" w:lineRule="exact"/>
        <w:rPr>
          <w:sz w:val="20"/>
          <w:szCs w:val="20"/>
          <w:color w:val="auto"/>
        </w:rPr>
      </w:pPr>
    </w:p>
    <w:p>
      <w:pPr>
        <w:ind w:left="1280" w:right="1319" w:firstLine="282"/>
        <w:spacing w:after="0" w:line="261" w:lineRule="auto"/>
        <w:rPr>
          <w:sz w:val="20"/>
          <w:szCs w:val="20"/>
          <w:color w:val="auto"/>
        </w:rPr>
      </w:pPr>
      <w:r>
        <w:rPr>
          <w:rFonts w:ascii="Times New Roman" w:cs="Times New Roman" w:eastAsia="Times New Roman" w:hAnsi="Times New Roman"/>
          <w:sz w:val="14"/>
          <w:szCs w:val="14"/>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12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No Protection in the Event of a Change of Control</w:t>
      </w:r>
    </w:p>
    <w:p>
      <w:pPr>
        <w:spacing w:after="0" w:line="11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Unless otherwise set forth in the prospectus supplement, the debt securities will not contain any</w:t>
      </w:r>
    </w:p>
    <w:p>
      <w:pPr>
        <w:spacing w:after="0" w:line="23" w:lineRule="exact"/>
        <w:rPr>
          <w:sz w:val="20"/>
          <w:szCs w:val="20"/>
          <w:color w:val="auto"/>
        </w:rPr>
      </w:pPr>
    </w:p>
    <w:p>
      <w:pPr>
        <w:ind w:left="1280" w:right="1379"/>
        <w:spacing w:after="0" w:line="249" w:lineRule="auto"/>
        <w:rPr>
          <w:sz w:val="20"/>
          <w:szCs w:val="20"/>
          <w:color w:val="auto"/>
        </w:rPr>
      </w:pPr>
      <w:r>
        <w:rPr>
          <w:rFonts w:ascii="Times New Roman" w:cs="Times New Roman" w:eastAsia="Times New Roman" w:hAnsi="Times New Roman"/>
          <w:sz w:val="14"/>
          <w:szCs w:val="14"/>
          <w:color w:val="auto"/>
        </w:rPr>
        <w:t>provisions that protect the holders of the debt securities in the event of a change of control of us or in the event of a highly leveraged transaction, whether or not such transaction results in a change of control of us.</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4" w:name="page15"/>
    <w:bookmarkEnd w:id="14"/>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Modification of Indentures</w:t>
      </w:r>
    </w:p>
    <w:p>
      <w:pPr>
        <w:spacing w:after="0" w:line="127" w:lineRule="exact"/>
        <w:rPr>
          <w:sz w:val="20"/>
          <w:szCs w:val="20"/>
          <w:color w:val="auto"/>
        </w:rPr>
      </w:pPr>
    </w:p>
    <w:p>
      <w:pPr>
        <w:ind w:left="1280" w:right="1339" w:firstLine="282"/>
        <w:spacing w:after="0" w:line="246" w:lineRule="auto"/>
        <w:rPr>
          <w:sz w:val="20"/>
          <w:szCs w:val="20"/>
          <w:color w:val="auto"/>
        </w:rPr>
      </w:pPr>
      <w:r>
        <w:rPr>
          <w:rFonts w:ascii="Times New Roman" w:cs="Times New Roman" w:eastAsia="Times New Roman" w:hAnsi="Times New Roman"/>
          <w:sz w:val="14"/>
          <w:szCs w:val="14"/>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57" w:lineRule="exact"/>
        <w:rPr>
          <w:sz w:val="20"/>
          <w:szCs w:val="20"/>
          <w:color w:val="auto"/>
        </w:rPr>
      </w:pPr>
    </w:p>
    <w:p>
      <w:pPr>
        <w:ind w:left="1700" w:right="1819" w:hanging="133"/>
        <w:spacing w:after="0" w:line="286" w:lineRule="auto"/>
        <w:tabs>
          <w:tab w:leader="none" w:pos="17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debt securities whose holders must consent to an amendment, supplement or waiver;</w:t>
      </w:r>
    </w:p>
    <w:p>
      <w:pPr>
        <w:spacing w:after="0" w:line="3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or change the fixed maturity of any debt security;</w:t>
      </w:r>
    </w:p>
    <w:p>
      <w:pPr>
        <w:spacing w:after="0" w:line="82" w:lineRule="exact"/>
        <w:rPr>
          <w:rFonts w:ascii="Times New Roman" w:cs="Times New Roman" w:eastAsia="Times New Roman" w:hAnsi="Times New Roman"/>
          <w:sz w:val="14"/>
          <w:szCs w:val="14"/>
          <w:color w:val="auto"/>
        </w:rPr>
      </w:pPr>
    </w:p>
    <w:p>
      <w:pPr>
        <w:jc w:val="both"/>
        <w:ind w:left="1700" w:right="1379" w:hanging="133"/>
        <w:spacing w:after="0" w:line="269" w:lineRule="auto"/>
        <w:tabs>
          <w:tab w:leader="none" w:pos="17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51"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change the time for payment of interest on any debt security;</w:t>
      </w:r>
    </w:p>
    <w:p>
      <w:pPr>
        <w:spacing w:after="0" w:line="93" w:lineRule="exact"/>
        <w:rPr>
          <w:rFonts w:ascii="Times New Roman" w:cs="Times New Roman" w:eastAsia="Times New Roman" w:hAnsi="Times New Roman"/>
          <w:sz w:val="14"/>
          <w:szCs w:val="14"/>
          <w:color w:val="auto"/>
        </w:rPr>
      </w:pPr>
    </w:p>
    <w:p>
      <w:pPr>
        <w:ind w:left="1700" w:right="1399" w:hanging="133"/>
        <w:spacing w:after="0" w:line="263" w:lineRule="auto"/>
        <w:tabs>
          <w:tab w:leader="none" w:pos="17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46" w:lineRule="exact"/>
        <w:rPr>
          <w:rFonts w:ascii="Times New Roman" w:cs="Times New Roman" w:eastAsia="Times New Roman" w:hAnsi="Times New Roman"/>
          <w:sz w:val="14"/>
          <w:szCs w:val="14"/>
          <w:color w:val="auto"/>
        </w:rPr>
      </w:pPr>
    </w:p>
    <w:p>
      <w:pPr>
        <w:ind w:left="1700" w:right="1459" w:hanging="133"/>
        <w:spacing w:after="0" w:line="286" w:lineRule="auto"/>
        <w:tabs>
          <w:tab w:leader="none" w:pos="17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permitted under the indenture, release any security that may have been granted with respect to the debt securities;</w:t>
      </w:r>
    </w:p>
    <w:p>
      <w:pPr>
        <w:spacing w:after="0" w:line="3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debt security payable in currency other than that stated in the debt securities;</w:t>
      </w:r>
    </w:p>
    <w:p>
      <w:pPr>
        <w:spacing w:after="0" w:line="82" w:lineRule="exact"/>
        <w:rPr>
          <w:rFonts w:ascii="Times New Roman" w:cs="Times New Roman" w:eastAsia="Times New Roman" w:hAnsi="Times New Roman"/>
          <w:sz w:val="14"/>
          <w:szCs w:val="14"/>
          <w:color w:val="auto"/>
        </w:rPr>
      </w:pPr>
    </w:p>
    <w:p>
      <w:pPr>
        <w:ind w:left="1700" w:right="1439" w:hanging="133"/>
        <w:spacing w:after="0" w:line="286" w:lineRule="auto"/>
        <w:tabs>
          <w:tab w:leader="none" w:pos="17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any subordinated debt security, make any change in the subordination provisions that adversely affects the rights of any holder under those provisions;</w:t>
      </w:r>
    </w:p>
    <w:p>
      <w:pPr>
        <w:spacing w:after="0" w:line="39" w:lineRule="exact"/>
        <w:rPr>
          <w:rFonts w:ascii="Times New Roman" w:cs="Times New Roman" w:eastAsia="Times New Roman" w:hAnsi="Times New Roman"/>
          <w:sz w:val="14"/>
          <w:szCs w:val="14"/>
          <w:color w:val="auto"/>
        </w:rPr>
      </w:pPr>
    </w:p>
    <w:p>
      <w:pPr>
        <w:ind w:left="1700" w:right="1339" w:hanging="133"/>
        <w:spacing w:after="0" w:line="269" w:lineRule="auto"/>
        <w:tabs>
          <w:tab w:leader="none" w:pos="17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51" w:lineRule="exact"/>
        <w:rPr>
          <w:rFonts w:ascii="Times New Roman" w:cs="Times New Roman" w:eastAsia="Times New Roman" w:hAnsi="Times New Roman"/>
          <w:sz w:val="14"/>
          <w:szCs w:val="14"/>
          <w:color w:val="auto"/>
        </w:rPr>
      </w:pPr>
    </w:p>
    <w:p>
      <w:pPr>
        <w:ind w:left="1700" w:right="1559" w:hanging="133"/>
        <w:spacing w:after="0" w:line="286" w:lineRule="auto"/>
        <w:tabs>
          <w:tab w:leader="none" w:pos="17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redemption payment with respect to any debt security (except as may be permitted in the case of a particular series of debt securities);</w:t>
      </w:r>
    </w:p>
    <w:p>
      <w:pPr>
        <w:spacing w:after="0" w:line="39" w:lineRule="exact"/>
        <w:rPr>
          <w:rFonts w:ascii="Times New Roman" w:cs="Times New Roman" w:eastAsia="Times New Roman" w:hAnsi="Times New Roman"/>
          <w:sz w:val="14"/>
          <w:szCs w:val="14"/>
          <w:color w:val="auto"/>
        </w:rPr>
      </w:pPr>
    </w:p>
    <w:p>
      <w:pPr>
        <w:ind w:left="1700" w:right="1479" w:hanging="133"/>
        <w:spacing w:after="0" w:line="269" w:lineRule="auto"/>
        <w:tabs>
          <w:tab w:leader="none" w:pos="17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41" w:lineRule="exact"/>
        <w:rPr>
          <w:rFonts w:ascii="Times New Roman" w:cs="Times New Roman" w:eastAsia="Times New Roman" w:hAnsi="Times New Roman"/>
          <w:sz w:val="14"/>
          <w:szCs w:val="14"/>
          <w:color w:val="auto"/>
        </w:rPr>
      </w:pPr>
    </w:p>
    <w:p>
      <w:pPr>
        <w:ind w:left="1700" w:right="1319" w:hanging="133"/>
        <w:spacing w:after="0" w:line="286" w:lineRule="auto"/>
        <w:tabs>
          <w:tab w:leader="none" w:pos="17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in the preceding amendment, supplement and waiver provisions (except to increase any percentage set forth therein).</w:t>
      </w:r>
    </w:p>
    <w:p>
      <w:pPr>
        <w:spacing w:after="0" w:line="72" w:lineRule="exact"/>
        <w:rPr>
          <w:sz w:val="20"/>
          <w:szCs w:val="20"/>
          <w:color w:val="auto"/>
        </w:rPr>
      </w:pPr>
    </w:p>
    <w:p>
      <w:pPr>
        <w:ind w:left="1280" w:right="1379" w:firstLine="282"/>
        <w:spacing w:after="0" w:line="270" w:lineRule="auto"/>
        <w:rPr>
          <w:sz w:val="20"/>
          <w:szCs w:val="20"/>
          <w:color w:val="auto"/>
        </w:rPr>
      </w:pPr>
      <w:r>
        <w:rPr>
          <w:rFonts w:ascii="Times New Roman" w:cs="Times New Roman" w:eastAsia="Times New Roman" w:hAnsi="Times New Roman"/>
          <w:sz w:val="14"/>
          <w:szCs w:val="14"/>
          <w:color w:val="auto"/>
        </w:rPr>
        <w:t>We may supplement or amend an indenture without the consent of any holders of the debt securities in certain circumstances, including:</w:t>
      </w:r>
    </w:p>
    <w:p>
      <w:pPr>
        <w:spacing w:after="0" w:line="40" w:lineRule="exact"/>
        <w:rPr>
          <w:sz w:val="20"/>
          <w:szCs w:val="20"/>
          <w:color w:val="auto"/>
        </w:rPr>
      </w:pPr>
    </w:p>
    <w:p>
      <w:pPr>
        <w:ind w:left="1700" w:hanging="133"/>
        <w:spacing w:after="0"/>
        <w:tabs>
          <w:tab w:leader="none" w:pos="17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establish the form of terms of any series of debt securities;</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notes in addition to or in place of certificated notes;</w:t>
      </w:r>
    </w:p>
    <w:p>
      <w:pPr>
        <w:spacing w:after="0" w:line="82" w:lineRule="exact"/>
        <w:rPr>
          <w:rFonts w:ascii="Times New Roman" w:cs="Times New Roman" w:eastAsia="Times New Roman" w:hAnsi="Times New Roman"/>
          <w:sz w:val="14"/>
          <w:szCs w:val="14"/>
          <w:color w:val="auto"/>
        </w:rPr>
      </w:pPr>
    </w:p>
    <w:p>
      <w:pPr>
        <w:ind w:left="1700" w:right="1439" w:hanging="133"/>
        <w:spacing w:after="0" w:line="286" w:lineRule="auto"/>
        <w:tabs>
          <w:tab w:leader="none" w:pos="17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assumption of an issuer’s obligations to holders of debt securities in the case of a merger or consolidation or disposition of all or substantially all of such issuer’s assets;</w:t>
      </w:r>
    </w:p>
    <w:p>
      <w:pPr>
        <w:spacing w:after="0" w:line="39" w:lineRule="exact"/>
        <w:rPr>
          <w:rFonts w:ascii="Times New Roman" w:cs="Times New Roman" w:eastAsia="Times New Roman" w:hAnsi="Times New Roman"/>
          <w:sz w:val="14"/>
          <w:szCs w:val="14"/>
          <w:color w:val="auto"/>
        </w:rPr>
      </w:pPr>
    </w:p>
    <w:p>
      <w:pPr>
        <w:jc w:val="both"/>
        <w:ind w:left="1700" w:right="1519" w:hanging="133"/>
        <w:spacing w:after="0" w:line="269" w:lineRule="auto"/>
        <w:tabs>
          <w:tab w:leader="none" w:pos="17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any subordinated debt security, to make any change in the subordination provisions that limits or terminates the benefits applicable to any holder of Senior Indebtedness of Plains All American Pipeline;</w:t>
      </w:r>
    </w:p>
    <w:p>
      <w:pPr>
        <w:spacing w:after="0" w:line="51"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or release any guarantors pursuant to the terms of the indenture;</w:t>
      </w: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5" w:name="page16"/>
    <w:bookmarkEnd w:id="15"/>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700" w:right="1639" w:hanging="133"/>
        <w:spacing w:after="0" w:line="269" w:lineRule="auto"/>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51" w:lineRule="exact"/>
        <w:rPr>
          <w:rFonts w:ascii="Times New Roman" w:cs="Times New Roman" w:eastAsia="Times New Roman" w:hAnsi="Times New Roman"/>
          <w:sz w:val="14"/>
          <w:szCs w:val="14"/>
          <w:color w:val="auto"/>
        </w:rPr>
      </w:pPr>
    </w:p>
    <w:p>
      <w:pPr>
        <w:ind w:left="1700" w:right="1799" w:hanging="133"/>
        <w:spacing w:after="0" w:line="286" w:lineRule="auto"/>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requirements of the SEC in order to effect or maintain the qualification of the Indenture under the Trust Indenture Act;</w:t>
      </w:r>
    </w:p>
    <w:p>
      <w:pPr>
        <w:spacing w:after="0" w:line="3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or provide for the acceptance of appointment under the indenture of a successor Trustee;</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any additional Events of Default; or</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secure the debt securities and/or any guarantees.</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Events of Default and Remedies</w:t>
      </w:r>
    </w:p>
    <w:p>
      <w:pPr>
        <w:spacing w:after="0" w:line="116" w:lineRule="exact"/>
        <w:rPr>
          <w:sz w:val="20"/>
          <w:szCs w:val="20"/>
          <w:color w:val="auto"/>
        </w:rPr>
      </w:pPr>
    </w:p>
    <w:p>
      <w:pPr>
        <w:ind w:left="1280" w:right="1379" w:firstLine="282"/>
        <w:spacing w:after="0" w:line="286" w:lineRule="auto"/>
        <w:rPr>
          <w:sz w:val="20"/>
          <w:szCs w:val="20"/>
          <w:color w:val="auto"/>
        </w:rPr>
      </w:pPr>
      <w:r>
        <w:rPr>
          <w:rFonts w:ascii="Times New Roman" w:cs="Times New Roman" w:eastAsia="Times New Roman" w:hAnsi="Times New Roman"/>
          <w:sz w:val="14"/>
          <w:szCs w:val="14"/>
          <w:color w:val="auto"/>
        </w:rPr>
        <w:t>“Event of Default,” when used in an indenture, will mean any of the following with respect to the debt securities of any series:</w:t>
      </w:r>
    </w:p>
    <w:p>
      <w:pPr>
        <w:spacing w:after="0" w:line="29" w:lineRule="exact"/>
        <w:rPr>
          <w:sz w:val="20"/>
          <w:szCs w:val="20"/>
          <w:color w:val="auto"/>
        </w:rPr>
      </w:pPr>
    </w:p>
    <w:p>
      <w:pPr>
        <w:ind w:left="1700" w:hanging="133"/>
        <w:spacing w:after="0"/>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when due the principal of or any premium on any debt security of that series;</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within 60 days of the due date, interest on any debt security of that series;</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when due any sinking fund payment with respect to any debt securities of that series;</w:t>
      </w:r>
    </w:p>
    <w:p>
      <w:pPr>
        <w:spacing w:after="0" w:line="93" w:lineRule="exact"/>
        <w:rPr>
          <w:rFonts w:ascii="Times New Roman" w:cs="Times New Roman" w:eastAsia="Times New Roman" w:hAnsi="Times New Roman"/>
          <w:sz w:val="14"/>
          <w:szCs w:val="14"/>
          <w:color w:val="auto"/>
        </w:rPr>
      </w:pPr>
    </w:p>
    <w:p>
      <w:pPr>
        <w:ind w:left="1700" w:right="1579" w:hanging="133"/>
        <w:spacing w:after="0" w:line="286" w:lineRule="auto"/>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on the part of the issuers to comply with the covenant described under “— Consolidation, Merger or Asset Sale;”</w:t>
      </w:r>
    </w:p>
    <w:p>
      <w:pPr>
        <w:spacing w:after="0" w:line="39" w:lineRule="exact"/>
        <w:rPr>
          <w:rFonts w:ascii="Times New Roman" w:cs="Times New Roman" w:eastAsia="Times New Roman" w:hAnsi="Times New Roman"/>
          <w:sz w:val="14"/>
          <w:szCs w:val="14"/>
          <w:color w:val="auto"/>
        </w:rPr>
      </w:pPr>
    </w:p>
    <w:p>
      <w:pPr>
        <w:ind w:left="1700" w:right="1399" w:hanging="133"/>
        <w:spacing w:after="0" w:line="286" w:lineRule="auto"/>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perform any other covenant in the indenture that continues for 30 days after written notice is given to the issuers;</w:t>
      </w:r>
    </w:p>
    <w:p>
      <w:pPr>
        <w:spacing w:after="0" w:line="3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insolvency or reorganization of an issuer; or</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under the terms of the debt securities of that series.</w:t>
      </w:r>
    </w:p>
    <w:p>
      <w:pPr>
        <w:spacing w:after="0" w:line="125" w:lineRule="exact"/>
        <w:rPr>
          <w:sz w:val="20"/>
          <w:szCs w:val="20"/>
          <w:color w:val="auto"/>
        </w:rPr>
      </w:pPr>
    </w:p>
    <w:p>
      <w:pPr>
        <w:jc w:val="both"/>
        <w:ind w:left="1280" w:right="1319" w:firstLine="282"/>
        <w:spacing w:after="0" w:line="263" w:lineRule="auto"/>
        <w:rPr>
          <w:sz w:val="20"/>
          <w:szCs w:val="20"/>
          <w:color w:val="auto"/>
        </w:rPr>
      </w:pPr>
      <w:r>
        <w:rPr>
          <w:rFonts w:ascii="Times New Roman" w:cs="Times New Roman" w:eastAsia="Times New Roman" w:hAnsi="Times New Roman"/>
          <w:sz w:val="14"/>
          <w:szCs w:val="14"/>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78" w:lineRule="exact"/>
        <w:rPr>
          <w:sz w:val="20"/>
          <w:szCs w:val="20"/>
          <w:color w:val="auto"/>
        </w:rPr>
      </w:pPr>
    </w:p>
    <w:p>
      <w:pPr>
        <w:ind w:left="1280" w:right="1339" w:firstLine="282"/>
        <w:spacing w:after="0" w:line="261" w:lineRule="auto"/>
        <w:rPr>
          <w:sz w:val="20"/>
          <w:szCs w:val="20"/>
          <w:color w:val="auto"/>
        </w:rPr>
      </w:pPr>
      <w:r>
        <w:rPr>
          <w:rFonts w:ascii="Times New Roman" w:cs="Times New Roman" w:eastAsia="Times New Roman" w:hAnsi="Times New Roman"/>
          <w:sz w:val="14"/>
          <w:szCs w:val="14"/>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88" w:lineRule="exact"/>
        <w:rPr>
          <w:sz w:val="20"/>
          <w:szCs w:val="20"/>
          <w:color w:val="auto"/>
        </w:rPr>
      </w:pPr>
    </w:p>
    <w:p>
      <w:pPr>
        <w:ind w:left="1280" w:right="1459" w:firstLine="282"/>
        <w:spacing w:after="0" w:line="259" w:lineRule="auto"/>
        <w:rPr>
          <w:sz w:val="20"/>
          <w:szCs w:val="20"/>
          <w:color w:val="auto"/>
        </w:rPr>
      </w:pPr>
      <w:r>
        <w:rPr>
          <w:rFonts w:ascii="Times New Roman" w:cs="Times New Roman" w:eastAsia="Times New Roman" w:hAnsi="Times New Roman"/>
          <w:sz w:val="14"/>
          <w:szCs w:val="14"/>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No Limit on Amount of Debt Securities</w:t>
      </w:r>
    </w:p>
    <w:p>
      <w:pPr>
        <w:spacing w:after="0" w:line="127" w:lineRule="exact"/>
        <w:rPr>
          <w:sz w:val="20"/>
          <w:szCs w:val="20"/>
          <w:color w:val="auto"/>
        </w:rPr>
      </w:pPr>
    </w:p>
    <w:p>
      <w:pPr>
        <w:ind w:left="1280" w:right="1399" w:firstLine="282"/>
        <w:spacing w:after="0" w:line="269" w:lineRule="auto"/>
        <w:rPr>
          <w:sz w:val="20"/>
          <w:szCs w:val="20"/>
          <w:color w:val="auto"/>
        </w:rPr>
      </w:pPr>
      <w:r>
        <w:rPr>
          <w:rFonts w:ascii="Times New Roman" w:cs="Times New Roman" w:eastAsia="Times New Roman" w:hAnsi="Times New Roman"/>
          <w:sz w:val="14"/>
          <w:szCs w:val="14"/>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1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Registration of Notes</w:t>
      </w:r>
    </w:p>
    <w:p>
      <w:pPr>
        <w:spacing w:after="0" w:line="116" w:lineRule="exact"/>
        <w:rPr>
          <w:sz w:val="20"/>
          <w:szCs w:val="20"/>
          <w:color w:val="auto"/>
        </w:rPr>
      </w:pPr>
    </w:p>
    <w:p>
      <w:pPr>
        <w:ind w:left="1280" w:right="1619" w:firstLine="282"/>
        <w:spacing w:after="0" w:line="286" w:lineRule="auto"/>
        <w:rPr>
          <w:sz w:val="20"/>
          <w:szCs w:val="20"/>
          <w:color w:val="auto"/>
        </w:rPr>
      </w:pPr>
      <w:r>
        <w:rPr>
          <w:rFonts w:ascii="Times New Roman" w:cs="Times New Roman" w:eastAsia="Times New Roman" w:hAnsi="Times New Roman"/>
          <w:sz w:val="14"/>
          <w:szCs w:val="14"/>
          <w:color w:val="auto"/>
        </w:rPr>
        <w:t>We will issue debt securities of a series only in registered form, without coupons, unless otherwise indicated in the prospectus supplement.</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6" w:name="page17"/>
    <w:bookmarkEnd w:id="16"/>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Minimum Denominations</w:t>
      </w:r>
    </w:p>
    <w:p>
      <w:pPr>
        <w:spacing w:after="0" w:line="127" w:lineRule="exact"/>
        <w:rPr>
          <w:sz w:val="20"/>
          <w:szCs w:val="20"/>
          <w:color w:val="auto"/>
        </w:rPr>
      </w:pPr>
    </w:p>
    <w:p>
      <w:pPr>
        <w:ind w:left="1280" w:right="1439" w:firstLine="282"/>
        <w:spacing w:after="0" w:line="270" w:lineRule="auto"/>
        <w:rPr>
          <w:sz w:val="20"/>
          <w:szCs w:val="20"/>
          <w:color w:val="auto"/>
        </w:rPr>
      </w:pPr>
      <w:r>
        <w:rPr>
          <w:rFonts w:ascii="Times New Roman" w:cs="Times New Roman" w:eastAsia="Times New Roman" w:hAnsi="Times New Roman"/>
          <w:sz w:val="14"/>
          <w:szCs w:val="14"/>
          <w:color w:val="auto"/>
        </w:rPr>
        <w:t>Unless the prospectus supplement states otherwise, the debt securities will be issued only in principal amounts of $1,000 each or integral multiples of $1,000.</w:t>
      </w:r>
    </w:p>
    <w:p>
      <w:pPr>
        <w:spacing w:after="0" w:line="1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No Personal Liability</w:t>
      </w:r>
    </w:p>
    <w:p>
      <w:pPr>
        <w:spacing w:after="0" w:line="127" w:lineRule="exact"/>
        <w:rPr>
          <w:sz w:val="20"/>
          <w:szCs w:val="20"/>
          <w:color w:val="auto"/>
        </w:rPr>
      </w:pPr>
    </w:p>
    <w:p>
      <w:pPr>
        <w:ind w:left="1280" w:right="1339" w:firstLine="282"/>
        <w:spacing w:after="0" w:line="247" w:lineRule="auto"/>
        <w:rPr>
          <w:sz w:val="20"/>
          <w:szCs w:val="20"/>
          <w:color w:val="auto"/>
        </w:rPr>
      </w:pPr>
      <w:r>
        <w:rPr>
          <w:rFonts w:ascii="Times New Roman" w:cs="Times New Roman" w:eastAsia="Times New Roman" w:hAnsi="Times New Roman"/>
          <w:sz w:val="14"/>
          <w:szCs w:val="14"/>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Payment and Transfer</w:t>
      </w:r>
    </w:p>
    <w:p>
      <w:pPr>
        <w:spacing w:after="0" w:line="127" w:lineRule="exact"/>
        <w:rPr>
          <w:sz w:val="20"/>
          <w:szCs w:val="20"/>
          <w:color w:val="auto"/>
        </w:rPr>
      </w:pPr>
    </w:p>
    <w:p>
      <w:pPr>
        <w:ind w:left="1280" w:right="1379" w:firstLine="282"/>
        <w:spacing w:after="0" w:line="253" w:lineRule="auto"/>
        <w:rPr>
          <w:sz w:val="20"/>
          <w:szCs w:val="20"/>
          <w:color w:val="auto"/>
        </w:rPr>
      </w:pPr>
      <w:r>
        <w:rPr>
          <w:rFonts w:ascii="Times New Roman" w:cs="Times New Roman" w:eastAsia="Times New Roman" w:hAnsi="Times New Roman"/>
          <w:sz w:val="14"/>
          <w:szCs w:val="14"/>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84" w:lineRule="exact"/>
        <w:rPr>
          <w:sz w:val="20"/>
          <w:szCs w:val="20"/>
          <w:color w:val="auto"/>
        </w:rPr>
      </w:pPr>
    </w:p>
    <w:p>
      <w:pPr>
        <w:ind w:left="1280" w:right="1339" w:firstLine="282"/>
        <w:spacing w:after="0" w:line="253" w:lineRule="auto"/>
        <w:rPr>
          <w:sz w:val="20"/>
          <w:szCs w:val="20"/>
          <w:color w:val="auto"/>
        </w:rPr>
      </w:pPr>
      <w:r>
        <w:rPr>
          <w:rFonts w:ascii="Times New Roman" w:cs="Times New Roman" w:eastAsia="Times New Roman" w:hAnsi="Times New Roman"/>
          <w:sz w:val="14"/>
          <w:szCs w:val="14"/>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w:t>
      </w:r>
    </w:p>
    <w:p>
      <w:pPr>
        <w:spacing w:after="0" w:line="73" w:lineRule="exact"/>
        <w:rPr>
          <w:sz w:val="20"/>
          <w:szCs w:val="20"/>
          <w:color w:val="auto"/>
        </w:rPr>
      </w:pPr>
    </w:p>
    <w:p>
      <w:pPr>
        <w:ind w:left="1280" w:right="1459" w:firstLine="282"/>
        <w:spacing w:after="0" w:line="255" w:lineRule="auto"/>
        <w:rPr>
          <w:sz w:val="20"/>
          <w:szCs w:val="20"/>
          <w:color w:val="auto"/>
        </w:rPr>
      </w:pPr>
      <w:r>
        <w:rPr>
          <w:rFonts w:ascii="Times New Roman" w:cs="Times New Roman" w:eastAsia="Times New Roman" w:hAnsi="Times New Roman"/>
          <w:sz w:val="14"/>
          <w:szCs w:val="14"/>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29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Exchange, Registration and Transfer</w:t>
      </w:r>
    </w:p>
    <w:p>
      <w:pPr>
        <w:spacing w:after="0" w:line="127" w:lineRule="exact"/>
        <w:rPr>
          <w:sz w:val="20"/>
          <w:szCs w:val="20"/>
          <w:color w:val="auto"/>
        </w:rPr>
      </w:pPr>
    </w:p>
    <w:p>
      <w:pPr>
        <w:ind w:left="1280" w:right="1359" w:firstLine="282"/>
        <w:spacing w:after="0" w:line="245" w:lineRule="auto"/>
        <w:rPr>
          <w:sz w:val="20"/>
          <w:szCs w:val="20"/>
          <w:color w:val="auto"/>
        </w:rPr>
      </w:pPr>
      <w:r>
        <w:rPr>
          <w:rFonts w:ascii="Times New Roman" w:cs="Times New Roman" w:eastAsia="Times New Roman" w:hAnsi="Times New Roman"/>
          <w:sz w:val="14"/>
          <w:szCs w:val="14"/>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8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We will not be required to:</w:t>
      </w:r>
    </w:p>
    <w:p>
      <w:pPr>
        <w:spacing w:after="0" w:line="61" w:lineRule="exact"/>
        <w:rPr>
          <w:sz w:val="20"/>
          <w:szCs w:val="20"/>
          <w:color w:val="auto"/>
        </w:rPr>
      </w:pPr>
    </w:p>
    <w:p>
      <w:pPr>
        <w:ind w:left="1700" w:right="1359" w:hanging="133"/>
        <w:spacing w:after="0" w:line="263" w:lineRule="auto"/>
        <w:tabs>
          <w:tab w:leader="none" w:pos="1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35" w:lineRule="exact"/>
        <w:rPr>
          <w:rFonts w:ascii="Times New Roman" w:cs="Times New Roman" w:eastAsia="Times New Roman" w:hAnsi="Times New Roman"/>
          <w:sz w:val="14"/>
          <w:szCs w:val="14"/>
          <w:color w:val="auto"/>
        </w:rPr>
      </w:pPr>
    </w:p>
    <w:p>
      <w:pPr>
        <w:ind w:left="1700" w:right="1359" w:hanging="133"/>
        <w:spacing w:after="0" w:line="286" w:lineRule="auto"/>
        <w:tabs>
          <w:tab w:leader="none" w:pos="1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of or exchange any debt security called for redemption or repurchase, except the unredeemed portion of any debt security we are redeeming or repurchasing in part.</w:t>
      </w:r>
    </w:p>
    <w:p>
      <w:pPr>
        <w:spacing w:after="0" w:line="8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Provisions Relating only to the Senior Debt Securities</w:t>
      </w:r>
    </w:p>
    <w:p>
      <w:pPr>
        <w:spacing w:after="0" w:line="127" w:lineRule="exact"/>
        <w:rPr>
          <w:sz w:val="20"/>
          <w:szCs w:val="20"/>
          <w:color w:val="auto"/>
        </w:rPr>
      </w:pPr>
    </w:p>
    <w:p>
      <w:pPr>
        <w:ind w:left="1280" w:right="1599" w:firstLine="282"/>
        <w:spacing w:after="0" w:line="253" w:lineRule="auto"/>
        <w:rPr>
          <w:sz w:val="20"/>
          <w:szCs w:val="20"/>
          <w:color w:val="auto"/>
        </w:rPr>
      </w:pPr>
      <w:r>
        <w:rPr>
          <w:rFonts w:ascii="Times New Roman" w:cs="Times New Roman" w:eastAsia="Times New Roman" w:hAnsi="Times New Roman"/>
          <w:sz w:val="14"/>
          <w:szCs w:val="14"/>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11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Provisions Relating only to the Subordinated Debt Securities</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Subordinated Debt Securities Subordinated to Senior Indebtedness</w:t>
      </w:r>
    </w:p>
    <w:p>
      <w:pPr>
        <w:spacing w:after="0" w:line="127" w:lineRule="exact"/>
        <w:rPr>
          <w:sz w:val="20"/>
          <w:szCs w:val="20"/>
          <w:color w:val="auto"/>
        </w:rPr>
      </w:pPr>
    </w:p>
    <w:p>
      <w:pPr>
        <w:ind w:left="1280" w:right="1439" w:firstLine="282"/>
        <w:spacing w:after="0" w:line="270" w:lineRule="auto"/>
        <w:rPr>
          <w:sz w:val="20"/>
          <w:szCs w:val="20"/>
          <w:color w:val="auto"/>
        </w:rPr>
      </w:pPr>
      <w:r>
        <w:rPr>
          <w:rFonts w:ascii="Times New Roman" w:cs="Times New Roman" w:eastAsia="Times New Roman" w:hAnsi="Times New Roman"/>
          <w:sz w:val="14"/>
          <w:szCs w:val="14"/>
          <w:color w:val="auto"/>
        </w:rPr>
        <w:t>The subordinated debt securities will rank junior in right of payment to all of the Senior Indebtedness of Plains All American Pipeline. “Senior Indebtedness” will be defined in a supplemental indenture or</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7" w:name="page18"/>
    <w:bookmarkEnd w:id="17"/>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right="1319"/>
        <w:spacing w:after="0" w:line="286" w:lineRule="auto"/>
        <w:rPr>
          <w:sz w:val="20"/>
          <w:szCs w:val="20"/>
          <w:color w:val="auto"/>
        </w:rPr>
      </w:pPr>
      <w:r>
        <w:rPr>
          <w:rFonts w:ascii="Times New Roman" w:cs="Times New Roman" w:eastAsia="Times New Roman" w:hAnsi="Times New Roman"/>
          <w:sz w:val="14"/>
          <w:szCs w:val="14"/>
          <w:color w:val="auto"/>
        </w:rPr>
        <w:t>authorizing resolutions respecting any issuance of a series of subordinated debt securities, and the definition will be set forth in the prospectus supplement.</w:t>
      </w:r>
    </w:p>
    <w:p>
      <w:pPr>
        <w:spacing w:after="0" w:line="1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Payment Blockages</w:t>
      </w:r>
    </w:p>
    <w:p>
      <w:pPr>
        <w:spacing w:after="0" w:line="127" w:lineRule="exact"/>
        <w:rPr>
          <w:sz w:val="20"/>
          <w:szCs w:val="20"/>
          <w:color w:val="auto"/>
        </w:rPr>
      </w:pPr>
    </w:p>
    <w:p>
      <w:pPr>
        <w:ind w:left="1280" w:right="1359" w:firstLine="282"/>
        <w:spacing w:after="0" w:line="286" w:lineRule="auto"/>
        <w:rPr>
          <w:sz w:val="20"/>
          <w:szCs w:val="20"/>
          <w:color w:val="auto"/>
        </w:rPr>
      </w:pPr>
      <w:r>
        <w:rPr>
          <w:rFonts w:ascii="Times New Roman" w:cs="Times New Roman" w:eastAsia="Times New Roman" w:hAnsi="Times New Roman"/>
          <w:sz w:val="14"/>
          <w:szCs w:val="14"/>
          <w:color w:val="auto"/>
        </w:rPr>
        <w:t>The subordinated indenture will provide that no payment of principal, interest and any premium on the subordinated debt securities may be made in the event:</w:t>
      </w:r>
    </w:p>
    <w:p>
      <w:pPr>
        <w:spacing w:after="0" w:line="40" w:lineRule="exact"/>
        <w:rPr>
          <w:sz w:val="20"/>
          <w:szCs w:val="20"/>
          <w:color w:val="auto"/>
        </w:rPr>
      </w:pPr>
    </w:p>
    <w:p>
      <w:pPr>
        <w:ind w:left="1700" w:hanging="133"/>
        <w:spacing w:after="0"/>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our property is involved in any voluntary or involuntary liquidation or bankruptcy;</w:t>
      </w:r>
    </w:p>
    <w:p>
      <w:pPr>
        <w:spacing w:after="0" w:line="93" w:lineRule="exact"/>
        <w:rPr>
          <w:rFonts w:ascii="Times New Roman" w:cs="Times New Roman" w:eastAsia="Times New Roman" w:hAnsi="Times New Roman"/>
          <w:sz w:val="14"/>
          <w:szCs w:val="14"/>
          <w:color w:val="auto"/>
        </w:rPr>
      </w:pPr>
    </w:p>
    <w:p>
      <w:pPr>
        <w:ind w:left="1700" w:right="1399" w:hanging="133"/>
        <w:spacing w:after="0" w:line="263" w:lineRule="auto"/>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67" w:lineRule="exact"/>
        <w:rPr>
          <w:rFonts w:ascii="Times New Roman" w:cs="Times New Roman" w:eastAsia="Times New Roman" w:hAnsi="Times New Roman"/>
          <w:sz w:val="14"/>
          <w:szCs w:val="14"/>
          <w:color w:val="auto"/>
        </w:rPr>
      </w:pPr>
    </w:p>
    <w:p>
      <w:pPr>
        <w:ind w:left="1700" w:right="1479" w:hanging="133"/>
        <w:spacing w:after="0" w:line="269" w:lineRule="auto"/>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No Limitation on Amount of Senior Debt</w:t>
      </w:r>
    </w:p>
    <w:p>
      <w:pPr>
        <w:spacing w:after="0" w:line="116" w:lineRule="exact"/>
        <w:rPr>
          <w:sz w:val="20"/>
          <w:szCs w:val="20"/>
          <w:color w:val="auto"/>
        </w:rPr>
      </w:pPr>
    </w:p>
    <w:p>
      <w:pPr>
        <w:ind w:left="1280" w:right="1419" w:firstLine="282"/>
        <w:spacing w:after="0" w:line="286" w:lineRule="auto"/>
        <w:rPr>
          <w:sz w:val="20"/>
          <w:szCs w:val="20"/>
          <w:color w:val="auto"/>
        </w:rPr>
      </w:pPr>
      <w:r>
        <w:rPr>
          <w:rFonts w:ascii="Times New Roman" w:cs="Times New Roman" w:eastAsia="Times New Roman" w:hAnsi="Times New Roman"/>
          <w:sz w:val="14"/>
          <w:szCs w:val="14"/>
          <w:color w:val="auto"/>
        </w:rPr>
        <w:t>The subordinated indenture will not limit the amount of Senior Indebtedness that Plains All American Pipeline may incur, unless otherwise indicated in the prospectus supplement.</w:t>
      </w:r>
    </w:p>
    <w:p>
      <w:pPr>
        <w:spacing w:after="0" w:line="1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Book Entry, Delivery and Form</w:t>
      </w:r>
    </w:p>
    <w:p>
      <w:pPr>
        <w:spacing w:after="0" w:line="127" w:lineRule="exact"/>
        <w:rPr>
          <w:sz w:val="20"/>
          <w:szCs w:val="20"/>
          <w:color w:val="auto"/>
        </w:rPr>
      </w:pPr>
    </w:p>
    <w:p>
      <w:pPr>
        <w:ind w:left="1280" w:right="1299" w:firstLine="282"/>
        <w:spacing w:after="0" w:line="257" w:lineRule="auto"/>
        <w:rPr>
          <w:sz w:val="20"/>
          <w:szCs w:val="20"/>
          <w:color w:val="auto"/>
        </w:rPr>
      </w:pPr>
      <w:r>
        <w:rPr>
          <w:rFonts w:ascii="Times New Roman" w:cs="Times New Roman" w:eastAsia="Times New Roman" w:hAnsi="Times New Roman"/>
          <w:sz w:val="14"/>
          <w:szCs w:val="14"/>
          <w:color w:val="auto"/>
        </w:rPr>
        <w:t>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93" w:lineRule="exact"/>
        <w:rPr>
          <w:sz w:val="20"/>
          <w:szCs w:val="20"/>
          <w:color w:val="auto"/>
        </w:rPr>
      </w:pPr>
    </w:p>
    <w:p>
      <w:pPr>
        <w:ind w:left="1280" w:right="1499" w:firstLine="282"/>
        <w:spacing w:after="0" w:line="286" w:lineRule="auto"/>
        <w:rPr>
          <w:sz w:val="20"/>
          <w:szCs w:val="20"/>
          <w:color w:val="auto"/>
        </w:rPr>
      </w:pPr>
      <w:r>
        <w:rPr>
          <w:rFonts w:ascii="Times New Roman" w:cs="Times New Roman" w:eastAsia="Times New Roman" w:hAnsi="Times New Roman"/>
          <w:sz w:val="14"/>
          <w:szCs w:val="14"/>
          <w:color w:val="auto"/>
        </w:rPr>
        <w:t>Beneficial interests in global debt securities will be shown on, and transfers of global debt securities will be made only through, records maintained by DTC and its participants.</w:t>
      </w:r>
    </w:p>
    <w:p>
      <w:pPr>
        <w:spacing w:after="0" w:line="61" w:lineRule="exact"/>
        <w:rPr>
          <w:sz w:val="20"/>
          <w:szCs w:val="20"/>
          <w:color w:val="auto"/>
        </w:rPr>
      </w:pPr>
    </w:p>
    <w:p>
      <w:pPr>
        <w:ind w:left="1280" w:right="1299" w:firstLine="282"/>
        <w:spacing w:after="0" w:line="256" w:lineRule="auto"/>
        <w:rPr>
          <w:sz w:val="20"/>
          <w:szCs w:val="20"/>
          <w:color w:val="auto"/>
        </w:rPr>
      </w:pPr>
      <w:r>
        <w:rPr>
          <w:rFonts w:ascii="Times New Roman" w:cs="Times New Roman" w:eastAsia="Times New Roman" w:hAnsi="Times New Roman"/>
          <w:sz w:val="14"/>
          <w:szCs w:val="14"/>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96" w:lineRule="exact"/>
        <w:rPr>
          <w:sz w:val="20"/>
          <w:szCs w:val="20"/>
          <w:color w:val="auto"/>
        </w:rPr>
      </w:pPr>
    </w:p>
    <w:p>
      <w:pPr>
        <w:ind w:left="1280" w:right="1559" w:firstLine="282"/>
        <w:spacing w:after="0" w:line="269" w:lineRule="auto"/>
        <w:rPr>
          <w:sz w:val="20"/>
          <w:szCs w:val="20"/>
          <w:color w:val="auto"/>
        </w:rPr>
      </w:pPr>
      <w:r>
        <w:rPr>
          <w:rFonts w:ascii="Times New Roman" w:cs="Times New Roman" w:eastAsia="Times New Roman" w:hAnsi="Times New Roman"/>
          <w:sz w:val="14"/>
          <w:szCs w:val="14"/>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84" w:lineRule="exact"/>
        <w:rPr>
          <w:sz w:val="20"/>
          <w:szCs w:val="20"/>
          <w:color w:val="auto"/>
        </w:rPr>
      </w:pPr>
    </w:p>
    <w:p>
      <w:pPr>
        <w:ind w:left="1280" w:right="1439" w:firstLine="282"/>
        <w:spacing w:after="0" w:line="286" w:lineRule="auto"/>
        <w:rPr>
          <w:sz w:val="20"/>
          <w:szCs w:val="20"/>
          <w:color w:val="auto"/>
        </w:rPr>
      </w:pPr>
      <w:r>
        <w:rPr>
          <w:rFonts w:ascii="Times New Roman" w:cs="Times New Roman" w:eastAsia="Times New Roman" w:hAnsi="Times New Roman"/>
          <w:sz w:val="14"/>
          <w:szCs w:val="14"/>
          <w:color w:val="auto"/>
        </w:rPr>
        <w:t>DTC is owned by a number of its Direct Participants and by the New York Stock Exchange, Inc., The American Stock Exchange, Inc. and the Financial Industry Regulatory Authority (“FINRA”).</w:t>
      </w:r>
    </w:p>
    <w:p>
      <w:pPr>
        <w:spacing w:after="0" w:line="61" w:lineRule="exact"/>
        <w:rPr>
          <w:sz w:val="20"/>
          <w:szCs w:val="20"/>
          <w:color w:val="auto"/>
        </w:rPr>
      </w:pPr>
    </w:p>
    <w:p>
      <w:pPr>
        <w:ind w:left="1280" w:right="1339" w:firstLine="282"/>
        <w:spacing w:after="0" w:line="263" w:lineRule="auto"/>
        <w:rPr>
          <w:sz w:val="20"/>
          <w:szCs w:val="20"/>
          <w:color w:val="auto"/>
        </w:rPr>
      </w:pPr>
      <w:r>
        <w:rPr>
          <w:rFonts w:ascii="Times New Roman" w:cs="Times New Roman" w:eastAsia="Times New Roman" w:hAnsi="Times New Roman"/>
          <w:sz w:val="14"/>
          <w:szCs w:val="14"/>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8" w:name="page19"/>
    <w:bookmarkEnd w:id="18"/>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right="1359" w:firstLine="282"/>
        <w:spacing w:after="0" w:line="246" w:lineRule="auto"/>
        <w:rPr>
          <w:sz w:val="20"/>
          <w:szCs w:val="20"/>
          <w:color w:val="auto"/>
        </w:rPr>
      </w:pPr>
      <w:r>
        <w:rPr>
          <w:rFonts w:ascii="Times New Roman" w:cs="Times New Roman" w:eastAsia="Times New Roman" w:hAnsi="Times New Roman"/>
          <w:sz w:val="14"/>
          <w:szCs w:val="14"/>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w:t>
      </w:r>
    </w:p>
    <w:p>
      <w:pPr>
        <w:spacing w:after="0" w:line="93" w:lineRule="exact"/>
        <w:rPr>
          <w:sz w:val="20"/>
          <w:szCs w:val="20"/>
          <w:color w:val="auto"/>
        </w:rPr>
      </w:pPr>
    </w:p>
    <w:p>
      <w:pPr>
        <w:ind w:left="1280" w:right="1859" w:firstLine="282"/>
        <w:spacing w:after="0" w:line="270" w:lineRule="auto"/>
        <w:rPr>
          <w:sz w:val="20"/>
          <w:szCs w:val="20"/>
          <w:color w:val="auto"/>
        </w:rPr>
      </w:pPr>
      <w:r>
        <w:rPr>
          <w:rFonts w:ascii="Times New Roman" w:cs="Times New Roman" w:eastAsia="Times New Roman" w:hAnsi="Times New Roman"/>
          <w:sz w:val="14"/>
          <w:szCs w:val="14"/>
          <w:color w:val="auto"/>
        </w:rPr>
        <w:t>Debt securities represented by a global debt security will be exchangeable for certificated debt securities with the same terms in authorized denominations only if:</w:t>
      </w:r>
    </w:p>
    <w:p>
      <w:pPr>
        <w:spacing w:after="0" w:line="30" w:lineRule="exact"/>
        <w:rPr>
          <w:sz w:val="20"/>
          <w:szCs w:val="20"/>
          <w:color w:val="auto"/>
        </w:rPr>
      </w:pPr>
    </w:p>
    <w:p>
      <w:pPr>
        <w:jc w:val="both"/>
        <w:ind w:left="1700" w:right="1619" w:hanging="133"/>
        <w:spacing w:after="0" w:line="269" w:lineRule="auto"/>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19" w:lineRule="exact"/>
        <w:rPr>
          <w:rFonts w:ascii="Times New Roman" w:cs="Times New Roman" w:eastAsia="Times New Roman" w:hAnsi="Times New Roman"/>
          <w:sz w:val="14"/>
          <w:szCs w:val="14"/>
          <w:color w:val="auto"/>
        </w:rPr>
      </w:pPr>
    </w:p>
    <w:p>
      <w:pPr>
        <w:ind w:left="1700" w:right="1539" w:hanging="133"/>
        <w:spacing w:after="0" w:line="286" w:lineRule="auto"/>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determine not to require all of the debt securities of a series to be represented by a global debt security.</w:t>
      </w:r>
    </w:p>
    <w:p>
      <w:pPr>
        <w:spacing w:after="0" w:line="9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Satisfaction and Discharge; Defeasance</w:t>
      </w:r>
    </w:p>
    <w:p>
      <w:pPr>
        <w:spacing w:after="0" w:line="116" w:lineRule="exact"/>
        <w:rPr>
          <w:sz w:val="20"/>
          <w:szCs w:val="20"/>
          <w:color w:val="auto"/>
        </w:rPr>
      </w:pPr>
    </w:p>
    <w:p>
      <w:pPr>
        <w:ind w:left="1280" w:right="1739" w:firstLine="282"/>
        <w:spacing w:after="0" w:line="286" w:lineRule="auto"/>
        <w:rPr>
          <w:sz w:val="20"/>
          <w:szCs w:val="20"/>
          <w:color w:val="auto"/>
        </w:rPr>
      </w:pPr>
      <w:r>
        <w:rPr>
          <w:rFonts w:ascii="Times New Roman" w:cs="Times New Roman" w:eastAsia="Times New Roman" w:hAnsi="Times New Roman"/>
          <w:sz w:val="14"/>
          <w:szCs w:val="14"/>
          <w:color w:val="auto"/>
        </w:rPr>
        <w:t>Each indenture will be discharged and will cease to be of further effect as to all outstanding debt securities of any series issued thereunder, when:</w:t>
      </w:r>
    </w:p>
    <w:p>
      <w:pPr>
        <w:spacing w:after="0" w:line="40" w:lineRule="exact"/>
        <w:rPr>
          <w:sz w:val="20"/>
          <w:szCs w:val="20"/>
          <w:color w:val="auto"/>
        </w:rPr>
      </w:pPr>
    </w:p>
    <w:p>
      <w:pPr>
        <w:ind w:left="1840" w:hanging="273"/>
        <w:spacing w:after="0"/>
        <w:tabs>
          <w:tab w:leader="none" w:pos="18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w:t>
      </w:r>
    </w:p>
    <w:p>
      <w:pPr>
        <w:spacing w:after="0" w:line="93" w:lineRule="exact"/>
        <w:rPr>
          <w:rFonts w:ascii="Times New Roman" w:cs="Times New Roman" w:eastAsia="Times New Roman" w:hAnsi="Times New Roman"/>
          <w:sz w:val="14"/>
          <w:szCs w:val="14"/>
          <w:color w:val="auto"/>
        </w:rPr>
      </w:pPr>
    </w:p>
    <w:p>
      <w:pPr>
        <w:ind w:left="2140" w:right="1379" w:hanging="290"/>
        <w:spacing w:after="0" w:line="263" w:lineRule="auto"/>
        <w:tabs>
          <w:tab w:leader="none" w:pos="214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67" w:lineRule="exact"/>
        <w:rPr>
          <w:rFonts w:ascii="Times New Roman" w:cs="Times New Roman" w:eastAsia="Times New Roman" w:hAnsi="Times New Roman"/>
          <w:sz w:val="14"/>
          <w:szCs w:val="14"/>
          <w:color w:val="auto"/>
        </w:rPr>
      </w:pPr>
    </w:p>
    <w:p>
      <w:pPr>
        <w:ind w:left="2140" w:right="1299" w:hanging="290"/>
        <w:spacing w:after="0" w:line="256" w:lineRule="auto"/>
        <w:tabs>
          <w:tab w:leader="none" w:pos="214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59" w:lineRule="exact"/>
        <w:rPr>
          <w:rFonts w:ascii="Times New Roman" w:cs="Times New Roman" w:eastAsia="Times New Roman" w:hAnsi="Times New Roman"/>
          <w:sz w:val="14"/>
          <w:szCs w:val="14"/>
          <w:color w:val="auto"/>
        </w:rPr>
      </w:pPr>
    </w:p>
    <w:p>
      <w:pPr>
        <w:ind w:left="1840" w:hanging="273"/>
        <w:spacing w:after="0"/>
        <w:tabs>
          <w:tab w:leader="none" w:pos="18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paid or caused to be paid all other sums payable by us under the indenture; and</w:t>
      </w:r>
    </w:p>
    <w:p>
      <w:pPr>
        <w:spacing w:after="0" w:line="103" w:lineRule="exact"/>
        <w:rPr>
          <w:rFonts w:ascii="Times New Roman" w:cs="Times New Roman" w:eastAsia="Times New Roman" w:hAnsi="Times New Roman"/>
          <w:sz w:val="14"/>
          <w:szCs w:val="14"/>
          <w:color w:val="auto"/>
        </w:rPr>
      </w:pPr>
    </w:p>
    <w:p>
      <w:pPr>
        <w:ind w:left="1840" w:right="1459" w:hanging="273"/>
        <w:spacing w:after="0" w:line="286" w:lineRule="auto"/>
        <w:tabs>
          <w:tab w:leader="none" w:pos="18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delivered an officers’ certificate and an opinion of counsel to the Trustee stating that all conditions precedent to satisfaction and discharge have been satisfied.</w:t>
      </w:r>
    </w:p>
    <w:p>
      <w:pPr>
        <w:spacing w:after="0" w:line="72" w:lineRule="exact"/>
        <w:rPr>
          <w:sz w:val="20"/>
          <w:szCs w:val="20"/>
          <w:color w:val="auto"/>
        </w:rPr>
      </w:pPr>
    </w:p>
    <w:p>
      <w:pPr>
        <w:ind w:left="1280" w:right="1479" w:firstLine="282"/>
        <w:spacing w:after="0" w:line="270" w:lineRule="auto"/>
        <w:rPr>
          <w:sz w:val="20"/>
          <w:szCs w:val="20"/>
          <w:color w:val="auto"/>
        </w:rPr>
      </w:pPr>
      <w:r>
        <w:rPr>
          <w:rFonts w:ascii="Times New Roman" w:cs="Times New Roman" w:eastAsia="Times New Roman" w:hAnsi="Times New Roman"/>
          <w:sz w:val="14"/>
          <w:szCs w:val="14"/>
          <w:color w:val="auto"/>
        </w:rPr>
        <w:t>The debt securities of a particular series will be subject to legal or covenant defeasance to the extent, and upon the terms and conditions, set forth in the prospectus supplement.</w:t>
      </w:r>
    </w:p>
    <w:p>
      <w:pPr>
        <w:spacing w:after="0" w:line="1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The Trustee</w:t>
      </w:r>
    </w:p>
    <w:p>
      <w:pPr>
        <w:spacing w:after="0" w:line="127" w:lineRule="exact"/>
        <w:rPr>
          <w:sz w:val="20"/>
          <w:szCs w:val="20"/>
          <w:color w:val="auto"/>
        </w:rPr>
      </w:pPr>
    </w:p>
    <w:p>
      <w:pPr>
        <w:ind w:left="1280" w:right="1459" w:firstLine="282"/>
        <w:spacing w:after="0" w:line="253" w:lineRule="auto"/>
        <w:rPr>
          <w:sz w:val="20"/>
          <w:szCs w:val="20"/>
          <w:color w:val="auto"/>
        </w:rPr>
      </w:pPr>
      <w:r>
        <w:rPr>
          <w:rFonts w:ascii="Times New Roman" w:cs="Times New Roman" w:eastAsia="Times New Roman" w:hAnsi="Times New Roman"/>
          <w:sz w:val="14"/>
          <w:szCs w:val="14"/>
          <w:color w:val="auto"/>
        </w:rPr>
        <w:t>U.S. Bank Trust Company, National Association is the Trustee under the senior indenture and will be the initial Trustee under the subordinated indenture. We maintain a banking relationship in the ordinary course of business with affiliates of U.S. Bank Trust Company, National Association.</w:t>
      </w:r>
    </w:p>
    <w:p>
      <w:pPr>
        <w:spacing w:after="0" w:line="13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Resignation or Removal of Trustee</w:t>
      </w:r>
    </w:p>
    <w:p>
      <w:pPr>
        <w:spacing w:after="0" w:line="127" w:lineRule="exact"/>
        <w:rPr>
          <w:sz w:val="20"/>
          <w:szCs w:val="20"/>
          <w:color w:val="auto"/>
        </w:rPr>
      </w:pPr>
    </w:p>
    <w:p>
      <w:pPr>
        <w:jc w:val="both"/>
        <w:ind w:left="1280" w:right="1419" w:firstLine="282"/>
        <w:spacing w:after="0" w:line="261" w:lineRule="auto"/>
        <w:rPr>
          <w:sz w:val="20"/>
          <w:szCs w:val="20"/>
          <w:color w:val="auto"/>
        </w:rPr>
      </w:pPr>
      <w:r>
        <w:rPr>
          <w:rFonts w:ascii="Times New Roman" w:cs="Times New Roman" w:eastAsia="Times New Roman" w:hAnsi="Times New Roman"/>
          <w:sz w:val="14"/>
          <w:szCs w:val="14"/>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w:t>
      </w: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203835</wp:posOffset>
            </wp:positionV>
            <wp:extent cx="53581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9" w:name="page20"/>
    <w:bookmarkEnd w:id="19"/>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right="1499" w:firstLine="282"/>
        <w:spacing w:after="0" w:line="286" w:lineRule="auto"/>
        <w:rPr>
          <w:sz w:val="20"/>
          <w:szCs w:val="20"/>
          <w:color w:val="auto"/>
        </w:rPr>
      </w:pPr>
      <w:r>
        <w:rPr>
          <w:rFonts w:ascii="Times New Roman" w:cs="Times New Roman" w:eastAsia="Times New Roman" w:hAnsi="Times New Roman"/>
          <w:sz w:val="14"/>
          <w:szCs w:val="14"/>
          <w:color w:val="auto"/>
        </w:rPr>
        <w:t>Any resignation will require the appointment of a successor trustee under the applicable indenture in accordance with the terms and conditions of such indenture.</w:t>
      </w:r>
    </w:p>
    <w:p>
      <w:pPr>
        <w:spacing w:after="0" w:line="72" w:lineRule="exact"/>
        <w:rPr>
          <w:sz w:val="20"/>
          <w:szCs w:val="20"/>
          <w:color w:val="auto"/>
        </w:rPr>
      </w:pPr>
    </w:p>
    <w:p>
      <w:pPr>
        <w:ind w:left="1280" w:right="1379" w:firstLine="282"/>
        <w:spacing w:after="0" w:line="263" w:lineRule="auto"/>
        <w:rPr>
          <w:sz w:val="20"/>
          <w:szCs w:val="20"/>
          <w:color w:val="auto"/>
        </w:rPr>
      </w:pPr>
      <w:r>
        <w:rPr>
          <w:rFonts w:ascii="Times New Roman" w:cs="Times New Roman" w:eastAsia="Times New Roman" w:hAnsi="Times New Roman"/>
          <w:sz w:val="14"/>
          <w:szCs w:val="14"/>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14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Limitations on Trustee if it is a Creditor</w:t>
      </w:r>
    </w:p>
    <w:p>
      <w:pPr>
        <w:spacing w:after="0" w:line="127" w:lineRule="exact"/>
        <w:rPr>
          <w:sz w:val="20"/>
          <w:szCs w:val="20"/>
          <w:color w:val="auto"/>
        </w:rPr>
      </w:pPr>
    </w:p>
    <w:p>
      <w:pPr>
        <w:ind w:left="1280" w:right="1459" w:firstLine="282"/>
        <w:spacing w:after="0" w:line="269" w:lineRule="auto"/>
        <w:rPr>
          <w:sz w:val="20"/>
          <w:szCs w:val="20"/>
          <w:color w:val="auto"/>
        </w:rPr>
      </w:pPr>
      <w:r>
        <w:rPr>
          <w:rFonts w:ascii="Times New Roman" w:cs="Times New Roman" w:eastAsia="Times New Roman" w:hAnsi="Times New Roman"/>
          <w:sz w:val="14"/>
          <w:szCs w:val="14"/>
          <w:color w:val="auto"/>
        </w:rPr>
        <w:t>Each indenture will limit the right of the Trustee thereunder, in the event that it becomes a creditor of an issuer or any guarantor, to obtain payment of claims in certain cases, or to realize on certain property received in respect of any such claim as security or otherwise.</w:t>
      </w:r>
    </w:p>
    <w:p>
      <w:pPr>
        <w:spacing w:after="0" w:line="1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Certificates and Opinions to be Furnished to Trustee</w:t>
      </w:r>
    </w:p>
    <w:p>
      <w:pPr>
        <w:spacing w:after="0" w:line="116" w:lineRule="exact"/>
        <w:rPr>
          <w:sz w:val="20"/>
          <w:szCs w:val="20"/>
          <w:color w:val="auto"/>
        </w:rPr>
      </w:pPr>
    </w:p>
    <w:p>
      <w:pPr>
        <w:ind w:left="1280" w:right="1399" w:firstLine="282"/>
        <w:spacing w:after="0" w:line="262" w:lineRule="auto"/>
        <w:rPr>
          <w:sz w:val="20"/>
          <w:szCs w:val="20"/>
          <w:color w:val="auto"/>
        </w:rPr>
      </w:pPr>
      <w:r>
        <w:rPr>
          <w:rFonts w:ascii="Times New Roman" w:cs="Times New Roman" w:eastAsia="Times New Roman" w:hAnsi="Times New Roman"/>
          <w:sz w:val="14"/>
          <w:szCs w:val="14"/>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3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2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Each indenture and all of the debt securities will be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0" w:name="page21"/>
    <w:bookmarkEnd w:id="20"/>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OUR PREFERRED UNITS</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Series A Preferred Units</w:t>
      </w:r>
    </w:p>
    <w:p>
      <w:pPr>
        <w:spacing w:after="0" w:line="127" w:lineRule="exact"/>
        <w:rPr>
          <w:sz w:val="20"/>
          <w:szCs w:val="20"/>
          <w:color w:val="auto"/>
        </w:rPr>
      </w:pPr>
    </w:p>
    <w:p>
      <w:pPr>
        <w:ind w:left="1280" w:right="1319" w:firstLine="282"/>
        <w:spacing w:after="0" w:line="244" w:lineRule="auto"/>
        <w:rPr>
          <w:sz w:val="20"/>
          <w:szCs w:val="20"/>
          <w:color w:val="auto"/>
        </w:rPr>
      </w:pPr>
      <w:r>
        <w:rPr>
          <w:rFonts w:ascii="Times New Roman" w:cs="Times New Roman" w:eastAsia="Times New Roman" w:hAnsi="Times New Roman"/>
          <w:sz w:val="14"/>
          <w:szCs w:val="14"/>
          <w:color w:val="auto"/>
        </w:rPr>
        <w:t>On January 28, 2016, we completed a private placement of 61,030,127 Series A Convertible Preferred Units representing limited partner interests in us (the “Series A preferred units”) for a cash purchase price of $26.25 per unit (the “Issue Price”) . The Series A preferred units currently rank pari passu with our Series B preferred units (as defined below) and senior to our common units with respect to distribution rights and rights upon liquidation. The holders of the Series A preferred units receive cumulative quarterly distributions, subject to customary anti-dilution adjustments, within 45 days following the end of each quarter. The initial Series A preferred unit distribution was equal to an annual rate of 8% of the Issue Price ($2.10 per unit annualized). After the fifth anniversary of the January 28, 2016 issue date of the Series A preferred units, the holders of Series A preferred units, acting by majority vote, had the option to make a one-time election to reset the Series A preferred unit distribution rate to equal the then applicable rate of ten-year U.S. Treasury Securities plus 5.85% (the “Preferred Distribution Rate Reset Option”). In January 2023, the Series A preferred unitholders elected the Preferred Distribution Rate Reset Option. Effective January 31, 2023, the new Series A preferred unit distribution rate is equal to 9.375% per annum of the original Issue Price (approximately $2.46 per unit annualized).</w:t>
      </w:r>
    </w:p>
    <w:p>
      <w:pPr>
        <w:spacing w:after="0" w:line="255" w:lineRule="exact"/>
        <w:rPr>
          <w:sz w:val="20"/>
          <w:szCs w:val="20"/>
          <w:color w:val="auto"/>
        </w:rPr>
      </w:pPr>
    </w:p>
    <w:p>
      <w:pPr>
        <w:ind w:left="1280" w:right="1339" w:firstLine="282"/>
        <w:spacing w:after="0" w:line="254" w:lineRule="auto"/>
        <w:rPr>
          <w:sz w:val="20"/>
          <w:szCs w:val="20"/>
          <w:color w:val="auto"/>
        </w:rPr>
      </w:pPr>
      <w:r>
        <w:rPr>
          <w:rFonts w:ascii="Times New Roman" w:cs="Times New Roman" w:eastAsia="Times New Roman" w:hAnsi="Times New Roman"/>
          <w:sz w:val="14"/>
          <w:szCs w:val="14"/>
          <w:color w:val="auto"/>
        </w:rPr>
        <w:t>We may redeem all or any portion of the outstanding Series A preferred units in exchange for cash, common units (valued at 95% of the volume-weighted average price of our common units for the 30 trading day period ending on the fifth trading day immediately prior to the date of such redemption) or a combination of cash and common units at a redemption price equal to 110% of the Issue Price, plus any accrued and unpaid distributions.</w:t>
      </w:r>
    </w:p>
    <w:p>
      <w:pPr>
        <w:spacing w:after="0" w:line="250" w:lineRule="exact"/>
        <w:rPr>
          <w:sz w:val="20"/>
          <w:szCs w:val="20"/>
          <w:color w:val="auto"/>
        </w:rPr>
      </w:pPr>
    </w:p>
    <w:p>
      <w:pPr>
        <w:ind w:left="1280" w:right="1299" w:firstLine="282"/>
        <w:spacing w:after="0" w:line="245" w:lineRule="auto"/>
        <w:rPr>
          <w:sz w:val="20"/>
          <w:szCs w:val="20"/>
          <w:color w:val="auto"/>
        </w:rPr>
      </w:pPr>
      <w:r>
        <w:rPr>
          <w:rFonts w:ascii="Times New Roman" w:cs="Times New Roman" w:eastAsia="Times New Roman" w:hAnsi="Times New Roman"/>
          <w:sz w:val="14"/>
          <w:szCs w:val="14"/>
          <w:color w:val="auto"/>
        </w:rPr>
        <w:t>The holders of Series A preferred units may convert such units into common units, generally on a one-for- one basis and subject to customary anti -dilution adjustments, at any time (but not more often than once per quarter), in whole or in part, so long as any partial conversion is not for less than $100 million (calculated based on the closing price of our common units on the trading day immediately prior to the notice of conversion) or such lesser amount, if such conversion relates to all of a holder’s remaining Series A preferred units. We may convert the Series A preferred units into common units at any time (but not more often than once per quarter), in whole or in part, if the closing price of our common units is greater than 150% of the Issue Price for the preceding 20 trading days, so long as any partial conversion is not for less than $500 million (calculated based on the closing trading price of common units on the trading day immediately prior to the notice of conversion) or such lesser amount, if such conversion relates to all of the then outstanding Series A preferred units.</w:t>
      </w:r>
    </w:p>
    <w:p>
      <w:pPr>
        <w:spacing w:after="0" w:line="252" w:lineRule="exact"/>
        <w:rPr>
          <w:sz w:val="20"/>
          <w:szCs w:val="20"/>
          <w:color w:val="auto"/>
        </w:rPr>
      </w:pPr>
    </w:p>
    <w:p>
      <w:pPr>
        <w:ind w:left="1280" w:right="1359" w:firstLine="282"/>
        <w:spacing w:after="0" w:line="246" w:lineRule="auto"/>
        <w:rPr>
          <w:sz w:val="20"/>
          <w:szCs w:val="20"/>
          <w:color w:val="auto"/>
        </w:rPr>
      </w:pPr>
      <w:r>
        <w:rPr>
          <w:rFonts w:ascii="Times New Roman" w:cs="Times New Roman" w:eastAsia="Times New Roman" w:hAnsi="Times New Roman"/>
          <w:sz w:val="14"/>
          <w:szCs w:val="14"/>
          <w:color w:val="auto"/>
        </w:rPr>
        <w:t>The Series A preferred units vote on an as-converted basis with our common units (see “Description of Our Common Units — Voting”) and have certain other class voting rights with respect to any amendment to our partnership agreement that would adversely affect any rights, preferences or privileges of the Series A preferred units. In addition, upon certain events involving a change of control, the holders of the Series A preferred units may elect, among other potential elections, to convert their Series A preferred units into common units at the then applicable conversion rate.</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Series B Preferred Units</w:t>
      </w:r>
    </w:p>
    <w:p>
      <w:pPr>
        <w:spacing w:after="0" w:line="116" w:lineRule="exact"/>
        <w:rPr>
          <w:sz w:val="20"/>
          <w:szCs w:val="20"/>
          <w:color w:val="auto"/>
        </w:rPr>
      </w:pPr>
    </w:p>
    <w:p>
      <w:pPr>
        <w:ind w:left="1280" w:right="1439" w:firstLine="282"/>
        <w:spacing w:after="0" w:line="254" w:lineRule="auto"/>
        <w:rPr>
          <w:sz w:val="20"/>
          <w:szCs w:val="20"/>
          <w:color w:val="auto"/>
        </w:rPr>
      </w:pPr>
      <w:r>
        <w:rPr>
          <w:rFonts w:ascii="Times New Roman" w:cs="Times New Roman" w:eastAsia="Times New Roman" w:hAnsi="Times New Roman"/>
          <w:sz w:val="14"/>
          <w:szCs w:val="14"/>
          <w:color w:val="auto"/>
        </w:rPr>
        <w:t>On October 10, 2017, we issued 800,000 Series B Fixed-to-Floating Rate Cumulative Redeemable Perpetual Preferred Units representing limited partner interests in us (the “Series B preferred units”) at a price to the public of $1,000 per unit. The Series B preferred units currently rank pari passu with our Series A preferred units and senior to our common units with respect to distribution rights and rights upon liquidation.</w:t>
      </w:r>
    </w:p>
    <w:p>
      <w:pPr>
        <w:spacing w:after="0" w:line="250" w:lineRule="exact"/>
        <w:rPr>
          <w:sz w:val="20"/>
          <w:szCs w:val="20"/>
          <w:color w:val="auto"/>
        </w:rPr>
      </w:pPr>
    </w:p>
    <w:p>
      <w:pPr>
        <w:ind w:left="1280" w:right="1339" w:firstLine="282"/>
        <w:spacing w:after="0" w:line="247" w:lineRule="auto"/>
        <w:rPr>
          <w:sz w:val="20"/>
          <w:szCs w:val="20"/>
          <w:color w:val="auto"/>
        </w:rPr>
      </w:pPr>
      <w:r>
        <w:rPr>
          <w:rFonts w:ascii="Times New Roman" w:cs="Times New Roman" w:eastAsia="Times New Roman" w:hAnsi="Times New Roman"/>
          <w:sz w:val="14"/>
          <w:szCs w:val="14"/>
          <w:color w:val="auto"/>
        </w:rPr>
        <w:t>The Series B preferred units represent perpetual equity interests in us, and they have no stated maturity or mandatory redemption date and are not redeemable at the option of the holders under any circumstances. Holders of the Series B preferred units generally have no voting rights, except for limited voting rights with respect to (i) potential amendments to our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1" w:name="page22"/>
    <w:bookmarkEnd w:id="21"/>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right="1439"/>
        <w:spacing w:after="0" w:line="286" w:lineRule="auto"/>
        <w:rPr>
          <w:sz w:val="20"/>
          <w:szCs w:val="20"/>
          <w:color w:val="auto"/>
        </w:rPr>
      </w:pPr>
      <w:r>
        <w:rPr>
          <w:rFonts w:ascii="Times New Roman" w:cs="Times New Roman" w:eastAsia="Times New Roman" w:hAnsi="Times New Roman"/>
          <w:sz w:val="14"/>
          <w:szCs w:val="14"/>
          <w:color w:val="auto"/>
        </w:rPr>
        <w:t>in arrears, (iii) the creation or issuance of any senior securities and (iv) the payment of distributions to our common unitholders out of capital surplus.</w:t>
      </w:r>
    </w:p>
    <w:p>
      <w:pPr>
        <w:spacing w:after="0" w:line="72" w:lineRule="exact"/>
        <w:rPr>
          <w:sz w:val="20"/>
          <w:szCs w:val="20"/>
          <w:color w:val="auto"/>
        </w:rPr>
      </w:pPr>
    </w:p>
    <w:p>
      <w:pPr>
        <w:ind w:left="1280" w:right="1319" w:firstLine="282"/>
        <w:spacing w:after="0" w:line="255" w:lineRule="auto"/>
        <w:rPr>
          <w:sz w:val="20"/>
          <w:szCs w:val="20"/>
          <w:color w:val="auto"/>
        </w:rPr>
      </w:pPr>
      <w:r>
        <w:rPr>
          <w:rFonts w:ascii="Times New Roman" w:cs="Times New Roman" w:eastAsia="Times New Roman" w:hAnsi="Times New Roman"/>
          <w:sz w:val="14"/>
          <w:szCs w:val="14"/>
          <w:color w:val="auto"/>
        </w:rPr>
        <w:t>Holders of our Series B preferred units are entitled to receive, when, as and if declared by our general partner out of legally available funds for such purpose, cumulative semiannual or quarterly cash distributions, as applicable. Through November 15, 2022, distributions on the Series B preferred units were paid semiannually in arrears on the 15th day of May and November. After November 15, 2022, distributions on the Series B preferred units are payable quarterly in arrears on the 15th day of February, May, August and November of each year. The initial distribution rate for the Series B preferred units from and including October 10, 2017 to, but not including, November 15, 2022 was 6.125% per year of the liquidation preference per unit (equal to $61.25 per unit per year). From November 15, 2022 through August 14, 2023, distributions on the Series B preferred units accumulated for each distribution period at a percentage of the liquidation preference equal to the applicable three-month LIBOR plus a spread of 4.11% per annum. Subsequently, distributions on the Series B preferred units accumulate based on the applicable three-month SOFR, plus a credit spread adjustment of 0.26161%, plus 4.11% per annum.</w:t>
      </w:r>
    </w:p>
    <w:p>
      <w:pPr>
        <w:spacing w:after="0" w:line="268" w:lineRule="exact"/>
        <w:rPr>
          <w:sz w:val="20"/>
          <w:szCs w:val="20"/>
          <w:color w:val="auto"/>
        </w:rPr>
      </w:pPr>
    </w:p>
    <w:p>
      <w:pPr>
        <w:ind w:left="1280" w:right="1379" w:firstLine="282"/>
        <w:spacing w:after="0" w:line="263" w:lineRule="auto"/>
        <w:rPr>
          <w:sz w:val="20"/>
          <w:szCs w:val="20"/>
          <w:color w:val="auto"/>
        </w:rPr>
      </w:pPr>
      <w:r>
        <w:rPr>
          <w:rFonts w:ascii="Times New Roman" w:cs="Times New Roman" w:eastAsia="Times New Roman" w:hAnsi="Times New Roman"/>
          <w:sz w:val="14"/>
          <w:szCs w:val="14"/>
          <w:color w:val="auto"/>
        </w:rPr>
        <w:t>The Series B preferred units have a liquidation preference of $1,000 per unit. We may, at any time, redeem the Series B preferred units, at our option, in whole or in part, at a redemption price of $1,000 per Series B preferred unit plus an amount equal to all accumulated and unpaid distributions thereon to, but not including, the date of redemption, whether or not declared.</w:t>
      </w:r>
    </w:p>
    <w:p>
      <w:pPr>
        <w:spacing w:after="0" w:line="14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Future Issuances of Preferred Units</w:t>
      </w:r>
    </w:p>
    <w:p>
      <w:pPr>
        <w:spacing w:after="0" w:line="116" w:lineRule="exact"/>
        <w:rPr>
          <w:sz w:val="20"/>
          <w:szCs w:val="20"/>
          <w:color w:val="auto"/>
        </w:rPr>
      </w:pPr>
    </w:p>
    <w:p>
      <w:pPr>
        <w:ind w:left="1280" w:right="1319" w:firstLine="282"/>
        <w:spacing w:after="0" w:line="257" w:lineRule="auto"/>
        <w:rPr>
          <w:sz w:val="20"/>
          <w:szCs w:val="20"/>
          <w:color w:val="auto"/>
        </w:rPr>
      </w:pPr>
      <w:r>
        <w:rPr>
          <w:rFonts w:ascii="Times New Roman" w:cs="Times New Roman" w:eastAsia="Times New Roman" w:hAnsi="Times New Roman"/>
          <w:sz w:val="14"/>
          <w:szCs w:val="14"/>
          <w:color w:val="auto"/>
        </w:rPr>
        <w:t xml:space="preserve">Our partnership agreement authorizes us to issue an unlimited number of additional limited partner interests and other equity securities on the terms and conditions established by our general partner, subject to the approval of (i) the holders of our Series A preferred units with respect to securities that rank senior to, and in excess of a permitted amount of parity preferred securities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the Series A</w:t>
      </w:r>
    </w:p>
    <w:p>
      <w:pPr>
        <w:spacing w:after="0" w:line="3" w:lineRule="exact"/>
        <w:rPr>
          <w:sz w:val="20"/>
          <w:szCs w:val="20"/>
          <w:color w:val="auto"/>
        </w:rPr>
      </w:pPr>
    </w:p>
    <w:p>
      <w:pPr>
        <w:ind w:left="1280" w:right="1359"/>
        <w:spacing w:after="0" w:line="256" w:lineRule="auto"/>
        <w:rPr>
          <w:sz w:val="20"/>
          <w:szCs w:val="20"/>
          <w:color w:val="auto"/>
        </w:rPr>
      </w:pPr>
      <w:r>
        <w:rPr>
          <w:rFonts w:ascii="Times New Roman" w:cs="Times New Roman" w:eastAsia="Times New Roman" w:hAnsi="Times New Roman"/>
          <w:sz w:val="14"/>
          <w:szCs w:val="14"/>
          <w:color w:val="auto"/>
        </w:rPr>
        <w:t>preferred units with respect to distributions and (ii) the holders of our Series B preferred units for the issuance of parity securities or senior securities as described above under “— Series B Preferred Units.” As of the date of this prospectus, we had 71,090,468 Series A preferred units outstanding and 800,000 Series B preferred units outstanding.</w:t>
      </w:r>
    </w:p>
    <w:p>
      <w:pPr>
        <w:spacing w:after="0" w:line="93" w:lineRule="exact"/>
        <w:rPr>
          <w:sz w:val="20"/>
          <w:szCs w:val="20"/>
          <w:color w:val="auto"/>
        </w:rPr>
      </w:pPr>
    </w:p>
    <w:p>
      <w:pPr>
        <w:ind w:left="1280" w:right="1299" w:firstLine="282"/>
        <w:spacing w:after="0" w:line="269" w:lineRule="auto"/>
        <w:rPr>
          <w:sz w:val="20"/>
          <w:szCs w:val="20"/>
          <w:color w:val="auto"/>
        </w:rPr>
      </w:pPr>
      <w:r>
        <w:rPr>
          <w:rFonts w:ascii="Times New Roman" w:cs="Times New Roman" w:eastAsia="Times New Roman" w:hAnsi="Times New Roman"/>
          <w:sz w:val="14"/>
          <w:szCs w:val="14"/>
          <w:color w:val="auto"/>
        </w:rPr>
        <w:t>Should we offer preferred units under this prospectus, a prospectus supplement relating to the particular series of preferred units offered will include the specific terms of those preferred units, including, among other things, the following:</w:t>
      </w:r>
    </w:p>
    <w:p>
      <w:pPr>
        <w:spacing w:after="0" w:line="52" w:lineRule="exact"/>
        <w:rPr>
          <w:sz w:val="20"/>
          <w:szCs w:val="20"/>
          <w:color w:val="auto"/>
        </w:rPr>
      </w:pPr>
    </w:p>
    <w:p>
      <w:pPr>
        <w:ind w:left="1700" w:right="1599" w:hanging="133"/>
        <w:spacing w:after="0" w:line="286" w:lineRule="auto"/>
        <w:tabs>
          <w:tab w:leader="none" w:pos="1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stated value, and liquidation preference of the preferred units and the number of preferred units offered;</w:t>
      </w:r>
    </w:p>
    <w:p>
      <w:pPr>
        <w:spacing w:after="0" w:line="3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public offering price at which the preferred units will be issued;</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conversion or exchange provisions of the preferred units;</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redemption or sinking fund provisions of the preferred units;</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distribution rights of the preferred units, if any;</w:t>
      </w:r>
    </w:p>
    <w:p>
      <w:pPr>
        <w:spacing w:after="0" w:line="93" w:lineRule="exact"/>
        <w:rPr>
          <w:rFonts w:ascii="Times New Roman" w:cs="Times New Roman" w:eastAsia="Times New Roman" w:hAnsi="Times New Roman"/>
          <w:sz w:val="14"/>
          <w:szCs w:val="14"/>
          <w:color w:val="auto"/>
        </w:rPr>
      </w:pPr>
    </w:p>
    <w:p>
      <w:pPr>
        <w:ind w:left="1700" w:right="2179" w:hanging="133"/>
        <w:spacing w:after="0" w:line="286" w:lineRule="auto"/>
        <w:tabs>
          <w:tab w:leader="none" w:pos="1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any additional material federal income tax considerations regarding the preferred units; and</w:t>
      </w:r>
    </w:p>
    <w:p>
      <w:pPr>
        <w:spacing w:after="0" w:line="3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rights, preferences, privileges, limitations, and restrictions of the preferred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2" w:name="page23"/>
    <w:bookmarkEnd w:id="22"/>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OUR COMMON UNITS</w:t>
      </w:r>
    </w:p>
    <w:p>
      <w:pPr>
        <w:spacing w:after="0" w:line="127" w:lineRule="exact"/>
        <w:rPr>
          <w:sz w:val="20"/>
          <w:szCs w:val="20"/>
          <w:color w:val="auto"/>
        </w:rPr>
      </w:pPr>
    </w:p>
    <w:p>
      <w:pPr>
        <w:ind w:left="1280" w:right="1299" w:firstLine="282"/>
        <w:spacing w:after="0" w:line="253" w:lineRule="auto"/>
        <w:rPr>
          <w:sz w:val="20"/>
          <w:szCs w:val="20"/>
          <w:color w:val="auto"/>
        </w:rPr>
      </w:pPr>
      <w:r>
        <w:rPr>
          <w:rFonts w:ascii="Times New Roman" w:cs="Times New Roman" w:eastAsia="Times New Roman" w:hAnsi="Times New Roman"/>
          <w:sz w:val="14"/>
          <w:szCs w:val="14"/>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in and to cash distributions, see “Cash Distribution Policy.”</w:t>
      </w:r>
    </w:p>
    <w:p>
      <w:pPr>
        <w:spacing w:after="0" w:line="84" w:lineRule="exact"/>
        <w:rPr>
          <w:sz w:val="20"/>
          <w:szCs w:val="20"/>
          <w:color w:val="auto"/>
        </w:rPr>
      </w:pPr>
    </w:p>
    <w:p>
      <w:pPr>
        <w:ind w:left="1280" w:right="1739" w:firstLine="282"/>
        <w:spacing w:after="0" w:line="270" w:lineRule="auto"/>
        <w:rPr>
          <w:sz w:val="20"/>
          <w:szCs w:val="20"/>
          <w:color w:val="auto"/>
        </w:rPr>
      </w:pPr>
      <w:r>
        <w:rPr>
          <w:rFonts w:ascii="Times New Roman" w:cs="Times New Roman" w:eastAsia="Times New Roman" w:hAnsi="Times New Roman"/>
          <w:sz w:val="14"/>
          <w:szCs w:val="14"/>
          <w:color w:val="auto"/>
        </w:rPr>
        <w:t>Our outstanding common units are listed on NASDAQ under the symbol “PAA.” Any additional common units we issue will also be listed on NASDAQ.</w:t>
      </w:r>
    </w:p>
    <w:p>
      <w:pPr>
        <w:spacing w:after="0" w:line="7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transfer agent and registrar for our common units is Equiniti Trust Company, LLC.</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Voting</w:t>
      </w:r>
    </w:p>
    <w:p>
      <w:pPr>
        <w:spacing w:after="0" w:line="127" w:lineRule="exact"/>
        <w:rPr>
          <w:sz w:val="20"/>
          <w:szCs w:val="20"/>
          <w:color w:val="auto"/>
        </w:rPr>
      </w:pPr>
    </w:p>
    <w:p>
      <w:pPr>
        <w:ind w:left="1280" w:right="1299" w:firstLine="282"/>
        <w:spacing w:after="0" w:line="249" w:lineRule="auto"/>
        <w:rPr>
          <w:sz w:val="20"/>
          <w:szCs w:val="20"/>
          <w:color w:val="auto"/>
        </w:rPr>
      </w:pPr>
      <w:r>
        <w:rPr>
          <w:rFonts w:ascii="Times New Roman" w:cs="Times New Roman" w:eastAsia="Times New Roman" w:hAnsi="Times New Roman"/>
          <w:sz w:val="14"/>
          <w:szCs w:val="14"/>
          <w:color w:val="auto"/>
        </w:rPr>
        <w:t>Each holder of common units is entitled to one vote for each common unit on all matters submitted to a vote of the common unitholders. However, our unitholders are limited partners and do not directly or indirectly participate in our management or operation. Unlike holders of common stock in a corporation, our unitholders have only limited voting rights on matters affecting our business or governance, including the director voting rights described below.</w:t>
      </w:r>
    </w:p>
    <w:p>
      <w:pPr>
        <w:spacing w:after="0" w:line="86" w:lineRule="exact"/>
        <w:rPr>
          <w:sz w:val="20"/>
          <w:szCs w:val="20"/>
          <w:color w:val="auto"/>
        </w:rPr>
      </w:pPr>
    </w:p>
    <w:p>
      <w:pPr>
        <w:ind w:left="1280" w:right="1339" w:firstLine="282"/>
        <w:spacing w:after="0" w:line="253" w:lineRule="auto"/>
        <w:rPr>
          <w:sz w:val="20"/>
          <w:szCs w:val="20"/>
          <w:color w:val="auto"/>
        </w:rPr>
      </w:pPr>
      <w:r>
        <w:rPr>
          <w:rFonts w:ascii="Times New Roman" w:cs="Times New Roman" w:eastAsia="Times New Roman" w:hAnsi="Times New Roman"/>
          <w:sz w:val="14"/>
          <w:szCs w:val="14"/>
          <w:color w:val="auto"/>
        </w:rPr>
        <w:t>Our general partner manages our day-to-day operations and activities; however, PAGP effectively controls our business and affairs through the exercise of its rights as the sole and managing member of GP LLC. The business and affairs of GP LLC are managed by or under the direction of the board of directors of PAGP GP, which we refer to as the “board.”</w:t>
      </w:r>
    </w:p>
    <w:p>
      <w:pPr>
        <w:spacing w:after="0" w:line="84" w:lineRule="exact"/>
        <w:rPr>
          <w:sz w:val="20"/>
          <w:szCs w:val="20"/>
          <w:color w:val="auto"/>
        </w:rPr>
      </w:pPr>
    </w:p>
    <w:p>
      <w:pPr>
        <w:ind w:left="1280" w:right="1339" w:firstLine="282"/>
        <w:spacing w:after="0" w:line="249" w:lineRule="auto"/>
        <w:rPr>
          <w:sz w:val="20"/>
          <w:szCs w:val="20"/>
          <w:color w:val="auto"/>
        </w:rPr>
      </w:pPr>
      <w:r>
        <w:rPr>
          <w:rFonts w:ascii="Times New Roman" w:cs="Times New Roman" w:eastAsia="Times New Roman" w:hAnsi="Times New Roman"/>
          <w:sz w:val="14"/>
          <w:szCs w:val="14"/>
          <w:color w:val="auto"/>
        </w:rPr>
        <w:t>Subject to limited exceptions, PAGP GP’s Fourth Amended and Restated Limited Liability Company Agreement, as amended, provides that the board will consist of up to 13 members, including the CEO. In addition, if we fail to make three distributions on the Series A preferred units (whether or not consecutive), the holders of Series A preferred units will have the right to appoint a new member of the board to serve until such time as all accrued and unpaid distributions on the Series A preferred units have been paid in full.</w:t>
      </w:r>
    </w:p>
    <w:p>
      <w:pPr>
        <w:spacing w:after="0" w:line="86" w:lineRule="exact"/>
        <w:rPr>
          <w:sz w:val="20"/>
          <w:szCs w:val="20"/>
          <w:color w:val="auto"/>
        </w:rPr>
      </w:pPr>
    </w:p>
    <w:p>
      <w:pPr>
        <w:ind w:left="1280" w:right="1299" w:firstLine="282"/>
        <w:spacing w:after="0" w:line="254" w:lineRule="auto"/>
        <w:rPr>
          <w:sz w:val="20"/>
          <w:szCs w:val="20"/>
          <w:color w:val="auto"/>
        </w:rPr>
      </w:pPr>
      <w:r>
        <w:rPr>
          <w:rFonts w:ascii="Times New Roman" w:cs="Times New Roman" w:eastAsia="Times New Roman" w:hAnsi="Times New Roman"/>
          <w:sz w:val="14"/>
          <w:szCs w:val="14"/>
          <w:color w:val="auto"/>
        </w:rPr>
        <w:t>The board is divided into three staggered classes. At each annual meeting, only the directors of the class whose term is expiring will be up for election and, upon election, the elected directors in that class will serve for a term of three years, subject to a director’s earlier resignation, death or removal. If a director is elected to the board to fill a vacancy, that director will have the same remaining term as his or her predecessor.</w:t>
      </w:r>
    </w:p>
    <w:p>
      <w:pPr>
        <w:spacing w:after="0" w:line="250" w:lineRule="exact"/>
        <w:rPr>
          <w:sz w:val="20"/>
          <w:szCs w:val="20"/>
          <w:color w:val="auto"/>
        </w:rPr>
      </w:pPr>
    </w:p>
    <w:p>
      <w:pPr>
        <w:ind w:left="1280" w:right="1339" w:firstLine="282"/>
        <w:spacing w:after="0" w:line="245" w:lineRule="auto"/>
        <w:rPr>
          <w:sz w:val="20"/>
          <w:szCs w:val="20"/>
          <w:color w:val="auto"/>
        </w:rPr>
      </w:pPr>
      <w:r>
        <w:rPr>
          <w:rFonts w:ascii="Times New Roman" w:cs="Times New Roman" w:eastAsia="Times New Roman" w:hAnsi="Times New Roman"/>
          <w:sz w:val="14"/>
          <w:szCs w:val="14"/>
          <w:color w:val="auto"/>
        </w:rPr>
        <w:t>PAGP holds annual shareholder meetings for the purpose of electing directors. PAA, which holds all of PAGP’s issued and outstanding Class C shares, will hold annual meetings of its limited partners entitled to vote immediately in advance of PAGP’s annual meetings. The purpose of our annual meetings is to allow our limited partners, other than AAP and holders of our Series B preferred units, to cast a “pass-through” vote instructing us how to vote the Class C shares that we own in the election of directors at PAGP’s annual meeting. We will vote (or refrain from voting) our Class C shares for the election of directors at the direction and on behalf of our eligible common and Series A preferred unitholders in the same proportion as the votes received from or withheld by our limited partners. Common units held by AAP will not be voted in the election of directors and will not be counted for purposes of determining whether a quorum exists.</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Status as Limited Partner or Assignee</w:t>
      </w:r>
    </w:p>
    <w:p>
      <w:pPr>
        <w:spacing w:after="0" w:line="116" w:lineRule="exact"/>
        <w:rPr>
          <w:sz w:val="20"/>
          <w:szCs w:val="20"/>
          <w:color w:val="auto"/>
        </w:rPr>
      </w:pPr>
    </w:p>
    <w:p>
      <w:pPr>
        <w:ind w:left="1280" w:right="1519" w:firstLine="282"/>
        <w:spacing w:after="0" w:line="261" w:lineRule="auto"/>
        <w:rPr>
          <w:sz w:val="20"/>
          <w:szCs w:val="20"/>
          <w:color w:val="auto"/>
        </w:rPr>
      </w:pPr>
      <w:r>
        <w:rPr>
          <w:rFonts w:ascii="Times New Roman" w:cs="Times New Roman" w:eastAsia="Times New Roman" w:hAnsi="Times New Roman"/>
          <w:sz w:val="14"/>
          <w:szCs w:val="14"/>
          <w:color w:val="auto"/>
        </w:rPr>
        <w:t>Except as described under “Description of Our Partnership Agreement — Limited Liability,” the common units will be fully paid, and common unitholders will not be required to make additional capital contributions to us.</w:t>
      </w:r>
    </w:p>
    <w:p>
      <w:pPr>
        <w:spacing w:after="0" w:line="78" w:lineRule="exact"/>
        <w:rPr>
          <w:sz w:val="20"/>
          <w:szCs w:val="20"/>
          <w:color w:val="auto"/>
        </w:rPr>
      </w:pPr>
    </w:p>
    <w:p>
      <w:pPr>
        <w:ind w:left="1280" w:right="1439" w:firstLine="282"/>
        <w:spacing w:after="0" w:line="249" w:lineRule="auto"/>
        <w:rPr>
          <w:sz w:val="20"/>
          <w:szCs w:val="20"/>
          <w:color w:val="auto"/>
        </w:rPr>
      </w:pPr>
      <w:r>
        <w:rPr>
          <w:rFonts w:ascii="Times New Roman" w:cs="Times New Roman" w:eastAsia="Times New Roman" w:hAnsi="Times New Roman"/>
          <w:sz w:val="14"/>
          <w:szCs w:val="14"/>
          <w:color w:val="auto"/>
        </w:rPr>
        <w:t>Each purchaser of common units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86" w:lineRule="exact"/>
        <w:rPr>
          <w:sz w:val="20"/>
          <w:szCs w:val="20"/>
          <w:color w:val="auto"/>
        </w:rPr>
      </w:pPr>
    </w:p>
    <w:p>
      <w:pPr>
        <w:ind w:left="1280" w:right="1679" w:firstLine="282"/>
        <w:spacing w:after="0" w:line="286" w:lineRule="auto"/>
        <w:rPr>
          <w:sz w:val="20"/>
          <w:szCs w:val="20"/>
          <w:color w:val="auto"/>
        </w:rPr>
      </w:pPr>
      <w:r>
        <w:rPr>
          <w:rFonts w:ascii="Times New Roman" w:cs="Times New Roman" w:eastAsia="Times New Roman" w:hAnsi="Times New Roman"/>
          <w:sz w:val="14"/>
          <w:szCs w:val="14"/>
          <w:color w:val="auto"/>
        </w:rPr>
        <w:t>An assignee, pending its admission as a substituted limited partner, is entitled to an interest in us equivalent to that of a limited partner with respect to the right to share in allocations and distributions,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3" w:name="page24"/>
    <w:bookmarkEnd w:id="23"/>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right="1479"/>
        <w:spacing w:after="0" w:line="262" w:lineRule="auto"/>
        <w:rPr>
          <w:sz w:val="20"/>
          <w:szCs w:val="20"/>
          <w:color w:val="auto"/>
        </w:rPr>
      </w:pPr>
      <w:r>
        <w:rPr>
          <w:rFonts w:ascii="Times New Roman" w:cs="Times New Roman" w:eastAsia="Times New Roman" w:hAnsi="Times New Roman"/>
          <w:sz w:val="14"/>
          <w:szCs w:val="14"/>
          <w:color w:val="auto"/>
        </w:rPr>
        <w:t>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3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Redemption Right</w:t>
      </w:r>
    </w:p>
    <w:p>
      <w:pPr>
        <w:spacing w:after="0" w:line="127" w:lineRule="exact"/>
        <w:rPr>
          <w:sz w:val="20"/>
          <w:szCs w:val="20"/>
          <w:color w:val="auto"/>
        </w:rPr>
      </w:pPr>
    </w:p>
    <w:p>
      <w:pPr>
        <w:ind w:left="1280" w:right="1319" w:firstLine="282"/>
        <w:spacing w:after="0" w:line="257" w:lineRule="auto"/>
        <w:rPr>
          <w:sz w:val="20"/>
          <w:szCs w:val="20"/>
          <w:color w:val="auto"/>
        </w:rPr>
      </w:pPr>
      <w:r>
        <w:rPr>
          <w:rFonts w:ascii="Times New Roman" w:cs="Times New Roman" w:eastAsia="Times New Roman" w:hAnsi="Times New Roman"/>
          <w:sz w:val="14"/>
          <w:szCs w:val="14"/>
          <w:color w:val="auto"/>
        </w:rPr>
        <w:t>Each holder of AAP’s Class A units (other than PAGP) has the right (a “Redemption Right”) to cause AAP to redeem any or all of such holder’s AAP Class A units in exchange for the distribution of an equivalent number of our common units held by AAP. In connection with any such redemption, the redeeming holder will transfer the AAP Class A units to AAP and a corresponding number of PAGP Class B shares and general partner units (if applicable), in each case, to PAGP. The AAP Class A units transferred to AAP will be canceled, the PAGP Class B shares transferred to PAGP will be canceled and the general partner units transferred to PAGP (if applicable) will remain outstanding and increase PAGP’s ownership percentage in PAGP GP.</w:t>
      </w:r>
    </w:p>
    <w:p>
      <w:pPr>
        <w:spacing w:after="0" w:line="265" w:lineRule="exact"/>
        <w:rPr>
          <w:sz w:val="20"/>
          <w:szCs w:val="20"/>
          <w:color w:val="auto"/>
        </w:rPr>
      </w:pPr>
    </w:p>
    <w:p>
      <w:pPr>
        <w:ind w:left="1280" w:right="1479" w:firstLine="282"/>
        <w:spacing w:after="0" w:line="286" w:lineRule="auto"/>
        <w:rPr>
          <w:sz w:val="20"/>
          <w:szCs w:val="20"/>
          <w:color w:val="auto"/>
        </w:rPr>
      </w:pPr>
      <w:r>
        <w:rPr>
          <w:rFonts w:ascii="Times New Roman" w:cs="Times New Roman" w:eastAsia="Times New Roman" w:hAnsi="Times New Roman"/>
          <w:sz w:val="14"/>
          <w:szCs w:val="14"/>
          <w:color w:val="auto"/>
        </w:rPr>
        <w:t>The above mechanisms are subject to customary conversion rate adjustments for equity splits, equity dividends and reclassifications.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4" w:name="page25"/>
    <w:bookmarkEnd w:id="24"/>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CASH DISTRIBUTION POLICY</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Distributions of Available Cash</w:t>
      </w:r>
    </w:p>
    <w:p>
      <w:pPr>
        <w:spacing w:after="0" w:line="125" w:lineRule="exact"/>
        <w:rPr>
          <w:sz w:val="20"/>
          <w:szCs w:val="20"/>
          <w:color w:val="auto"/>
        </w:rPr>
      </w:pPr>
    </w:p>
    <w:p>
      <w:pPr>
        <w:ind w:left="1280" w:right="1579" w:firstLine="282"/>
        <w:spacing w:after="0" w:line="273" w:lineRule="auto"/>
        <w:rPr>
          <w:sz w:val="20"/>
          <w:szCs w:val="20"/>
          <w:color w:val="auto"/>
        </w:rPr>
      </w:pPr>
      <w:r>
        <w:rPr>
          <w:rFonts w:ascii="Times New Roman" w:cs="Times New Roman" w:eastAsia="Times New Roman" w:hAnsi="Times New Roman"/>
          <w:sz w:val="14"/>
          <w:szCs w:val="14"/>
          <w:i w:val="1"/>
          <w:iCs w:val="1"/>
          <w:color w:val="auto"/>
        </w:rPr>
        <w:t>General</w:t>
      </w:r>
      <w:r>
        <w:rPr>
          <w:rFonts w:ascii="Times New Roman" w:cs="Times New Roman" w:eastAsia="Times New Roman" w:hAnsi="Times New Roman"/>
          <w:sz w:val="14"/>
          <w:szCs w:val="14"/>
          <w:color w:val="auto"/>
        </w:rPr>
        <w:t>. We will distribute to our unitholders, on a quarterly basis, all of our available cash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manner described below.</w:t>
      </w:r>
    </w:p>
    <w:p>
      <w:pPr>
        <w:spacing w:after="0" w:line="68" w:lineRule="exact"/>
        <w:rPr>
          <w:sz w:val="20"/>
          <w:szCs w:val="20"/>
          <w:color w:val="auto"/>
        </w:rPr>
      </w:pPr>
    </w:p>
    <w:p>
      <w:pPr>
        <w:ind w:left="1280" w:right="1439" w:firstLine="282"/>
        <w:spacing w:after="0" w:line="263" w:lineRule="auto"/>
        <w:rPr>
          <w:sz w:val="20"/>
          <w:szCs w:val="20"/>
          <w:color w:val="auto"/>
        </w:rPr>
      </w:pPr>
      <w:r>
        <w:rPr>
          <w:rFonts w:ascii="Times New Roman" w:cs="Times New Roman" w:eastAsia="Times New Roman" w:hAnsi="Times New Roman"/>
          <w:sz w:val="14"/>
          <w:szCs w:val="14"/>
          <w:i w:val="1"/>
          <w:iCs w:val="1"/>
          <w:color w:val="auto"/>
        </w:rPr>
        <w:t>Definition of Available Cash</w:t>
      </w:r>
      <w:r>
        <w:rPr>
          <w:rFonts w:ascii="Times New Roman" w:cs="Times New Roman" w:eastAsia="Times New Roman" w:hAnsi="Times New Roman"/>
          <w:sz w:val="14"/>
          <w:szCs w:val="14"/>
          <w:color w:val="auto"/>
        </w:rPr>
        <w:t>. Available cash generally means, for any quarter ending prior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liquidation, all cash and cash equivalents on hand at the end of that quarter less reserves established in the reasonable discretion of the general partner to:</w:t>
      </w:r>
    </w:p>
    <w:p>
      <w:pPr>
        <w:spacing w:after="0" w:line="45" w:lineRule="exact"/>
        <w:rPr>
          <w:sz w:val="20"/>
          <w:szCs w:val="20"/>
          <w:color w:val="auto"/>
        </w:rPr>
      </w:pPr>
    </w:p>
    <w:p>
      <w:pPr>
        <w:ind w:left="1700" w:right="1739" w:hanging="133"/>
        <w:spacing w:after="0" w:line="286" w:lineRule="auto"/>
        <w:tabs>
          <w:tab w:leader="none" w:pos="1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the proper conduct of our business and the business of our operating partnerships (including reserves for future capital expenditures and for our anticipated future credit needs);</w:t>
      </w:r>
    </w:p>
    <w:p>
      <w:pPr>
        <w:spacing w:after="0" w:line="39" w:lineRule="exact"/>
        <w:rPr>
          <w:rFonts w:ascii="Times New Roman" w:cs="Times New Roman" w:eastAsia="Times New Roman" w:hAnsi="Times New Roman"/>
          <w:sz w:val="14"/>
          <w:szCs w:val="14"/>
          <w:color w:val="auto"/>
        </w:rPr>
      </w:pPr>
    </w:p>
    <w:p>
      <w:pPr>
        <w:ind w:left="1700" w:right="1339" w:hanging="133"/>
        <w:spacing w:after="0" w:line="286" w:lineRule="auto"/>
        <w:tabs>
          <w:tab w:leader="none" w:pos="1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applicable law or any loan agreement, security agreement, mortgage, debt instrument or other agreement or obligation; or</w:t>
      </w:r>
    </w:p>
    <w:p>
      <w:pPr>
        <w:spacing w:after="0" w:line="29" w:lineRule="exact"/>
        <w:rPr>
          <w:rFonts w:ascii="Times New Roman" w:cs="Times New Roman" w:eastAsia="Times New Roman" w:hAnsi="Times New Roman"/>
          <w:sz w:val="14"/>
          <w:szCs w:val="14"/>
          <w:color w:val="auto"/>
        </w:rPr>
      </w:pPr>
    </w:p>
    <w:p>
      <w:pPr>
        <w:ind w:left="1700" w:right="1959" w:hanging="133"/>
        <w:spacing w:after="0" w:line="286" w:lineRule="auto"/>
        <w:tabs>
          <w:tab w:leader="none" w:pos="1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funds for future distributions to our Series A and Series B preferred unitholders or distributions to our common unitholders for any one or more of the next four quarters.</w:t>
      </w:r>
    </w:p>
    <w:p>
      <w:pPr>
        <w:spacing w:after="0" w:line="72" w:lineRule="exact"/>
        <w:rPr>
          <w:sz w:val="20"/>
          <w:szCs w:val="20"/>
          <w:color w:val="auto"/>
        </w:rPr>
      </w:pPr>
    </w:p>
    <w:p>
      <w:pPr>
        <w:ind w:left="1280" w:right="1639" w:firstLine="282"/>
        <w:spacing w:after="0" w:line="270" w:lineRule="auto"/>
        <w:rPr>
          <w:sz w:val="20"/>
          <w:szCs w:val="20"/>
          <w:color w:val="auto"/>
        </w:rPr>
      </w:pPr>
      <w:r>
        <w:rPr>
          <w:rFonts w:ascii="Times New Roman" w:cs="Times New Roman" w:eastAsia="Times New Roman" w:hAnsi="Times New Roman"/>
          <w:sz w:val="14"/>
          <w:szCs w:val="14"/>
          <w:color w:val="auto"/>
        </w:rPr>
        <w:t>Our available cash also includes cash on hand resulting from borrowings made after the end of the quarter.</w:t>
      </w:r>
    </w:p>
    <w:p>
      <w:pPr>
        <w:spacing w:after="0" w:line="1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Operating Surplus and Capital Surplus</w:t>
      </w:r>
    </w:p>
    <w:p>
      <w:pPr>
        <w:spacing w:after="0" w:line="114" w:lineRule="exact"/>
        <w:rPr>
          <w:sz w:val="20"/>
          <w:szCs w:val="20"/>
          <w:color w:val="auto"/>
        </w:rPr>
      </w:pPr>
    </w:p>
    <w:p>
      <w:pPr>
        <w:ind w:left="1280" w:right="1299" w:firstLine="282"/>
        <w:spacing w:after="0" w:line="263" w:lineRule="auto"/>
        <w:rPr>
          <w:sz w:val="20"/>
          <w:szCs w:val="20"/>
          <w:color w:val="auto"/>
        </w:rPr>
      </w:pPr>
      <w:r>
        <w:rPr>
          <w:rFonts w:ascii="Times New Roman" w:cs="Times New Roman" w:eastAsia="Times New Roman" w:hAnsi="Times New Roman"/>
          <w:sz w:val="14"/>
          <w:szCs w:val="14"/>
          <w:i w:val="1"/>
          <w:iCs w:val="1"/>
          <w:color w:val="auto"/>
        </w:rPr>
        <w:t>General</w:t>
      </w:r>
      <w:r>
        <w:rPr>
          <w:rFonts w:ascii="Times New Roman" w:cs="Times New Roman" w:eastAsia="Times New Roman" w:hAnsi="Times New Roman"/>
          <w:sz w:val="14"/>
          <w:szCs w:val="14"/>
          <w:color w:val="auto"/>
        </w:rPr>
        <w:t>. Cash distributions to our common unitholders will be characterized as either operating surplus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capital surplus. We distribute available cash from operating surplus differently than available cash from capital surplus. See “— Quarterly Distributions of Available Cash.”</w:t>
      </w:r>
    </w:p>
    <w:p>
      <w:pPr>
        <w:spacing w:after="0" w:line="74" w:lineRule="exact"/>
        <w:rPr>
          <w:sz w:val="20"/>
          <w:szCs w:val="20"/>
          <w:color w:val="auto"/>
        </w:rPr>
      </w:pPr>
    </w:p>
    <w:p>
      <w:pPr>
        <w:ind w:left="1560"/>
        <w:spacing w:after="0"/>
        <w:tabs>
          <w:tab w:leader="none" w:pos="3580" w:val="left"/>
        </w:tabs>
        <w:rPr>
          <w:sz w:val="20"/>
          <w:szCs w:val="20"/>
          <w:color w:val="auto"/>
        </w:rPr>
      </w:pPr>
      <w:r>
        <w:rPr>
          <w:rFonts w:ascii="Times New Roman" w:cs="Times New Roman" w:eastAsia="Times New Roman" w:hAnsi="Times New Roman"/>
          <w:sz w:val="14"/>
          <w:szCs w:val="14"/>
          <w:i w:val="1"/>
          <w:iCs w:val="1"/>
          <w:color w:val="auto"/>
        </w:rPr>
        <w:t>Definition of Operating Surplus</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Operating surplus refers generally to:</w:t>
      </w:r>
    </w:p>
    <w:p>
      <w:pPr>
        <w:spacing w:after="0" w:line="95" w:lineRule="exact"/>
        <w:rPr>
          <w:sz w:val="20"/>
          <w:szCs w:val="20"/>
          <w:color w:val="auto"/>
        </w:rPr>
      </w:pPr>
    </w:p>
    <w:p>
      <w:pPr>
        <w:ind w:left="1700" w:hanging="133"/>
        <w:spacing w:after="0"/>
        <w:tabs>
          <w:tab w:leader="none" w:pos="17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cash balances on the closing date of our initial public offering; plus</w:t>
      </w:r>
    </w:p>
    <w:p>
      <w:pPr>
        <w:spacing w:after="0" w:line="82"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million; plus</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cash receipts from operations, excluding cash that is capital surplus; less</w:t>
      </w:r>
    </w:p>
    <w:p>
      <w:pPr>
        <w:spacing w:after="0" w:line="93" w:lineRule="exact"/>
        <w:rPr>
          <w:rFonts w:ascii="Times New Roman" w:cs="Times New Roman" w:eastAsia="Times New Roman" w:hAnsi="Times New Roman"/>
          <w:sz w:val="14"/>
          <w:szCs w:val="14"/>
          <w:color w:val="auto"/>
        </w:rPr>
      </w:pPr>
    </w:p>
    <w:p>
      <w:pPr>
        <w:ind w:left="1700" w:right="1459" w:hanging="133"/>
        <w:spacing w:after="0" w:line="269" w:lineRule="auto"/>
        <w:tabs>
          <w:tab w:leader="none" w:pos="17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82" w:lineRule="exact"/>
        <w:rPr>
          <w:sz w:val="20"/>
          <w:szCs w:val="20"/>
          <w:color w:val="auto"/>
        </w:rPr>
      </w:pPr>
    </w:p>
    <w:p>
      <w:pPr>
        <w:ind w:left="1560"/>
        <w:spacing w:after="0"/>
        <w:tabs>
          <w:tab w:leader="none" w:pos="3420" w:val="left"/>
        </w:tabs>
        <w:rPr>
          <w:sz w:val="20"/>
          <w:szCs w:val="20"/>
          <w:color w:val="auto"/>
        </w:rPr>
      </w:pPr>
      <w:r>
        <w:rPr>
          <w:rFonts w:ascii="Times New Roman" w:cs="Times New Roman" w:eastAsia="Times New Roman" w:hAnsi="Times New Roman"/>
          <w:sz w:val="14"/>
          <w:szCs w:val="14"/>
          <w:i w:val="1"/>
          <w:iCs w:val="1"/>
          <w:color w:val="auto"/>
        </w:rPr>
        <w:t>Definition of Capital Surplus</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Capital surplus will generally be generated only by:</w:t>
      </w:r>
    </w:p>
    <w:p>
      <w:pPr>
        <w:spacing w:after="0" w:line="85" w:lineRule="exact"/>
        <w:rPr>
          <w:sz w:val="20"/>
          <w:szCs w:val="20"/>
          <w:color w:val="auto"/>
        </w:rPr>
      </w:pPr>
    </w:p>
    <w:p>
      <w:pPr>
        <w:ind w:left="1700" w:hanging="133"/>
        <w:spacing w:after="0"/>
        <w:tabs>
          <w:tab w:leader="none" w:pos="17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borrowings other than working capital borrowings;</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debt and equity securities; and</w:t>
      </w:r>
    </w:p>
    <w:p>
      <w:pPr>
        <w:spacing w:after="0" w:line="93" w:lineRule="exact"/>
        <w:rPr>
          <w:rFonts w:ascii="Times New Roman" w:cs="Times New Roman" w:eastAsia="Times New Roman" w:hAnsi="Times New Roman"/>
          <w:sz w:val="14"/>
          <w:szCs w:val="14"/>
          <w:color w:val="auto"/>
        </w:rPr>
      </w:pPr>
    </w:p>
    <w:p>
      <w:pPr>
        <w:ind w:left="1700" w:right="1619" w:hanging="133"/>
        <w:spacing w:after="0" w:line="286" w:lineRule="auto"/>
        <w:tabs>
          <w:tab w:leader="none" w:pos="17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or other dispositions of assets for cash, other than inventory, accounts receivable and other assets in the ordinary course of business.</w:t>
      </w:r>
    </w:p>
    <w:p>
      <w:pPr>
        <w:spacing w:after="0" w:line="61" w:lineRule="exact"/>
        <w:rPr>
          <w:sz w:val="20"/>
          <w:szCs w:val="20"/>
          <w:color w:val="auto"/>
        </w:rPr>
      </w:pPr>
    </w:p>
    <w:p>
      <w:pPr>
        <w:ind w:left="1280" w:right="1379" w:firstLine="282"/>
        <w:spacing w:after="0" w:line="253" w:lineRule="auto"/>
        <w:rPr>
          <w:sz w:val="20"/>
          <w:szCs w:val="20"/>
          <w:color w:val="auto"/>
        </w:rPr>
      </w:pPr>
      <w:r>
        <w:rPr>
          <w:rFonts w:ascii="Times New Roman" w:cs="Times New Roman" w:eastAsia="Times New Roman" w:hAnsi="Times New Roman"/>
          <w:sz w:val="14"/>
          <w:szCs w:val="14"/>
          <w:color w:val="auto"/>
        </w:rPr>
        <w:t>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w:t>
      </w:r>
    </w:p>
    <w:p>
      <w:pPr>
        <w:spacing w:after="0" w:line="84" w:lineRule="exact"/>
        <w:rPr>
          <w:sz w:val="20"/>
          <w:szCs w:val="20"/>
          <w:color w:val="auto"/>
        </w:rPr>
      </w:pPr>
    </w:p>
    <w:p>
      <w:pPr>
        <w:ind w:left="1280" w:right="1459" w:firstLine="282"/>
        <w:spacing w:after="0" w:line="253" w:lineRule="auto"/>
        <w:rPr>
          <w:sz w:val="20"/>
          <w:szCs w:val="20"/>
          <w:color w:val="auto"/>
        </w:rPr>
      </w:pPr>
      <w:r>
        <w:rPr>
          <w:rFonts w:ascii="Times New Roman" w:cs="Times New Roman" w:eastAsia="Times New Roman" w:hAnsi="Times New Roman"/>
          <w:sz w:val="14"/>
          <w:szCs w:val="14"/>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Effect of Issuance of Additional Units</w:t>
      </w:r>
    </w:p>
    <w:p>
      <w:pPr>
        <w:spacing w:after="0" w:line="116" w:lineRule="exact"/>
        <w:rPr>
          <w:sz w:val="20"/>
          <w:szCs w:val="20"/>
          <w:color w:val="auto"/>
        </w:rPr>
      </w:pPr>
    </w:p>
    <w:p>
      <w:pPr>
        <w:ind w:left="1280" w:right="1299" w:firstLine="282"/>
        <w:spacing w:after="0" w:line="286" w:lineRule="auto"/>
        <w:rPr>
          <w:sz w:val="20"/>
          <w:szCs w:val="20"/>
          <w:color w:val="auto"/>
        </w:rPr>
      </w:pPr>
      <w:r>
        <w:rPr>
          <w:rFonts w:ascii="Times New Roman" w:cs="Times New Roman" w:eastAsia="Times New Roman" w:hAnsi="Times New Roman"/>
          <w:sz w:val="14"/>
          <w:szCs w:val="14"/>
          <w:color w:val="auto"/>
        </w:rPr>
        <w:t>We can issue additional common units or other equity securities for consideration and under terms and conditions approved by our general partner in its sole discretion and without the approval of our unitholders,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5" w:name="page26"/>
    <w:bookmarkEnd w:id="25"/>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right="1459"/>
        <w:spacing w:after="0" w:line="279" w:lineRule="auto"/>
        <w:rPr>
          <w:sz w:val="20"/>
          <w:szCs w:val="20"/>
          <w:color w:val="auto"/>
        </w:rPr>
      </w:pPr>
      <w:r>
        <w:rPr>
          <w:rFonts w:ascii="Times New Roman" w:cs="Times New Roman" w:eastAsia="Times New Roman" w:hAnsi="Times New Roman"/>
          <w:sz w:val="14"/>
          <w:szCs w:val="14"/>
          <w:color w:val="auto"/>
        </w:rPr>
        <w:t>other than current holders of our Series A preferred units and Series B preferred units in certain circumstances. We may fund acquisitions through the issuance of additional common units or other equity securities.</w:t>
      </w:r>
    </w:p>
    <w:p>
      <w:pPr>
        <w:spacing w:after="0" w:line="251" w:lineRule="exact"/>
        <w:rPr>
          <w:sz w:val="20"/>
          <w:szCs w:val="20"/>
          <w:color w:val="auto"/>
        </w:rPr>
      </w:pPr>
    </w:p>
    <w:p>
      <w:pPr>
        <w:ind w:left="1280" w:right="1479" w:firstLine="282"/>
        <w:spacing w:after="0" w:line="269" w:lineRule="auto"/>
        <w:rPr>
          <w:sz w:val="20"/>
          <w:szCs w:val="20"/>
          <w:color w:val="auto"/>
        </w:rPr>
      </w:pPr>
      <w:r>
        <w:rPr>
          <w:rFonts w:ascii="Times New Roman" w:cs="Times New Roman" w:eastAsia="Times New Roman" w:hAnsi="Times New Roman"/>
          <w:sz w:val="14"/>
          <w:szCs w:val="14"/>
          <w:color w:val="auto"/>
        </w:rPr>
        <w:t>Holders of any additional common units that we issue will be entitled to share equally with our then-existing common unitholders in distributions of available cash. In addition, the issuance of additional interests may dilute the value of the interests of the then-existing unitholders.</w:t>
      </w:r>
    </w:p>
    <w:p>
      <w:pPr>
        <w:spacing w:after="0" w:line="1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Series A Preferred Units</w:t>
      </w:r>
    </w:p>
    <w:p>
      <w:pPr>
        <w:spacing w:after="0" w:line="127" w:lineRule="exact"/>
        <w:rPr>
          <w:sz w:val="20"/>
          <w:szCs w:val="20"/>
          <w:color w:val="auto"/>
        </w:rPr>
      </w:pPr>
    </w:p>
    <w:p>
      <w:pPr>
        <w:ind w:left="1280" w:right="1539" w:firstLine="282"/>
        <w:spacing w:after="0" w:line="279" w:lineRule="auto"/>
        <w:rPr>
          <w:sz w:val="20"/>
          <w:szCs w:val="20"/>
          <w:color w:val="auto"/>
        </w:rPr>
      </w:pPr>
      <w:r>
        <w:rPr>
          <w:rFonts w:ascii="Times New Roman" w:cs="Times New Roman" w:eastAsia="Times New Roman" w:hAnsi="Times New Roman"/>
          <w:sz w:val="14"/>
          <w:szCs w:val="14"/>
          <w:color w:val="auto"/>
        </w:rPr>
        <w:t>The terms of our Series A preferred units and notable provisions with respect to distributions on the Series A preferred units are described under “Description of Our Preferred Units — Series A Preferred Units.”</w:t>
      </w:r>
    </w:p>
    <w:p>
      <w:pPr>
        <w:spacing w:after="0" w:line="3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Series B Preferred Units</w:t>
      </w:r>
    </w:p>
    <w:p>
      <w:pPr>
        <w:spacing w:after="0" w:line="116" w:lineRule="exact"/>
        <w:rPr>
          <w:sz w:val="20"/>
          <w:szCs w:val="20"/>
          <w:color w:val="auto"/>
        </w:rPr>
      </w:pPr>
    </w:p>
    <w:p>
      <w:pPr>
        <w:ind w:left="1280" w:right="1539" w:firstLine="282"/>
        <w:spacing w:after="0" w:line="279" w:lineRule="auto"/>
        <w:rPr>
          <w:sz w:val="20"/>
          <w:szCs w:val="20"/>
          <w:color w:val="auto"/>
        </w:rPr>
      </w:pPr>
      <w:r>
        <w:rPr>
          <w:rFonts w:ascii="Times New Roman" w:cs="Times New Roman" w:eastAsia="Times New Roman" w:hAnsi="Times New Roman"/>
          <w:sz w:val="14"/>
          <w:szCs w:val="14"/>
          <w:color w:val="auto"/>
        </w:rPr>
        <w:t>The terms of our Series B preferred units and notable provisions with respect to distributions on the Series B preferred units are described under “Description of Our Preferred Units — Series B Preferred Units.”</w:t>
      </w:r>
    </w:p>
    <w:p>
      <w:pPr>
        <w:spacing w:after="0" w:line="3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Quarterly Distributions of Available Cash</w:t>
      </w:r>
    </w:p>
    <w:p>
      <w:pPr>
        <w:spacing w:after="0" w:line="127" w:lineRule="exact"/>
        <w:rPr>
          <w:sz w:val="20"/>
          <w:szCs w:val="20"/>
          <w:color w:val="auto"/>
        </w:rPr>
      </w:pPr>
    </w:p>
    <w:p>
      <w:pPr>
        <w:ind w:left="1280" w:right="1439" w:firstLine="282"/>
        <w:spacing w:after="0" w:line="263" w:lineRule="auto"/>
        <w:rPr>
          <w:sz w:val="20"/>
          <w:szCs w:val="20"/>
          <w:color w:val="auto"/>
        </w:rPr>
      </w:pPr>
      <w:r>
        <w:rPr>
          <w:rFonts w:ascii="Times New Roman" w:cs="Times New Roman" w:eastAsia="Times New Roman" w:hAnsi="Times New Roman"/>
          <w:sz w:val="14"/>
          <w:szCs w:val="14"/>
          <w:color w:val="auto"/>
        </w:rPr>
        <w:t>After making distributions to holders of our outstanding preferred units, we will distribute the remainder of our available cash for each quarter prior to our liquidation to our common unitholders. We expect to make distributions of all available cash within 45 days after the end of each quarter to holders of record on the applicable record date.</w:t>
      </w:r>
    </w:p>
    <w:p>
      <w:pPr>
        <w:spacing w:after="0" w:line="14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Distributions from Operating Surplus</w:t>
      </w:r>
    </w:p>
    <w:p>
      <w:pPr>
        <w:spacing w:after="0" w:line="127" w:lineRule="exact"/>
        <w:rPr>
          <w:sz w:val="20"/>
          <w:szCs w:val="20"/>
          <w:color w:val="auto"/>
        </w:rPr>
      </w:pPr>
    </w:p>
    <w:p>
      <w:pPr>
        <w:ind w:left="1280" w:right="1319" w:firstLine="282"/>
        <w:spacing w:after="0" w:line="263" w:lineRule="auto"/>
        <w:rPr>
          <w:sz w:val="20"/>
          <w:szCs w:val="20"/>
          <w:color w:val="auto"/>
        </w:rPr>
      </w:pPr>
      <w:r>
        <w:rPr>
          <w:rFonts w:ascii="Times New Roman" w:cs="Times New Roman" w:eastAsia="Times New Roman" w:hAnsi="Times New Roman"/>
          <w:sz w:val="14"/>
          <w:szCs w:val="14"/>
          <w:color w:val="auto"/>
        </w:rPr>
        <w:t>We will make distributions of available cash from operating surplus to all common unitholders, pro rata until we distribute an aggregate amount of available cash equal to the aggregate operating surplus generated by the Partnership from the time of our initial public offering through the end of the quarter in respect of such distribution.</w:t>
      </w:r>
    </w:p>
    <w:p>
      <w:pPr>
        <w:spacing w:after="0" w:line="14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Distributions from Capital Surplus</w:t>
      </w:r>
    </w:p>
    <w:p>
      <w:pPr>
        <w:spacing w:after="0" w:line="116" w:lineRule="exact"/>
        <w:rPr>
          <w:sz w:val="20"/>
          <w:szCs w:val="20"/>
          <w:color w:val="auto"/>
        </w:rPr>
      </w:pPr>
    </w:p>
    <w:p>
      <w:pPr>
        <w:ind w:left="1280" w:right="1459" w:firstLine="282"/>
        <w:spacing w:after="0" w:line="263" w:lineRule="auto"/>
        <w:rPr>
          <w:sz w:val="20"/>
          <w:szCs w:val="20"/>
          <w:color w:val="auto"/>
        </w:rPr>
      </w:pPr>
      <w:r>
        <w:rPr>
          <w:rFonts w:ascii="Times New Roman" w:cs="Times New Roman" w:eastAsia="Times New Roman" w:hAnsi="Times New Roman"/>
          <w:sz w:val="14"/>
          <w:szCs w:val="14"/>
          <w:color w:val="auto"/>
        </w:rPr>
        <w:t>We will make distributions of available cash from capital surplus to all common unitholders pro rata. We may not make distributions of capital surplus without the approval of (i) holders of at least 75% of the outstanding Series A preferred units and (ii) holders of at least 66 2/3% of the outstanding Series B preferred units.</w:t>
      </w:r>
    </w:p>
    <w:p>
      <w:pPr>
        <w:spacing w:after="0" w:line="14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Distribution of Cash upon Liquidation</w:t>
      </w:r>
    </w:p>
    <w:p>
      <w:pPr>
        <w:spacing w:after="0" w:line="127" w:lineRule="exact"/>
        <w:rPr>
          <w:sz w:val="20"/>
          <w:szCs w:val="20"/>
          <w:color w:val="auto"/>
        </w:rPr>
      </w:pPr>
    </w:p>
    <w:p>
      <w:pPr>
        <w:ind w:left="1280" w:right="1599" w:firstLine="282"/>
        <w:spacing w:after="0" w:line="263" w:lineRule="auto"/>
        <w:rPr>
          <w:sz w:val="20"/>
          <w:szCs w:val="20"/>
          <w:color w:val="auto"/>
        </w:rPr>
      </w:pPr>
      <w:r>
        <w:rPr>
          <w:rFonts w:ascii="Times New Roman" w:cs="Times New Roman" w:eastAsia="Times New Roman" w:hAnsi="Times New Roman"/>
          <w:sz w:val="14"/>
          <w:szCs w:val="14"/>
          <w:color w:val="auto"/>
        </w:rPr>
        <w:t>If we dissolve and liquidate, we will sell or otherwise dispose of our assets and adjust the partners’ capital account balances to reflect any resulting gain or loss. We will apply the proceeds of liquidation</w:t>
      </w:r>
    </w:p>
    <w:p>
      <w:pPr>
        <w:ind w:left="1280" w:right="1339" w:firstLine="5"/>
        <w:spacing w:after="0" w:line="258" w:lineRule="auto"/>
        <w:tabs>
          <w:tab w:leader="none" w:pos="14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 to the payment of our creditors in the order of priority provided in our partnership agreement and by law, (ii) second to the holders of outstanding preferred units in accordance with their adjusted capital account balances and (iii) thereafter, to the common unitholders in accordance with their adjusted capital account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6" w:name="page27"/>
    <w:bookmarkEnd w:id="26"/>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OUR PARTNERSHIP AGREEMENT</w:t>
      </w:r>
    </w:p>
    <w:p>
      <w:pPr>
        <w:spacing w:after="0" w:line="127" w:lineRule="exact"/>
        <w:rPr>
          <w:sz w:val="20"/>
          <w:szCs w:val="20"/>
          <w:color w:val="auto"/>
        </w:rPr>
      </w:pPr>
    </w:p>
    <w:p>
      <w:pPr>
        <w:ind w:left="1280" w:right="1339" w:firstLine="282"/>
        <w:spacing w:after="0" w:line="286" w:lineRule="auto"/>
        <w:rPr>
          <w:sz w:val="20"/>
          <w:szCs w:val="20"/>
          <w:color w:val="auto"/>
        </w:rPr>
      </w:pPr>
      <w:r>
        <w:rPr>
          <w:rFonts w:ascii="Times New Roman" w:cs="Times New Roman" w:eastAsia="Times New Roman" w:hAnsi="Times New Roman"/>
          <w:sz w:val="14"/>
          <w:szCs w:val="14"/>
          <w:color w:val="auto"/>
        </w:rPr>
        <w:t>The following is a summary of certain material provisions of our partnership agreement. The following provisions of our partnership agreement are summarized elsewhere in this prospectus:</w:t>
      </w:r>
    </w:p>
    <w:p>
      <w:pPr>
        <w:spacing w:after="0" w:line="51" w:lineRule="exact"/>
        <w:rPr>
          <w:sz w:val="20"/>
          <w:szCs w:val="20"/>
          <w:color w:val="auto"/>
        </w:rPr>
      </w:pPr>
    </w:p>
    <w:p>
      <w:pPr>
        <w:ind w:left="1700" w:hanging="133"/>
        <w:spacing w:after="0"/>
        <w:tabs>
          <w:tab w:leader="none" w:pos="1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of our available cash are described under “Cash Distribution Policy”;</w:t>
      </w:r>
    </w:p>
    <w:p>
      <w:pPr>
        <w:spacing w:after="0" w:line="114" w:lineRule="exact"/>
        <w:rPr>
          <w:rFonts w:ascii="Times New Roman" w:cs="Times New Roman" w:eastAsia="Times New Roman" w:hAnsi="Times New Roman"/>
          <w:sz w:val="14"/>
          <w:szCs w:val="14"/>
          <w:color w:val="auto"/>
        </w:rPr>
      </w:pPr>
    </w:p>
    <w:p>
      <w:pPr>
        <w:ind w:left="1700" w:right="1699" w:hanging="133"/>
        <w:spacing w:after="0" w:line="286" w:lineRule="auto"/>
        <w:tabs>
          <w:tab w:leader="none" w:pos="1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allocations of taxable income and other tax matters are described under “Material U.S. Federal Income Tax Consequences”;</w:t>
      </w:r>
    </w:p>
    <w:p>
      <w:pPr>
        <w:spacing w:after="0" w:line="50"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rights of holders of our preferred units are described under “Description of Our Preferred Units”; and</w:t>
      </w:r>
    </w:p>
    <w:p>
      <w:pPr>
        <w:spacing w:after="0" w:line="10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rights of holders of our common units are described under “Description of Our Common Units.”</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Purpose</w:t>
      </w:r>
    </w:p>
    <w:p>
      <w:pPr>
        <w:spacing w:after="0" w:line="127" w:lineRule="exact"/>
        <w:rPr>
          <w:sz w:val="20"/>
          <w:szCs w:val="20"/>
          <w:color w:val="auto"/>
        </w:rPr>
      </w:pPr>
    </w:p>
    <w:p>
      <w:pPr>
        <w:ind w:left="1280" w:right="1339" w:firstLine="282"/>
        <w:spacing w:after="0" w:line="261" w:lineRule="auto"/>
        <w:rPr>
          <w:sz w:val="20"/>
          <w:szCs w:val="20"/>
          <w:color w:val="auto"/>
        </w:rPr>
      </w:pPr>
      <w:r>
        <w:rPr>
          <w:rFonts w:ascii="Times New Roman" w:cs="Times New Roman" w:eastAsia="Times New Roman" w:hAnsi="Times New Roman"/>
          <w:sz w:val="14"/>
          <w:szCs w:val="14"/>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Applicable Law; Forum, Venue and Jurisdiction</w:t>
      </w:r>
    </w:p>
    <w:p>
      <w:pPr>
        <w:spacing w:after="0" w:line="127" w:lineRule="exact"/>
        <w:rPr>
          <w:sz w:val="20"/>
          <w:szCs w:val="20"/>
          <w:color w:val="auto"/>
        </w:rPr>
      </w:pPr>
    </w:p>
    <w:p>
      <w:pPr>
        <w:ind w:left="1280" w:right="1439" w:firstLine="282"/>
        <w:spacing w:after="0" w:line="286" w:lineRule="auto"/>
        <w:rPr>
          <w:sz w:val="20"/>
          <w:szCs w:val="20"/>
          <w:color w:val="auto"/>
        </w:rPr>
      </w:pPr>
      <w:r>
        <w:rPr>
          <w:rFonts w:ascii="Times New Roman" w:cs="Times New Roman" w:eastAsia="Times New Roman" w:hAnsi="Times New Roman"/>
          <w:sz w:val="14"/>
          <w:szCs w:val="14"/>
          <w:color w:val="auto"/>
        </w:rPr>
        <w:t>Our partnership agreement is governed by Delaware law. Our partnership agreement requires that any claims, suits, actions or proceedings:</w:t>
      </w:r>
    </w:p>
    <w:p>
      <w:pPr>
        <w:spacing w:after="0" w:line="51" w:lineRule="exact"/>
        <w:rPr>
          <w:sz w:val="20"/>
          <w:szCs w:val="20"/>
          <w:color w:val="auto"/>
        </w:rPr>
      </w:pPr>
    </w:p>
    <w:p>
      <w:pPr>
        <w:ind w:left="1700" w:right="1619" w:hanging="133"/>
        <w:spacing w:after="0" w:line="263" w:lineRule="auto"/>
        <w:tabs>
          <w:tab w:leader="none" w:pos="1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arising out of or relating in any way to the partnership agreement (including any claims, suits or actions to interpret, apply or enforce the provisions of the partnership agreement or the duties, obligations or liabilities among unitholders or of unitholders to us, or the rights or powers of, or restrictions on, the unitholders or us);</w:t>
      </w:r>
    </w:p>
    <w:p>
      <w:pPr>
        <w:spacing w:after="0" w:line="67"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brought in a derivative manner on our behalf;</w:t>
      </w:r>
    </w:p>
    <w:p>
      <w:pPr>
        <w:spacing w:after="0" w:line="114" w:lineRule="exact"/>
        <w:rPr>
          <w:rFonts w:ascii="Times New Roman" w:cs="Times New Roman" w:eastAsia="Times New Roman" w:hAnsi="Times New Roman"/>
          <w:sz w:val="14"/>
          <w:szCs w:val="14"/>
          <w:color w:val="auto"/>
        </w:rPr>
      </w:pPr>
    </w:p>
    <w:p>
      <w:pPr>
        <w:ind w:left="1700" w:right="1379" w:hanging="133"/>
        <w:spacing w:after="0" w:line="286" w:lineRule="auto"/>
        <w:tabs>
          <w:tab w:leader="none" w:pos="1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asserting a claim of breach of a fiduciary duty owed by any director, officer or other employee of us or our generally partner, or owed by our general partner to us or the unitholders;</w:t>
      </w:r>
    </w:p>
    <w:p>
      <w:pPr>
        <w:spacing w:after="0" w:line="50" w:lineRule="exact"/>
        <w:rPr>
          <w:rFonts w:ascii="Times New Roman" w:cs="Times New Roman" w:eastAsia="Times New Roman" w:hAnsi="Times New Roman"/>
          <w:sz w:val="14"/>
          <w:szCs w:val="14"/>
          <w:color w:val="auto"/>
        </w:rPr>
      </w:pPr>
    </w:p>
    <w:p>
      <w:pPr>
        <w:ind w:left="1700" w:right="1779" w:hanging="133"/>
        <w:spacing w:after="0" w:line="286" w:lineRule="auto"/>
        <w:tabs>
          <w:tab w:leader="none" w:pos="1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asserting a claim arising pursuant to any provision of the Delaware Revised Uniform Limited Partnership Act (the “Delaware Act”); or</w:t>
      </w:r>
    </w:p>
    <w:p>
      <w:pPr>
        <w:spacing w:after="0" w:line="50"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asserting a claim governed by the internal affairs doctrine;</w:t>
      </w:r>
    </w:p>
    <w:p>
      <w:pPr>
        <w:spacing w:after="0" w:line="125" w:lineRule="exact"/>
        <w:rPr>
          <w:sz w:val="20"/>
          <w:szCs w:val="20"/>
          <w:color w:val="auto"/>
        </w:rPr>
      </w:pPr>
    </w:p>
    <w:p>
      <w:pPr>
        <w:ind w:left="1280" w:right="1339"/>
        <w:spacing w:after="0" w:line="261" w:lineRule="auto"/>
        <w:rPr>
          <w:sz w:val="20"/>
          <w:szCs w:val="20"/>
          <w:color w:val="auto"/>
        </w:rPr>
      </w:pPr>
      <w:r>
        <w:rPr>
          <w:rFonts w:ascii="Times New Roman" w:cs="Times New Roman" w:eastAsia="Times New Roman" w:hAnsi="Times New Roman"/>
          <w:sz w:val="14"/>
          <w:szCs w:val="14"/>
          <w:color w:val="auto"/>
        </w:rPr>
        <w:t>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w:t>
      </w:r>
    </w:p>
    <w:p>
      <w:pPr>
        <w:spacing w:after="0" w:line="78" w:lineRule="exact"/>
        <w:rPr>
          <w:sz w:val="20"/>
          <w:szCs w:val="20"/>
          <w:color w:val="auto"/>
        </w:rPr>
      </w:pPr>
    </w:p>
    <w:p>
      <w:pPr>
        <w:ind w:left="1280" w:right="1299" w:firstLine="282"/>
        <w:spacing w:after="0" w:line="256" w:lineRule="auto"/>
        <w:rPr>
          <w:sz w:val="20"/>
          <w:szCs w:val="20"/>
          <w:color w:val="auto"/>
        </w:rPr>
      </w:pPr>
      <w:r>
        <w:rPr>
          <w:rFonts w:ascii="Times New Roman" w:cs="Times New Roman" w:eastAsia="Times New Roman" w:hAnsi="Times New Roman"/>
          <w:sz w:val="14"/>
          <w:szCs w:val="14"/>
          <w:color w:val="auto"/>
        </w:rPr>
        <w:t>By purchasing a common unit, a unitholder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 The exclusive forum provision would not apply to suits brought to enforce any liability or duty created by the Securities Act of 1933, as amended (the “Securities Act”), or the Exchange Act or any other claim for which the federal courts have exclusive jurisdiction. To the extent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the federal and state courts over all suits brought to enforce any duty or liability created by the Securities Act or the rules and regulations thereunder.</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7" w:name="page28"/>
    <w:bookmarkEnd w:id="27"/>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27" w:lineRule="exact"/>
        <w:rPr>
          <w:sz w:val="20"/>
          <w:szCs w:val="20"/>
          <w:color w:val="auto"/>
        </w:rPr>
      </w:pPr>
    </w:p>
    <w:p>
      <w:pPr>
        <w:ind w:left="1280" w:right="1299" w:firstLine="282"/>
        <w:spacing w:after="0" w:line="261" w:lineRule="auto"/>
        <w:rPr>
          <w:sz w:val="20"/>
          <w:szCs w:val="20"/>
          <w:color w:val="auto"/>
        </w:rPr>
      </w:pPr>
      <w:r>
        <w:rPr>
          <w:rFonts w:ascii="Times New Roman" w:cs="Times New Roman" w:eastAsia="Times New Roman" w:hAnsi="Times New Roman"/>
          <w:sz w:val="14"/>
          <w:szCs w:val="14"/>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Issuance of Additional Securities</w:t>
      </w:r>
    </w:p>
    <w:p>
      <w:pPr>
        <w:spacing w:after="0" w:line="127" w:lineRule="exact"/>
        <w:rPr>
          <w:sz w:val="20"/>
          <w:szCs w:val="20"/>
          <w:color w:val="auto"/>
        </w:rPr>
      </w:pPr>
    </w:p>
    <w:p>
      <w:pPr>
        <w:ind w:left="1280" w:right="1439" w:firstLine="282"/>
        <w:spacing w:after="0" w:line="266" w:lineRule="auto"/>
        <w:rPr>
          <w:sz w:val="20"/>
          <w:szCs w:val="20"/>
          <w:color w:val="auto"/>
        </w:rPr>
      </w:pPr>
      <w:r>
        <w:rPr>
          <w:rFonts w:ascii="Times New Roman" w:cs="Times New Roman" w:eastAsia="Times New Roman" w:hAnsi="Times New Roman"/>
          <w:sz w:val="14"/>
          <w:szCs w:val="14"/>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248" w:lineRule="exact"/>
        <w:rPr>
          <w:sz w:val="20"/>
          <w:szCs w:val="20"/>
          <w:color w:val="auto"/>
        </w:rPr>
      </w:pPr>
    </w:p>
    <w:p>
      <w:pPr>
        <w:ind w:left="1280" w:right="1339" w:firstLine="282"/>
        <w:spacing w:after="0" w:line="262" w:lineRule="auto"/>
        <w:rPr>
          <w:sz w:val="20"/>
          <w:szCs w:val="20"/>
          <w:color w:val="auto"/>
        </w:rPr>
      </w:pPr>
      <w:r>
        <w:rPr>
          <w:rFonts w:ascii="Times New Roman" w:cs="Times New Roman" w:eastAsia="Times New Roman" w:hAnsi="Times New Roman"/>
          <w:sz w:val="14"/>
          <w:szCs w:val="14"/>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261" w:lineRule="exact"/>
        <w:rPr>
          <w:sz w:val="20"/>
          <w:szCs w:val="20"/>
          <w:color w:val="auto"/>
        </w:rPr>
      </w:pPr>
    </w:p>
    <w:p>
      <w:pPr>
        <w:jc w:val="both"/>
        <w:ind w:left="1280" w:right="1459" w:firstLine="282"/>
        <w:spacing w:after="0" w:line="269" w:lineRule="auto"/>
        <w:rPr>
          <w:sz w:val="20"/>
          <w:szCs w:val="20"/>
          <w:color w:val="auto"/>
        </w:rPr>
      </w:pPr>
      <w:r>
        <w:rPr>
          <w:rFonts w:ascii="Times New Roman" w:cs="Times New Roman" w:eastAsia="Times New Roman" w:hAnsi="Times New Roman"/>
          <w:sz w:val="14"/>
          <w:szCs w:val="14"/>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84" w:lineRule="exact"/>
        <w:rPr>
          <w:sz w:val="20"/>
          <w:szCs w:val="20"/>
          <w:color w:val="auto"/>
        </w:rPr>
      </w:pPr>
    </w:p>
    <w:p>
      <w:pPr>
        <w:ind w:left="1280" w:right="1319" w:firstLine="282"/>
        <w:spacing w:after="0" w:line="260" w:lineRule="auto"/>
        <w:rPr>
          <w:sz w:val="20"/>
          <w:szCs w:val="20"/>
          <w:color w:val="auto"/>
        </w:rPr>
      </w:pPr>
      <w:r>
        <w:rPr>
          <w:rFonts w:ascii="Times New Roman" w:cs="Times New Roman" w:eastAsia="Times New Roman" w:hAnsi="Times New Roman"/>
          <w:sz w:val="14"/>
          <w:szCs w:val="14"/>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3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Amendments to Our Partnership Agreement</w:t>
      </w:r>
    </w:p>
    <w:p>
      <w:pPr>
        <w:spacing w:after="0" w:line="116" w:lineRule="exact"/>
        <w:rPr>
          <w:sz w:val="20"/>
          <w:szCs w:val="20"/>
          <w:color w:val="auto"/>
        </w:rPr>
      </w:pPr>
    </w:p>
    <w:p>
      <w:pPr>
        <w:ind w:left="1280" w:right="1339" w:firstLine="282"/>
        <w:spacing w:after="0" w:line="258" w:lineRule="auto"/>
        <w:rPr>
          <w:sz w:val="20"/>
          <w:szCs w:val="20"/>
          <w:color w:val="auto"/>
        </w:rPr>
      </w:pPr>
      <w:r>
        <w:rPr>
          <w:rFonts w:ascii="Times New Roman" w:cs="Times New Roman" w:eastAsia="Times New Roman" w:hAnsi="Times New Roman"/>
          <w:sz w:val="14"/>
          <w:szCs w:val="14"/>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Withdrawal or Removal of Our General Partner</w:t>
      </w:r>
    </w:p>
    <w:p>
      <w:pPr>
        <w:spacing w:after="0" w:line="127" w:lineRule="exact"/>
        <w:rPr>
          <w:sz w:val="20"/>
          <w:szCs w:val="20"/>
          <w:color w:val="auto"/>
        </w:rPr>
      </w:pPr>
    </w:p>
    <w:p>
      <w:pPr>
        <w:ind w:left="1280" w:right="1359" w:firstLine="282"/>
        <w:spacing w:after="0" w:line="261" w:lineRule="auto"/>
        <w:rPr>
          <w:sz w:val="20"/>
          <w:szCs w:val="20"/>
          <w:color w:val="auto"/>
        </w:rPr>
      </w:pPr>
      <w:r>
        <w:rPr>
          <w:rFonts w:ascii="Times New Roman" w:cs="Times New Roman" w:eastAsia="Times New Roman" w:hAnsi="Times New Roman"/>
          <w:sz w:val="14"/>
          <w:szCs w:val="14"/>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units are held or controlled by one person and its affiliates other than our general partner and its affiliates.</w:t>
      </w:r>
    </w:p>
    <w:p>
      <w:pPr>
        <w:spacing w:after="0" w:line="88" w:lineRule="exact"/>
        <w:rPr>
          <w:sz w:val="20"/>
          <w:szCs w:val="20"/>
          <w:color w:val="auto"/>
        </w:rPr>
      </w:pPr>
    </w:p>
    <w:p>
      <w:pPr>
        <w:ind w:left="1280" w:right="1439" w:firstLine="282"/>
        <w:spacing w:after="0" w:line="257" w:lineRule="auto"/>
        <w:rPr>
          <w:sz w:val="20"/>
          <w:szCs w:val="20"/>
          <w:color w:val="auto"/>
        </w:rPr>
      </w:pPr>
      <w:r>
        <w:rPr>
          <w:rFonts w:ascii="Times New Roman" w:cs="Times New Roman" w:eastAsia="Times New Roman" w:hAnsi="Times New Roman"/>
          <w:sz w:val="14"/>
          <w:szCs w:val="14"/>
          <w:color w:val="auto"/>
        </w:rPr>
        <w:t>Upon the voluntary withdrawal of our general partner, the holders of a majority of our outstanding common units and Series A preferred units, excluding any common units and Series A preferred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common units and Series A preferred units, excluding the common units and Series A preferred units held by the withdrawing general partner and its affiliates, agree to continue our business and to appoint a successor general partner.</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8" w:name="page29"/>
    <w:bookmarkEnd w:id="28"/>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right="1379" w:firstLine="282"/>
        <w:spacing w:after="0" w:line="250" w:lineRule="auto"/>
        <w:rPr>
          <w:sz w:val="20"/>
          <w:szCs w:val="20"/>
          <w:color w:val="auto"/>
        </w:rPr>
      </w:pPr>
      <w:r>
        <w:rPr>
          <w:rFonts w:ascii="Times New Roman" w:cs="Times New Roman" w:eastAsia="Times New Roman" w:hAnsi="Times New Roman"/>
          <w:sz w:val="14"/>
          <w:szCs w:val="14"/>
          <w:color w:val="auto"/>
        </w:rPr>
        <w:t>Our general partner may not be removed unless that removal is approved by the vote of the holders of not less than two- 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and Series A preferred units, including those held by our general partner and its affiliates.</w:t>
      </w:r>
    </w:p>
    <w:p>
      <w:pPr>
        <w:spacing w:after="0" w:line="252" w:lineRule="exact"/>
        <w:rPr>
          <w:sz w:val="20"/>
          <w:szCs w:val="20"/>
          <w:color w:val="auto"/>
        </w:rPr>
      </w:pPr>
    </w:p>
    <w:p>
      <w:pPr>
        <w:ind w:left="1280" w:right="1539" w:firstLine="282"/>
        <w:spacing w:after="0" w:line="261" w:lineRule="auto"/>
        <w:rPr>
          <w:sz w:val="20"/>
          <w:szCs w:val="20"/>
          <w:color w:val="auto"/>
        </w:rPr>
      </w:pPr>
      <w:r>
        <w:rPr>
          <w:rFonts w:ascii="Times New Roman" w:cs="Times New Roman" w:eastAsia="Times New Roman" w:hAnsi="Times New Roman"/>
          <w:sz w:val="14"/>
          <w:szCs w:val="14"/>
          <w:color w:val="auto"/>
        </w:rPr>
        <w:t>While our partnership agreement limits the ability of our general partner to withdraw, it allows the general partner interest to be transferred to an affiliate or to a third party in conjunction with a merger or sale of all or substantially all of the assets of our general partner.</w:t>
      </w:r>
    </w:p>
    <w:p>
      <w:pPr>
        <w:spacing w:after="0" w:line="78" w:lineRule="exact"/>
        <w:rPr>
          <w:sz w:val="20"/>
          <w:szCs w:val="20"/>
          <w:color w:val="auto"/>
        </w:rPr>
      </w:pPr>
    </w:p>
    <w:p>
      <w:pPr>
        <w:jc w:val="both"/>
        <w:ind w:left="1280" w:right="1359" w:firstLine="282"/>
        <w:spacing w:after="0" w:line="270" w:lineRule="auto"/>
        <w:rPr>
          <w:sz w:val="20"/>
          <w:szCs w:val="20"/>
          <w:color w:val="auto"/>
        </w:rPr>
      </w:pPr>
      <w:r>
        <w:rPr>
          <w:rFonts w:ascii="Times New Roman" w:cs="Times New Roman" w:eastAsia="Times New Roman" w:hAnsi="Times New Roman"/>
          <w:sz w:val="14"/>
          <w:szCs w:val="14"/>
          <w:color w:val="auto"/>
        </w:rPr>
        <w:t>In addition, our partnership agreement expressly permits the sale, in whole or in part, of the ownership of our general partner. Our general partner may also transfer, in whole or in part, the common units it owns.</w:t>
      </w:r>
    </w:p>
    <w:p>
      <w:pPr>
        <w:spacing w:after="0" w:line="1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Merger, Sale or Other Disposition of Assets</w:t>
      </w:r>
    </w:p>
    <w:p>
      <w:pPr>
        <w:spacing w:after="0" w:line="127" w:lineRule="exact"/>
        <w:rPr>
          <w:sz w:val="20"/>
          <w:szCs w:val="20"/>
          <w:color w:val="auto"/>
        </w:rPr>
      </w:pPr>
    </w:p>
    <w:p>
      <w:pPr>
        <w:ind w:left="1280" w:right="1419" w:firstLine="282"/>
        <w:spacing w:after="0" w:line="246" w:lineRule="auto"/>
        <w:rPr>
          <w:sz w:val="20"/>
          <w:szCs w:val="20"/>
          <w:color w:val="auto"/>
        </w:rPr>
      </w:pPr>
      <w:r>
        <w:rPr>
          <w:rFonts w:ascii="Times New Roman" w:cs="Times New Roman" w:eastAsia="Times New Roman" w:hAnsi="Times New Roman"/>
          <w:sz w:val="14"/>
          <w:szCs w:val="14"/>
          <w:color w:val="auto"/>
        </w:rPr>
        <w:t>A merger or consolidation of us requires the prior consent of our general partner. However, our partnership agreement generally prohibits our general partner, without the prior approval of a majority of our outstanding units, from causing us to, among other things, sell, exchange or otherwise dispose of all or substantially all of our assets in a single transaction or a series of related transactions. Our general partner may, however, mortgage, pledge, hypothecate or grant a security interest in all or substantially all of our assets without unitholder approval. Our general partner may also sell all or substantially all of our assets under a foreclosure or other realization upon any such mortgage, pledge, hypothecate or security interest without that approval.</w:t>
      </w:r>
    </w:p>
    <w:p>
      <w:pPr>
        <w:spacing w:after="0" w:line="253" w:lineRule="exact"/>
        <w:rPr>
          <w:sz w:val="20"/>
          <w:szCs w:val="20"/>
          <w:color w:val="auto"/>
        </w:rPr>
      </w:pPr>
    </w:p>
    <w:p>
      <w:pPr>
        <w:ind w:left="1280" w:right="1319" w:firstLine="282"/>
        <w:spacing w:after="0" w:line="247" w:lineRule="auto"/>
        <w:rPr>
          <w:sz w:val="20"/>
          <w:szCs w:val="20"/>
          <w:color w:val="auto"/>
        </w:rPr>
      </w:pPr>
      <w:r>
        <w:rPr>
          <w:rFonts w:ascii="Times New Roman" w:cs="Times New Roman" w:eastAsia="Times New Roman" w:hAnsi="Times New Roman"/>
          <w:sz w:val="14"/>
          <w:szCs w:val="14"/>
          <w:color w:val="auto"/>
        </w:rPr>
        <w:t>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unitholders are not entitled to dissenters’ rights or appraisal rights (and, therefore, will not be entitled to demand payment of a fair price for their units) under our partnership agreement or applicable Delaware law in the event of a merger or consolidation, a sale of substantially all of our assets or any other transaction or event.</w:t>
      </w:r>
    </w:p>
    <w:p>
      <w:pPr>
        <w:spacing w:after="0" w:line="30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Liquidation and Distribution of Proceeds</w:t>
      </w:r>
    </w:p>
    <w:p>
      <w:pPr>
        <w:spacing w:after="0" w:line="127" w:lineRule="exact"/>
        <w:rPr>
          <w:sz w:val="20"/>
          <w:szCs w:val="20"/>
          <w:color w:val="auto"/>
        </w:rPr>
      </w:pPr>
    </w:p>
    <w:p>
      <w:pPr>
        <w:ind w:left="1280" w:right="1379" w:firstLine="282"/>
        <w:spacing w:after="0" w:line="253" w:lineRule="auto"/>
        <w:rPr>
          <w:sz w:val="20"/>
          <w:szCs w:val="20"/>
          <w:color w:val="auto"/>
        </w:rPr>
      </w:pPr>
      <w:r>
        <w:rPr>
          <w:rFonts w:ascii="Times New Roman" w:cs="Times New Roman" w:eastAsia="Times New Roman" w:hAnsi="Times New Roman"/>
          <w:sz w:val="14"/>
          <w:szCs w:val="14"/>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52" w:lineRule="exact"/>
        <w:rPr>
          <w:sz w:val="20"/>
          <w:szCs w:val="20"/>
          <w:color w:val="auto"/>
        </w:rPr>
      </w:pPr>
    </w:p>
    <w:p>
      <w:pPr>
        <w:ind w:left="1700" w:right="1879" w:hanging="133"/>
        <w:spacing w:after="0" w:line="286" w:lineRule="auto"/>
        <w:tabs>
          <w:tab w:leader="none" w:pos="1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 towards the payment of all of our creditors and the creation of a reserve for contingent liabilities;</w:t>
      </w:r>
    </w:p>
    <w:p>
      <w:pPr>
        <w:spacing w:after="0" w:line="29" w:lineRule="exact"/>
        <w:rPr>
          <w:rFonts w:ascii="Times New Roman" w:cs="Times New Roman" w:eastAsia="Times New Roman" w:hAnsi="Times New Roman"/>
          <w:sz w:val="14"/>
          <w:szCs w:val="14"/>
          <w:color w:val="auto"/>
        </w:rPr>
      </w:pPr>
    </w:p>
    <w:p>
      <w:pPr>
        <w:ind w:left="1700" w:right="1679" w:hanging="133"/>
        <w:spacing w:after="0" w:line="269" w:lineRule="auto"/>
        <w:tabs>
          <w:tab w:leader="none" w:pos="1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next, to all holders of preferred units an aggregate amount equal to the positive balance in their capital accounts distributed in a manner that provides the holders of preferred units with the same percentage of their respective liquidation preferences; and</w:t>
      </w:r>
    </w:p>
    <w:p>
      <w:pPr>
        <w:spacing w:after="0" w:line="41"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finally, to all partners in accordance with the positive balance in their respective capital accounts.</w:t>
      </w:r>
    </w:p>
    <w:p>
      <w:pPr>
        <w:spacing w:after="0" w:line="114" w:lineRule="exact"/>
        <w:rPr>
          <w:sz w:val="20"/>
          <w:szCs w:val="20"/>
          <w:color w:val="auto"/>
        </w:rPr>
      </w:pPr>
    </w:p>
    <w:p>
      <w:pPr>
        <w:ind w:left="1280" w:right="1499" w:firstLine="282"/>
        <w:spacing w:after="0" w:line="253" w:lineRule="auto"/>
        <w:rPr>
          <w:sz w:val="20"/>
          <w:szCs w:val="20"/>
          <w:color w:val="auto"/>
        </w:rPr>
      </w:pPr>
      <w:r>
        <w:rPr>
          <w:rFonts w:ascii="Times New Roman" w:cs="Times New Roman" w:eastAsia="Times New Roman" w:hAnsi="Times New Roman"/>
          <w:sz w:val="14"/>
          <w:szCs w:val="14"/>
          <w:color w:val="auto"/>
        </w:rPr>
        <w:t>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w:t>
      </w:r>
    </w:p>
    <w:p>
      <w:pPr>
        <w:spacing w:after="0" w:line="1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Change of Management Provisions</w:t>
      </w:r>
    </w:p>
    <w:p>
      <w:pPr>
        <w:spacing w:after="0" w:line="116" w:lineRule="exact"/>
        <w:rPr>
          <w:sz w:val="20"/>
          <w:szCs w:val="20"/>
          <w:color w:val="auto"/>
        </w:rPr>
      </w:pPr>
    </w:p>
    <w:p>
      <w:pPr>
        <w:ind w:left="1280" w:right="1399" w:firstLine="282"/>
        <w:spacing w:after="0" w:line="286" w:lineRule="auto"/>
        <w:rPr>
          <w:sz w:val="20"/>
          <w:szCs w:val="20"/>
          <w:color w:val="auto"/>
        </w:rPr>
      </w:pPr>
      <w:r>
        <w:rPr>
          <w:rFonts w:ascii="Times New Roman" w:cs="Times New Roman" w:eastAsia="Times New Roman" w:hAnsi="Times New Roman"/>
          <w:sz w:val="14"/>
          <w:szCs w:val="14"/>
          <w:color w:val="auto"/>
        </w:rPr>
        <w:t>Our partnership agreement contains the following specific provisions that are intended to discourage a person or group from attempting to remove our general partner or otherwise change management:</w:t>
      </w:r>
    </w:p>
    <w:p>
      <w:pPr>
        <w:spacing w:after="0" w:line="19" w:lineRule="exact"/>
        <w:rPr>
          <w:sz w:val="20"/>
          <w:szCs w:val="20"/>
          <w:color w:val="auto"/>
        </w:rPr>
      </w:pPr>
    </w:p>
    <w:p>
      <w:pPr>
        <w:jc w:val="both"/>
        <w:ind w:left="1700" w:right="1479" w:hanging="133"/>
        <w:spacing w:after="0" w:line="279" w:lineRule="auto"/>
        <w:tabs>
          <w:tab w:leader="none" w:pos="17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if a person acquires 20% or more of any class of units then outstanding other than from our general partner or its affiliates, the units owned by such person cannot be voted on any matter; and</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9" w:name="page30"/>
    <w:bookmarkEnd w:id="29"/>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700" w:right="1539" w:hanging="133"/>
        <w:spacing w:after="0" w:line="269" w:lineRule="auto"/>
        <w:tabs>
          <w:tab w:leader="none" w:pos="17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Limited Call Right</w:t>
      </w:r>
    </w:p>
    <w:p>
      <w:pPr>
        <w:spacing w:after="0" w:line="12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If at any time our general partner and its affiliates (other than, with respect to the Series A</w:t>
      </w:r>
    </w:p>
    <w:p>
      <w:pPr>
        <w:spacing w:after="0" w:line="1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preferred units, such affiliates that originally purchased Series A preferred units) own 80% or more of the</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issued and outstanding limited partner interests of any class, our general partner will have the right to</w:t>
      </w:r>
    </w:p>
    <w:p>
      <w:pPr>
        <w:ind w:left="1280"/>
        <w:spacing w:after="0" w:line="236" w:lineRule="auto"/>
        <w:rPr>
          <w:sz w:val="20"/>
          <w:szCs w:val="20"/>
          <w:color w:val="auto"/>
        </w:rPr>
      </w:pPr>
      <w:r>
        <w:rPr>
          <w:rFonts w:ascii="Times New Roman" w:cs="Times New Roman" w:eastAsia="Times New Roman" w:hAnsi="Times New Roman"/>
          <w:sz w:val="14"/>
          <w:szCs w:val="14"/>
          <w:color w:val="auto"/>
        </w:rPr>
        <w:t>purchase all, but not less than all, of the outstanding limited partner interests of that class that are held by</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non-affiliated persons. The record date for determining ownership of the limited partner interests would be</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selected by our general partner on at least 10 but not more than 60 days’ notice. The purchase price in the</w:t>
      </w:r>
    </w:p>
    <w:p>
      <w:pPr>
        <w:ind w:left="1280"/>
        <w:spacing w:after="0" w:line="236" w:lineRule="auto"/>
        <w:rPr>
          <w:sz w:val="20"/>
          <w:szCs w:val="20"/>
          <w:color w:val="auto"/>
        </w:rPr>
      </w:pPr>
      <w:r>
        <w:rPr>
          <w:rFonts w:ascii="Times New Roman" w:cs="Times New Roman" w:eastAsia="Times New Roman" w:hAnsi="Times New Roman"/>
          <w:sz w:val="14"/>
          <w:szCs w:val="14"/>
          <w:color w:val="auto"/>
        </w:rPr>
        <w:t>event of a purchase under these provisions would be the greater of (1) the current market price (as defined</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in our partnership agreement) of the limited partner interests of the class as of the date three days prior to</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the date that notice is mailed to the limited partners as provided in our partnership agreement and (2) the</w:t>
      </w:r>
    </w:p>
    <w:p>
      <w:pPr>
        <w:ind w:left="1280"/>
        <w:spacing w:after="0" w:line="236" w:lineRule="auto"/>
        <w:rPr>
          <w:sz w:val="20"/>
          <w:szCs w:val="20"/>
          <w:color w:val="auto"/>
        </w:rPr>
      </w:pPr>
      <w:r>
        <w:rPr>
          <w:rFonts w:ascii="Times New Roman" w:cs="Times New Roman" w:eastAsia="Times New Roman" w:hAnsi="Times New Roman"/>
          <w:sz w:val="14"/>
          <w:szCs w:val="14"/>
          <w:color w:val="auto"/>
        </w:rPr>
        <w:t>highest cash price paid by our general partner or any of its affiliates for any limited partner interest of the</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class purchased within the 90 days preceding the date our general partner mails notice of its election to</w:t>
      </w:r>
    </w:p>
    <w:p>
      <w:pPr>
        <w:spacing w:after="0" w:line="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purchase the units.</w:t>
      </w:r>
    </w:p>
    <w:p>
      <w:pPr>
        <w:spacing w:after="0" w:line="15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Indemnification</w:t>
      </w:r>
    </w:p>
    <w:p>
      <w:pPr>
        <w:spacing w:after="0" w:line="127" w:lineRule="exact"/>
        <w:rPr>
          <w:sz w:val="20"/>
          <w:szCs w:val="20"/>
          <w:color w:val="auto"/>
        </w:rPr>
      </w:pPr>
    </w:p>
    <w:p>
      <w:pPr>
        <w:ind w:left="1280" w:right="1339" w:firstLine="282"/>
        <w:spacing w:after="0" w:line="246" w:lineRule="auto"/>
        <w:rPr>
          <w:sz w:val="20"/>
          <w:szCs w:val="20"/>
          <w:color w:val="auto"/>
        </w:rPr>
      </w:pPr>
      <w:r>
        <w:rPr>
          <w:rFonts w:ascii="Times New Roman" w:cs="Times New Roman" w:eastAsia="Times New Roman" w:hAnsi="Times New Roman"/>
          <w:sz w:val="14"/>
          <w:szCs w:val="14"/>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253" w:lineRule="exact"/>
        <w:rPr>
          <w:sz w:val="20"/>
          <w:szCs w:val="20"/>
          <w:color w:val="auto"/>
        </w:rPr>
      </w:pPr>
    </w:p>
    <w:p>
      <w:pPr>
        <w:jc w:val="both"/>
        <w:ind w:left="1280" w:right="1459" w:firstLine="282"/>
        <w:spacing w:after="0" w:line="261" w:lineRule="auto"/>
        <w:rPr>
          <w:sz w:val="20"/>
          <w:szCs w:val="20"/>
          <w:color w:val="auto"/>
        </w:rPr>
      </w:pPr>
      <w:r>
        <w:rPr>
          <w:rFonts w:ascii="Times New Roman" w:cs="Times New Roman" w:eastAsia="Times New Roman" w:hAnsi="Times New Roman"/>
          <w:sz w:val="14"/>
          <w:szCs w:val="14"/>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2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116" w:lineRule="exact"/>
        <w:rPr>
          <w:sz w:val="20"/>
          <w:szCs w:val="20"/>
          <w:color w:val="auto"/>
        </w:rPr>
      </w:pPr>
    </w:p>
    <w:p>
      <w:pPr>
        <w:ind w:left="1280" w:right="1319" w:firstLine="282"/>
        <w:spacing w:after="0" w:line="253" w:lineRule="auto"/>
        <w:rPr>
          <w:sz w:val="20"/>
          <w:szCs w:val="20"/>
          <w:color w:val="auto"/>
        </w:rPr>
      </w:pPr>
      <w:r>
        <w:rPr>
          <w:rFonts w:ascii="Times New Roman" w:cs="Times New Roman" w:eastAsia="Times New Roman" w:hAnsi="Times New Roman"/>
          <w:sz w:val="14"/>
          <w:szCs w:val="14"/>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1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Limited Liability</w:t>
      </w:r>
    </w:p>
    <w:p>
      <w:pPr>
        <w:spacing w:after="0" w:line="127" w:lineRule="exact"/>
        <w:rPr>
          <w:sz w:val="20"/>
          <w:szCs w:val="20"/>
          <w:color w:val="auto"/>
        </w:rPr>
      </w:pPr>
    </w:p>
    <w:p>
      <w:pPr>
        <w:ind w:left="1280" w:right="1399" w:firstLine="282"/>
        <w:spacing w:after="0" w:line="247" w:lineRule="auto"/>
        <w:rPr>
          <w:sz w:val="20"/>
          <w:szCs w:val="20"/>
          <w:color w:val="auto"/>
        </w:rPr>
      </w:pPr>
      <w:r>
        <w:rPr>
          <w:rFonts w:ascii="Times New Roman" w:cs="Times New Roman" w:eastAsia="Times New Roman" w:hAnsi="Times New Roman"/>
          <w:sz w:val="14"/>
          <w:szCs w:val="14"/>
          <w:color w:val="auto"/>
        </w:rPr>
        <w:t>Assuming that a limited partner does not participate in the control of our business within the meaning of the Delaware Act and that such limited partner otherwise acts in conformity with the provisions of our partnership agreement, such limited partner’s liability under the Delaware Act will be limited, subject to some possible exceptions, generally to the amount of capital such limited partner is obligated to contribute to us in respect of such limited partner’s units plus such limited partner’s share of any undistributed profits and assets.</w:t>
      </w:r>
    </w:p>
    <w:p>
      <w:pPr>
        <w:spacing w:after="0" w:line="252" w:lineRule="exact"/>
        <w:rPr>
          <w:sz w:val="20"/>
          <w:szCs w:val="20"/>
          <w:color w:val="auto"/>
        </w:rPr>
      </w:pPr>
    </w:p>
    <w:p>
      <w:pPr>
        <w:ind w:left="1280" w:right="1359" w:firstLine="282"/>
        <w:spacing w:after="0" w:line="248" w:lineRule="auto"/>
        <w:rPr>
          <w:sz w:val="20"/>
          <w:szCs w:val="20"/>
          <w:color w:val="auto"/>
        </w:rPr>
      </w:pPr>
      <w:r>
        <w:rPr>
          <w:rFonts w:ascii="Times New Roman" w:cs="Times New Roman" w:eastAsia="Times New Roman" w:hAnsi="Times New Roman"/>
          <w:sz w:val="14"/>
          <w:szCs w:val="14"/>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0" w:name="page31"/>
    <w:bookmarkEnd w:id="30"/>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right="1439"/>
        <w:spacing w:after="0" w:line="263" w:lineRule="auto"/>
        <w:rPr>
          <w:sz w:val="20"/>
          <w:szCs w:val="20"/>
          <w:color w:val="auto"/>
        </w:rPr>
      </w:pPr>
      <w:r>
        <w:rPr>
          <w:rFonts w:ascii="Times New Roman" w:cs="Times New Roman" w:eastAsia="Times New Roman" w:hAnsi="Times New Roman"/>
          <w:sz w:val="14"/>
          <w:szCs w:val="14"/>
          <w:color w:val="auto"/>
        </w:rPr>
        <w:t>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89" w:lineRule="exact"/>
        <w:rPr>
          <w:sz w:val="20"/>
          <w:szCs w:val="20"/>
          <w:color w:val="auto"/>
        </w:rPr>
      </w:pPr>
    </w:p>
    <w:p>
      <w:pPr>
        <w:ind w:left="1280" w:right="1299" w:firstLine="282"/>
        <w:spacing w:after="0" w:line="259" w:lineRule="auto"/>
        <w:rPr>
          <w:sz w:val="20"/>
          <w:szCs w:val="20"/>
          <w:color w:val="auto"/>
        </w:rPr>
      </w:pPr>
      <w:r>
        <w:rPr>
          <w:rFonts w:ascii="Times New Roman" w:cs="Times New Roman" w:eastAsia="Times New Roman" w:hAnsi="Times New Roman"/>
          <w:sz w:val="14"/>
          <w:szCs w:val="14"/>
          <w:color w:val="auto"/>
        </w:rPr>
        <w:t>In addition, our partnership agreement limits any fiduciary duties our general partner might owe to our unitholders. As our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1" w:name="page32"/>
    <w:bookmarkEnd w:id="31"/>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MATERIAL U.S. FEDERAL INCOME TAX CONSEQUENCES</w:t>
      </w:r>
    </w:p>
    <w:p>
      <w:pPr>
        <w:spacing w:after="0" w:line="127" w:lineRule="exact"/>
        <w:rPr>
          <w:sz w:val="20"/>
          <w:szCs w:val="20"/>
          <w:color w:val="auto"/>
        </w:rPr>
      </w:pPr>
    </w:p>
    <w:p>
      <w:pPr>
        <w:ind w:left="1280" w:right="1319" w:firstLine="282"/>
        <w:spacing w:after="0" w:line="257" w:lineRule="auto"/>
        <w:rPr>
          <w:sz w:val="20"/>
          <w:szCs w:val="20"/>
          <w:color w:val="auto"/>
        </w:rPr>
      </w:pPr>
      <w:r>
        <w:rPr>
          <w:rFonts w:ascii="Times New Roman" w:cs="Times New Roman" w:eastAsia="Times New Roman" w:hAnsi="Times New Roman"/>
          <w:sz w:val="14"/>
          <w:szCs w:val="14"/>
          <w:color w:val="auto"/>
        </w:rPr>
        <w:t>This section summarizes the material U.S. federal income tax consequences that may be relevant to prospective unitholders and is based upon current provisions of the Internal Revenue Code of 1986, as amended (the “Code”), existing and proposed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possibly on a retroactive basis. Unless the context otherwise requires, references in this section to “we,” “us,” or “the Partnership” are references to Plains All American Pipeline, L.P. and its subsidiaries.</w:t>
      </w:r>
    </w:p>
    <w:p>
      <w:pPr>
        <w:spacing w:after="0" w:line="265" w:lineRule="exact"/>
        <w:rPr>
          <w:sz w:val="20"/>
          <w:szCs w:val="20"/>
          <w:color w:val="auto"/>
        </w:rPr>
      </w:pPr>
    </w:p>
    <w:p>
      <w:pPr>
        <w:ind w:left="1280" w:right="1299" w:firstLine="282"/>
        <w:spacing w:after="0" w:line="254" w:lineRule="auto"/>
        <w:rPr>
          <w:sz w:val="20"/>
          <w:szCs w:val="20"/>
          <w:color w:val="auto"/>
        </w:rPr>
      </w:pPr>
      <w:r>
        <w:rPr>
          <w:rFonts w:ascii="Times New Roman" w:cs="Times New Roman" w:eastAsia="Times New Roman" w:hAnsi="Times New Roman"/>
          <w:sz w:val="14"/>
          <w:szCs w:val="14"/>
          <w:color w:val="auto"/>
        </w:rPr>
        <w:t>Legal conclusions contained in this section, unless otherwise noted, are the opinion of Vinson &amp; Elkins L.L.P. insofar as they relate to matters of federal income tax law and are based on the accuracy of representations made by us to them for this purpose. However, this section does not address all federal income tax matters that may affect us or our unitholders, such as the application of the alternative minimum tax that may be applicable to certain unitholders. This section also does not address local taxes, state taxes, non-U.S. taxes, or other taxes that may be applicable, except to the limited extent that such tax considerations are addressed below under “— State, Local and Other Tax Considerations.” Furthermore, this section focuses on unitholders who are individual citizens or residents of the United States (for federal income tax purposes), who have the U.S. dollar as their functional currency, who use the calendar year as their taxable year, who purchase units in this offering, who do not materially participate in the conduct of our business activities and who hold such units as capital assets (typically, property that is held for investment). This section has limited applicability to corporations (including other entities treated as corporations for federal income tax purposes), partnerships (including other entities treated as partnerships for federal income tax purposes), estates, trusts, non-resident aliens or other unitholders subject to specialized tax treatment, such as tax-exempt entities, non-U.S. persons, individual retirement accounts (“IRAs”), employee benefit plans, real estate investment trusts or mutual funds.</w:t>
      </w:r>
    </w:p>
    <w:p>
      <w:pPr>
        <w:spacing w:after="0" w:line="259" w:lineRule="exact"/>
        <w:rPr>
          <w:sz w:val="20"/>
          <w:szCs w:val="20"/>
          <w:color w:val="auto"/>
        </w:rPr>
      </w:pPr>
    </w:p>
    <w:p>
      <w:pPr>
        <w:ind w:left="1280" w:right="1719" w:firstLine="282"/>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Accordingly, we encourage each prospective unitholder to consult the unitholder’s own tax advisor in analyzing the federal, state, local and non-U.S. tax consequences particular to that unitholder resulting from ownership or disposition of our units and potential changes in applicable tax laws.</w:t>
      </w:r>
    </w:p>
    <w:p>
      <w:pPr>
        <w:spacing w:after="0" w:line="81" w:lineRule="exact"/>
        <w:rPr>
          <w:sz w:val="20"/>
          <w:szCs w:val="20"/>
          <w:color w:val="auto"/>
        </w:rPr>
      </w:pPr>
    </w:p>
    <w:p>
      <w:pPr>
        <w:ind w:left="1280" w:right="1319" w:firstLine="282"/>
        <w:spacing w:after="0" w:line="256" w:lineRule="auto"/>
        <w:rPr>
          <w:sz w:val="20"/>
          <w:szCs w:val="20"/>
          <w:color w:val="auto"/>
        </w:rPr>
      </w:pPr>
      <w:r>
        <w:rPr>
          <w:rFonts w:ascii="Times New Roman" w:cs="Times New Roman" w:eastAsia="Times New Roman" w:hAnsi="Times New Roman"/>
          <w:sz w:val="14"/>
          <w:szCs w:val="14"/>
          <w:color w:val="auto"/>
        </w:rPr>
        <w:t>No ruling has been or will be requested from the Internal Revenue Service (the “IRS”) with respect to the Partnership’s classification as a partnership for federal income tax purposes or as to the classification of our partnership and limited liability company operating subsidiaries. We will rely on the opinions and advice of Vinson &amp; Elkins L.L.P. with respect to the matters described herein. An opinion of counsel represents only that counsel’s best legal judgment and does not bind the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91" w:lineRule="exact"/>
        <w:rPr>
          <w:sz w:val="20"/>
          <w:szCs w:val="20"/>
          <w:color w:val="auto"/>
        </w:rPr>
      </w:pPr>
    </w:p>
    <w:p>
      <w:pPr>
        <w:ind w:left="1280" w:right="1499" w:firstLine="282"/>
        <w:spacing w:after="0" w:line="286" w:lineRule="auto"/>
        <w:rPr>
          <w:sz w:val="20"/>
          <w:szCs w:val="20"/>
          <w:color w:val="auto"/>
        </w:rPr>
      </w:pPr>
      <w:r>
        <w:rPr>
          <w:rFonts w:ascii="Times New Roman" w:cs="Times New Roman" w:eastAsia="Times New Roman" w:hAnsi="Times New Roman"/>
          <w:sz w:val="14"/>
          <w:szCs w:val="14"/>
          <w:color w:val="auto"/>
        </w:rPr>
        <w:t>For the reasons described below, Vinson &amp; Elkins L.L.P. has not rendered an opinion with respect to the following federal income tax issues:</w:t>
      </w:r>
    </w:p>
    <w:p>
      <w:pPr>
        <w:spacing w:after="0" w:line="40" w:lineRule="exact"/>
        <w:rPr>
          <w:sz w:val="20"/>
          <w:szCs w:val="20"/>
          <w:color w:val="auto"/>
        </w:rPr>
      </w:pPr>
    </w:p>
    <w:p>
      <w:pPr>
        <w:ind w:left="1700" w:right="1499" w:hanging="133"/>
        <w:spacing w:after="0" w:line="269" w:lineRule="auto"/>
        <w:tabs>
          <w:tab w:leader="none" w:pos="17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treatment of a unitholder whose units are the subject of a securities loan (e.g., a loan to a short seller to cover a short sale of units) (please read “— Tax Consequences of Unit Ownership — Treatment of Securities Loans”);</w:t>
      </w:r>
    </w:p>
    <w:p>
      <w:pPr>
        <w:spacing w:after="0" w:line="51" w:lineRule="exact"/>
        <w:rPr>
          <w:rFonts w:ascii="Times New Roman" w:cs="Times New Roman" w:eastAsia="Times New Roman" w:hAnsi="Times New Roman"/>
          <w:sz w:val="14"/>
          <w:szCs w:val="14"/>
          <w:color w:val="auto"/>
        </w:rPr>
      </w:pPr>
    </w:p>
    <w:p>
      <w:pPr>
        <w:ind w:left="1700" w:right="1419" w:hanging="133"/>
        <w:spacing w:after="0" w:line="269" w:lineRule="auto"/>
        <w:tabs>
          <w:tab w:leader="none" w:pos="17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our monthly convention for allocating taxable income and losses is permitted by existing Treasury Regulations (please read “— Disposition of Units — Allocations Between Transferors and Transferees”);</w:t>
      </w:r>
    </w:p>
    <w:p>
      <w:pPr>
        <w:spacing w:after="0" w:line="51" w:lineRule="exact"/>
        <w:rPr>
          <w:rFonts w:ascii="Times New Roman" w:cs="Times New Roman" w:eastAsia="Times New Roman" w:hAnsi="Times New Roman"/>
          <w:sz w:val="14"/>
          <w:szCs w:val="14"/>
          <w:color w:val="auto"/>
        </w:rPr>
      </w:pPr>
    </w:p>
    <w:p>
      <w:pPr>
        <w:ind w:left="1700" w:right="1359" w:hanging="133"/>
        <w:spacing w:after="0" w:line="269" w:lineRule="auto"/>
        <w:tabs>
          <w:tab w:leader="none" w:pos="17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our method for taking into account Section 743 adjustments is sustainable in certain cases (please read “— Tax Consequences of Unit Ownership — Section 754 Election” and “— Disposition of Units — Uniformity of Units”);</w:t>
      </w: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2" w:name="page33"/>
    <w:bookmarkEnd w:id="32"/>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700" w:right="1339" w:hanging="133"/>
        <w:spacing w:after="0" w:line="269" w:lineRule="auto"/>
        <w:tabs>
          <w:tab w:leader="none" w:pos="17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our use of simplifying conventions for making adjustments to “book” basis and relevant allocations is permitted by existing Treasury Regulations (please read “— Tax Consequences of Unit Ownership — Allocation of Income, Gain, Loss and Deduction” and “— Uniformity of Units”); and</w:t>
      </w:r>
    </w:p>
    <w:p>
      <w:pPr>
        <w:spacing w:after="0" w:line="51" w:lineRule="exact"/>
        <w:rPr>
          <w:rFonts w:ascii="Times New Roman" w:cs="Times New Roman" w:eastAsia="Times New Roman" w:hAnsi="Times New Roman"/>
          <w:sz w:val="14"/>
          <w:szCs w:val="14"/>
          <w:color w:val="auto"/>
        </w:rPr>
      </w:pPr>
    </w:p>
    <w:p>
      <w:pPr>
        <w:jc w:val="both"/>
        <w:ind w:left="1700" w:right="1439" w:hanging="133"/>
        <w:spacing w:after="0" w:line="269" w:lineRule="auto"/>
        <w:tabs>
          <w:tab w:leader="none" w:pos="17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our allocations of income, gain, loss and deduction will be given effect for federal income tax purposes (please read “— Tax Consequences of Unit Ownership — Allocation of Income, Gain, Loss and Deduction”).</w:t>
      </w:r>
    </w:p>
    <w:p>
      <w:pPr>
        <w:spacing w:after="0" w:line="1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Taxation of the Partnership</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Partnership Status</w:t>
      </w:r>
    </w:p>
    <w:p>
      <w:pPr>
        <w:spacing w:after="0" w:line="127" w:lineRule="exact"/>
        <w:rPr>
          <w:sz w:val="20"/>
          <w:szCs w:val="20"/>
          <w:color w:val="auto"/>
        </w:rPr>
      </w:pPr>
    </w:p>
    <w:p>
      <w:pPr>
        <w:ind w:left="1280" w:right="1459" w:firstLine="282"/>
        <w:spacing w:after="0" w:line="245" w:lineRule="auto"/>
        <w:rPr>
          <w:sz w:val="20"/>
          <w:szCs w:val="20"/>
          <w:color w:val="auto"/>
        </w:rPr>
      </w:pPr>
      <w:r>
        <w:rPr>
          <w:rFonts w:ascii="Times New Roman" w:cs="Times New Roman" w:eastAsia="Times New Roman" w:hAnsi="Times New Roman"/>
          <w:sz w:val="14"/>
          <w:szCs w:val="14"/>
          <w:color w:val="auto"/>
        </w:rPr>
        <w:t>We expect to be treated as a partnership for federal income tax purposes and, therefore, subject to the discussion below under “— Administrative Matters — Information Returns and Audit Procedures”, generally will not be liable for entity-level federal income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will not give rise to income or gain taxable to such unitholder, unless the amount of cash distributed exceeds the unitholder’s adjusted tax basis in its units. Please read “— Tax Consequences of Unit Ownership — Treatment of Distributions” and “— Disposition of Units”.</w:t>
      </w:r>
    </w:p>
    <w:p>
      <w:pPr>
        <w:spacing w:after="0" w:line="253" w:lineRule="exact"/>
        <w:rPr>
          <w:sz w:val="20"/>
          <w:szCs w:val="20"/>
          <w:color w:val="auto"/>
        </w:rPr>
      </w:pPr>
    </w:p>
    <w:p>
      <w:pPr>
        <w:ind w:left="1280" w:right="1299" w:firstLine="282"/>
        <w:spacing w:after="0" w:line="245" w:lineRule="auto"/>
        <w:rPr>
          <w:sz w:val="20"/>
          <w:szCs w:val="20"/>
          <w:color w:val="auto"/>
        </w:rPr>
      </w:pPr>
      <w:r>
        <w:rPr>
          <w:rFonts w:ascii="Times New Roman" w:cs="Times New Roman" w:eastAsia="Times New Roman" w:hAnsi="Times New Roman"/>
          <w:sz w:val="14"/>
          <w:szCs w:val="14"/>
          <w:color w:val="auto"/>
        </w:rPr>
        <w:t>Section 7704 of the Code generally provides that a publicly traded partnership will be treated as a corporation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interest, (ii) dividends, (iii) real property rents within the meaning of Section 856(d) of the Code, as modified by Section 7704(d)(3) of the Code, (iv) gains from the sale or other disposition of real property, (v) income and gains derived from the exploration, development, mining or production, processing, refining, transportation (including pipelines transporting gas, oil, or products thereof) or the marketing of any “mineral or natural resource”, and (vi) gains from the sale or other disposition of capital assets (or property described in Section 1231(b) of the Code) held for the production of income that otherwise constitutes qualifying income. We estimate that less than 5 percent of our current gross income is not qualifying income; however, this estimate could change from time to time.</w:t>
      </w:r>
    </w:p>
    <w:p>
      <w:pPr>
        <w:spacing w:after="0" w:line="257" w:lineRule="exact"/>
        <w:rPr>
          <w:sz w:val="20"/>
          <w:szCs w:val="20"/>
          <w:color w:val="auto"/>
        </w:rPr>
      </w:pPr>
    </w:p>
    <w:p>
      <w:pPr>
        <w:ind w:left="1280" w:right="1299" w:firstLine="282"/>
        <w:spacing w:after="0" w:line="249" w:lineRule="auto"/>
        <w:rPr>
          <w:sz w:val="20"/>
          <w:szCs w:val="20"/>
          <w:color w:val="auto"/>
        </w:rPr>
      </w:pPr>
      <w:r>
        <w:rPr>
          <w:rFonts w:ascii="Times New Roman" w:cs="Times New Roman" w:eastAsia="Times New Roman" w:hAnsi="Times New Roman"/>
          <w:sz w:val="14"/>
          <w:szCs w:val="14"/>
          <w:color w:val="auto"/>
        </w:rPr>
        <w:t>Vinson &amp; Elkins L.L.P. is of the opinion that we will be treated as a partnership for federal income tax purposes and each of our operating subsidiaries, other than those that have been identified as corporations to Vinson &amp; Elkins L.L.P., will be treated as a partnership or will be disregarded as an entity separate from us. In rendering its opinion, Vinson &amp; Elkins L.L.P. has relied on the factual representations made by us and our general partner, including, without limitation:</w:t>
      </w:r>
    </w:p>
    <w:p>
      <w:pPr>
        <w:spacing w:after="0" w:line="86" w:lineRule="exact"/>
        <w:rPr>
          <w:sz w:val="20"/>
          <w:szCs w:val="20"/>
          <w:color w:val="auto"/>
        </w:rPr>
      </w:pPr>
    </w:p>
    <w:p>
      <w:pPr>
        <w:ind w:left="1560" w:right="1339" w:firstLine="289"/>
        <w:spacing w:after="0" w:line="261" w:lineRule="auto"/>
        <w:tabs>
          <w:tab w:leader="none" w:pos="212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we nor any of our partnership or limited liability company operating subsidiaries, other than those that have been identified as corporations to Vinson &amp; Elkins L.L.P., has elected or will elect to be treated as a corporation for federal income tax purposes;</w:t>
      </w:r>
    </w:p>
    <w:p>
      <w:pPr>
        <w:spacing w:after="0" w:line="78" w:lineRule="exact"/>
        <w:rPr>
          <w:rFonts w:ascii="Times New Roman" w:cs="Times New Roman" w:eastAsia="Times New Roman" w:hAnsi="Times New Roman"/>
          <w:sz w:val="14"/>
          <w:szCs w:val="14"/>
          <w:color w:val="auto"/>
        </w:rPr>
      </w:pPr>
    </w:p>
    <w:p>
      <w:pPr>
        <w:jc w:val="both"/>
        <w:ind w:left="1560" w:right="1499" w:firstLine="289"/>
        <w:spacing w:after="0" w:line="253" w:lineRule="auto"/>
        <w:tabs>
          <w:tab w:leader="none" w:pos="213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83" w:lineRule="exact"/>
        <w:rPr>
          <w:rFonts w:ascii="Times New Roman" w:cs="Times New Roman" w:eastAsia="Times New Roman" w:hAnsi="Times New Roman"/>
          <w:sz w:val="14"/>
          <w:szCs w:val="14"/>
          <w:color w:val="auto"/>
        </w:rPr>
      </w:pPr>
    </w:p>
    <w:p>
      <w:pPr>
        <w:jc w:val="both"/>
        <w:ind w:left="1560" w:right="1339" w:firstLine="289"/>
        <w:spacing w:after="0" w:line="253" w:lineRule="auto"/>
        <w:tabs>
          <w:tab w:leader="none" w:pos="212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hedging transaction that we treat as resulting in qualifying income has been and will be appropriately identified as a hedging transaction pursuant to applicable Treasury Regulations, and has been and will be associated with oil, natural gas, or products thereof that are held or to be held by us in activities that Vinson &amp; Elkins L.L.P. has opined or will opine result in qualifying income.</w:t>
      </w:r>
    </w:p>
    <w:p>
      <w:pPr>
        <w:spacing w:after="0" w:line="8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We believe that these representations are true and will be true in the future.</w:t>
      </w:r>
    </w:p>
    <w:p>
      <w:pPr>
        <w:spacing w:after="0" w:line="125" w:lineRule="exact"/>
        <w:rPr>
          <w:sz w:val="20"/>
          <w:szCs w:val="20"/>
          <w:color w:val="auto"/>
        </w:rPr>
      </w:pPr>
    </w:p>
    <w:p>
      <w:pPr>
        <w:ind w:left="1280" w:right="1359" w:firstLine="282"/>
        <w:spacing w:after="0" w:line="270" w:lineRule="auto"/>
        <w:rPr>
          <w:sz w:val="20"/>
          <w:szCs w:val="20"/>
          <w:color w:val="auto"/>
        </w:rPr>
      </w:pPr>
      <w:r>
        <w:rPr>
          <w:rFonts w:ascii="Times New Roman" w:cs="Times New Roman" w:eastAsia="Times New Roman" w:hAnsi="Times New Roman"/>
          <w:sz w:val="14"/>
          <w:szCs w:val="14"/>
          <w:color w:val="auto"/>
        </w:rPr>
        <w:t>If we fail to meet the Qualifying Income Exception, other than a failure that is determined by the IRS to be inadvertent and that is cured within a reasonable time after discovery (in which case the IRS may also</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3" w:name="page34"/>
    <w:bookmarkEnd w:id="33"/>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right="1339"/>
        <w:spacing w:after="0" w:line="246" w:lineRule="auto"/>
        <w:rPr>
          <w:sz w:val="20"/>
          <w:szCs w:val="20"/>
          <w:color w:val="auto"/>
        </w:rPr>
      </w:pPr>
      <w:r>
        <w:rPr>
          <w:rFonts w:ascii="Times New Roman" w:cs="Times New Roman" w:eastAsia="Times New Roman" w:hAnsi="Times New Roman"/>
          <w:sz w:val="14"/>
          <w:szCs w:val="14"/>
          <w:color w:val="auto"/>
        </w:rPr>
        <w:t>require us to make adjustments with respect to our unitholders or pay other amounts), we will be treated as transferring all of our assets, subject to all of our liabilities, to a newly formed corporation, on the first day of the year in which we fail to meet the Qualifying Income Exception in return for stock in that corporation and then as distributing that stock to our unitholders in liquidation of their interests in us. This deemed contribution and liquidation should not result in the recognition of taxable income (i) to us (which would be allocated to our unitholders) so long as the aggregate amount of our liabilities does not exceed the adjusted tax basis of our assets or (ii) by our unitholders so long as their respective shares of our liabilities do not exceed their adjusted tax basis in their units. Thereafter, we would be treated as an association taxable as a corporation for federal income tax purposes.</w:t>
      </w:r>
    </w:p>
    <w:p>
      <w:pPr>
        <w:spacing w:after="0" w:line="93" w:lineRule="exact"/>
        <w:rPr>
          <w:sz w:val="20"/>
          <w:szCs w:val="20"/>
          <w:color w:val="auto"/>
        </w:rPr>
      </w:pPr>
    </w:p>
    <w:p>
      <w:pPr>
        <w:ind w:left="1280" w:right="1299" w:firstLine="282"/>
        <w:spacing w:after="0" w:line="247" w:lineRule="auto"/>
        <w:rPr>
          <w:sz w:val="20"/>
          <w:szCs w:val="20"/>
          <w:color w:val="auto"/>
        </w:rPr>
      </w:pPr>
      <w:r>
        <w:rPr>
          <w:rFonts w:ascii="Times New Roman" w:cs="Times New Roman" w:eastAsia="Times New Roman" w:hAnsi="Times New Roman"/>
          <w:sz w:val="14"/>
          <w:szCs w:val="14"/>
          <w:color w:val="auto"/>
        </w:rPr>
        <w:t>The present federal income tax treatment of publicly traded partnerships, including us, or an investment in our units may be modified by administrative or legislative action or judicial interpretation at any time. From time to time, members of the U.S. Congress and certain presidential administrations have proposed and considered substantive changes to the existing federal income tax laws that would affect publicly traded partnerships. Recent proposals have provided for the expansion of the Qualifying Income Exception in certain circumstances and other proposals have provided for the total elimination of the Qualifying Income Exception upon which we rely for our treatment as a partnership for federal income tax purposes.</w:t>
      </w:r>
    </w:p>
    <w:p>
      <w:pPr>
        <w:spacing w:after="0" w:line="90" w:lineRule="exact"/>
        <w:rPr>
          <w:sz w:val="20"/>
          <w:szCs w:val="20"/>
          <w:color w:val="auto"/>
        </w:rPr>
      </w:pPr>
    </w:p>
    <w:p>
      <w:pPr>
        <w:ind w:left="1280" w:right="1399" w:firstLine="282"/>
        <w:spacing w:after="0" w:line="249" w:lineRule="auto"/>
        <w:rPr>
          <w:sz w:val="20"/>
          <w:szCs w:val="20"/>
          <w:color w:val="auto"/>
        </w:rPr>
      </w:pPr>
      <w:r>
        <w:rPr>
          <w:rFonts w:ascii="Times New Roman" w:cs="Times New Roman" w:eastAsia="Times New Roman" w:hAnsi="Times New Roman"/>
          <w:sz w:val="14"/>
          <w:szCs w:val="14"/>
          <w:color w:val="auto"/>
        </w:rPr>
        <w:t>It is possible that a change in law could affect us and may be applied retroactively. Any such changes could negatively impact the value of an investment in our units. If for any reason we are taxable as a corporation in any taxable year, our items of income, gain, loss and deduction would be taken into account by us in determining the amount of our liability for federal income tax, rather than being passed through to our unitholders.</w:t>
      </w:r>
    </w:p>
    <w:p>
      <w:pPr>
        <w:spacing w:after="0" w:line="253" w:lineRule="exact"/>
        <w:rPr>
          <w:sz w:val="20"/>
          <w:szCs w:val="20"/>
          <w:color w:val="auto"/>
        </w:rPr>
      </w:pPr>
    </w:p>
    <w:p>
      <w:pPr>
        <w:ind w:left="1280" w:right="1439" w:firstLine="282"/>
        <w:spacing w:after="0" w:line="253" w:lineRule="auto"/>
        <w:rPr>
          <w:sz w:val="20"/>
          <w:szCs w:val="20"/>
          <w:color w:val="auto"/>
        </w:rPr>
      </w:pPr>
      <w:r>
        <w:rPr>
          <w:rFonts w:ascii="Times New Roman" w:cs="Times New Roman" w:eastAsia="Times New Roman" w:hAnsi="Times New Roman"/>
          <w:sz w:val="14"/>
          <w:szCs w:val="14"/>
          <w:color w:val="auto"/>
        </w:rPr>
        <w:t>At the state level, several states have been evaluating ways to subject partnerships to entity-level taxation through the imposition of state income, franchise, or other forms of taxation. Imposition of a similar tax on us in the jurisdictions in which we operate or in other jurisdictions to which we may expand could substantially reduce our cash available for distribution to our unitholders.</w:t>
      </w:r>
    </w:p>
    <w:p>
      <w:pPr>
        <w:spacing w:after="0" w:line="84" w:lineRule="exact"/>
        <w:rPr>
          <w:sz w:val="20"/>
          <w:szCs w:val="20"/>
          <w:color w:val="auto"/>
        </w:rPr>
      </w:pPr>
    </w:p>
    <w:p>
      <w:pPr>
        <w:ind w:left="1280" w:right="1339" w:firstLine="282"/>
        <w:spacing w:after="0" w:line="257" w:lineRule="auto"/>
        <w:rPr>
          <w:sz w:val="20"/>
          <w:szCs w:val="20"/>
          <w:color w:val="auto"/>
        </w:rPr>
      </w:pPr>
      <w:r>
        <w:rPr>
          <w:rFonts w:ascii="Times New Roman" w:cs="Times New Roman" w:eastAsia="Times New Roman" w:hAnsi="Times New Roman"/>
          <w:sz w:val="14"/>
          <w:szCs w:val="14"/>
          <w:color w:val="auto"/>
        </w:rPr>
        <w:t>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when we are treated as a corporation would be (i) a taxable dividend to the extent of our current or accumulated earnings and profits, then (ii) a nontaxable return of capital to the extent of the unitholder’s adjusted tax basis in its units (determined separately for each unit), and thereafter (iii) taxable capital gain.</w:t>
      </w:r>
    </w:p>
    <w:p>
      <w:pPr>
        <w:spacing w:after="0" w:line="93" w:lineRule="exact"/>
        <w:rPr>
          <w:sz w:val="20"/>
          <w:szCs w:val="20"/>
          <w:color w:val="auto"/>
        </w:rPr>
      </w:pPr>
    </w:p>
    <w:p>
      <w:pPr>
        <w:ind w:left="1280" w:right="1619" w:firstLine="282"/>
        <w:spacing w:after="0" w:line="286" w:lineRule="auto"/>
        <w:rPr>
          <w:sz w:val="20"/>
          <w:szCs w:val="20"/>
          <w:color w:val="auto"/>
        </w:rPr>
      </w:pPr>
      <w:r>
        <w:rPr>
          <w:rFonts w:ascii="Times New Roman" w:cs="Times New Roman" w:eastAsia="Times New Roman" w:hAnsi="Times New Roman"/>
          <w:sz w:val="14"/>
          <w:szCs w:val="14"/>
          <w:color w:val="auto"/>
        </w:rPr>
        <w:t>The remainder of this discussion is based on the opinion of Vinson &amp; Elkins L.L.P. that we will be treated as a partnership for federal income tax purposes.</w:t>
      </w:r>
    </w:p>
    <w:p>
      <w:pPr>
        <w:spacing w:after="0" w:line="1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Tax Consequences of Unit Ownership</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Limited Partner Status</w:t>
      </w:r>
    </w:p>
    <w:p>
      <w:pPr>
        <w:spacing w:after="0" w:line="116" w:lineRule="exact"/>
        <w:rPr>
          <w:sz w:val="20"/>
          <w:szCs w:val="20"/>
          <w:color w:val="auto"/>
        </w:rPr>
      </w:pPr>
    </w:p>
    <w:p>
      <w:pPr>
        <w:ind w:left="1280" w:right="1319" w:firstLine="282"/>
        <w:spacing w:after="0" w:line="262" w:lineRule="auto"/>
        <w:rPr>
          <w:sz w:val="20"/>
          <w:szCs w:val="20"/>
          <w:color w:val="auto"/>
        </w:rPr>
      </w:pPr>
      <w:r>
        <w:rPr>
          <w:rFonts w:ascii="Times New Roman" w:cs="Times New Roman" w:eastAsia="Times New Roman" w:hAnsi="Times New Roman"/>
          <w:sz w:val="14"/>
          <w:szCs w:val="14"/>
          <w:color w:val="auto"/>
        </w:rPr>
        <w:t>Unitholders of the Partnership who are admitted as limited partners of the Partnership will be treated as partners of the Partnership for federal income tax purposes and unitholders whose units are held in street name or by a nominee and who have the right to direct the nominee in the exercise of all substantive rights attendant to the ownership of their units will be treated as partners of the Partnership for federal income tax purposes.</w:t>
      </w:r>
    </w:p>
    <w:p>
      <w:pPr>
        <w:spacing w:after="0" w:line="261" w:lineRule="exact"/>
        <w:rPr>
          <w:sz w:val="20"/>
          <w:szCs w:val="20"/>
          <w:color w:val="auto"/>
        </w:rPr>
      </w:pPr>
    </w:p>
    <w:p>
      <w:pPr>
        <w:ind w:left="1280" w:right="1439" w:firstLine="282"/>
        <w:spacing w:after="0" w:line="258" w:lineRule="auto"/>
        <w:rPr>
          <w:sz w:val="20"/>
          <w:szCs w:val="20"/>
          <w:color w:val="auto"/>
        </w:rPr>
      </w:pPr>
      <w:r>
        <w:rPr>
          <w:rFonts w:ascii="Times New Roman" w:cs="Times New Roman" w:eastAsia="Times New Roman" w:hAnsi="Times New Roman"/>
          <w:sz w:val="14"/>
          <w:szCs w:val="14"/>
          <w:color w:val="auto"/>
        </w:rPr>
        <w:t>As there is no direct or indirect controlling authority addressing assignees of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units who does not execute and deliver a transfer application may not receive some federal income tax information or reports furnished to record holders of units unless the units are held in a nominee or street name account and the nominee or broker has executed and delivered a transfer application for those units.</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203835</wp:posOffset>
            </wp:positionV>
            <wp:extent cx="53581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4" w:name="page35"/>
    <w:bookmarkEnd w:id="34"/>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right="1479" w:firstLine="282"/>
        <w:spacing w:after="0" w:line="286" w:lineRule="auto"/>
        <w:rPr>
          <w:sz w:val="20"/>
          <w:szCs w:val="20"/>
          <w:color w:val="auto"/>
        </w:rPr>
      </w:pPr>
      <w:r>
        <w:rPr>
          <w:rFonts w:ascii="Times New Roman" w:cs="Times New Roman" w:eastAsia="Times New Roman" w:hAnsi="Times New Roman"/>
          <w:sz w:val="14"/>
          <w:szCs w:val="14"/>
          <w:color w:val="auto"/>
        </w:rPr>
        <w:t>For a discussion related to the risks of losing partner status as a result of securities loans, please read “— Tax Consequences of Unit Ownership — Treatment of Securities Loans.”</w:t>
      </w:r>
    </w:p>
    <w:p>
      <w:pPr>
        <w:spacing w:after="0" w:line="61" w:lineRule="exact"/>
        <w:rPr>
          <w:sz w:val="20"/>
          <w:szCs w:val="20"/>
          <w:color w:val="auto"/>
        </w:rPr>
      </w:pPr>
    </w:p>
    <w:p>
      <w:pPr>
        <w:ind w:left="1280" w:right="1599" w:firstLine="282"/>
        <w:spacing w:after="0" w:line="253" w:lineRule="auto"/>
        <w:rPr>
          <w:sz w:val="20"/>
          <w:szCs w:val="20"/>
          <w:color w:val="auto"/>
        </w:rPr>
      </w:pPr>
      <w:r>
        <w:rPr>
          <w:rFonts w:ascii="Times New Roman" w:cs="Times New Roman" w:eastAsia="Times New Roman" w:hAnsi="Times New Roman"/>
          <w:sz w:val="14"/>
          <w:szCs w:val="14"/>
          <w:color w:val="auto"/>
        </w:rPr>
        <w:t>A unitholder who is not treated as a partner in us as described above is urged to consult its own tax advisors with respect to the tax consequences applicable to such unitholder under its particular circumstances.</w:t>
      </w:r>
    </w:p>
    <w:p>
      <w:pPr>
        <w:spacing w:after="0" w:line="1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Flow-Through of Taxable Income</w:t>
      </w:r>
    </w:p>
    <w:p>
      <w:pPr>
        <w:spacing w:after="0" w:line="116" w:lineRule="exact"/>
        <w:rPr>
          <w:sz w:val="20"/>
          <w:szCs w:val="20"/>
          <w:color w:val="auto"/>
        </w:rPr>
      </w:pPr>
    </w:p>
    <w:p>
      <w:pPr>
        <w:ind w:left="1280" w:right="1339" w:firstLine="282"/>
        <w:spacing w:after="0" w:line="247" w:lineRule="auto"/>
        <w:rPr>
          <w:sz w:val="20"/>
          <w:szCs w:val="20"/>
          <w:color w:val="auto"/>
        </w:rPr>
      </w:pPr>
      <w:r>
        <w:rPr>
          <w:rFonts w:ascii="Times New Roman" w:cs="Times New Roman" w:eastAsia="Times New Roman" w:hAnsi="Times New Roman"/>
          <w:sz w:val="14"/>
          <w:szCs w:val="14"/>
          <w:color w:val="auto"/>
        </w:rPr>
        <w:t>Subject to the discussion below under “— Entity-Level Collections of Unitholder Taxes” and “— Administrative Matters — Information Returns and Audit Procedures,” with respect to payments we may be required to make on behalf of our unitholders, and aside from any taxes paid by a corporate subsidiary, we will not pay any federal income tax. Rather,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w:t>
      </w:r>
    </w:p>
    <w:p>
      <w:pPr>
        <w:spacing w:after="0" w:line="15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Basis of Units</w:t>
      </w:r>
    </w:p>
    <w:p>
      <w:pPr>
        <w:spacing w:after="0" w:line="116" w:lineRule="exact"/>
        <w:rPr>
          <w:sz w:val="20"/>
          <w:szCs w:val="20"/>
          <w:color w:val="auto"/>
        </w:rPr>
      </w:pPr>
    </w:p>
    <w:p>
      <w:pPr>
        <w:ind w:left="1280" w:right="1499" w:firstLine="282"/>
        <w:spacing w:after="0" w:line="256" w:lineRule="auto"/>
        <w:rPr>
          <w:sz w:val="20"/>
          <w:szCs w:val="20"/>
          <w:color w:val="auto"/>
        </w:rPr>
      </w:pPr>
      <w:r>
        <w:rPr>
          <w:rFonts w:ascii="Times New Roman" w:cs="Times New Roman" w:eastAsia="Times New Roman" w:hAnsi="Times New Roman"/>
          <w:sz w:val="14"/>
          <w:szCs w:val="14"/>
          <w:color w:val="auto"/>
        </w:rPr>
        <w:t>A unitholder’s tax basis in its units initially will be the amount paid or treated as paid for those units increased by the unitholder’s initial allocable share of our liabilities. That basis generally will be</w:t>
      </w:r>
    </w:p>
    <w:p>
      <w:pPr>
        <w:spacing w:after="0" w:line="1" w:lineRule="exact"/>
        <w:rPr>
          <w:sz w:val="20"/>
          <w:szCs w:val="20"/>
          <w:color w:val="auto"/>
        </w:rPr>
      </w:pPr>
    </w:p>
    <w:p>
      <w:pPr>
        <w:ind w:left="1280" w:right="1299" w:firstLine="5"/>
        <w:spacing w:after="0" w:line="245" w:lineRule="auto"/>
        <w:tabs>
          <w:tab w:leader="none" w:pos="14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by the unitholder’s share of our income and any increases in such unitholder’s share of our liabilities, and (ii) decreased, but not below zero, by the amount of all distributions to the unitholder, the unitholder’s share of our losses, any decreases in its share of our liabilities, and the amount of any excess business interest allocated to the unitholder. The IRS has ruled that a partner who acquires interests in a partnership in separate transactions must combine those interests and maintain a single adjusted tax basis for all of those interests.</w:t>
      </w:r>
    </w:p>
    <w:p>
      <w:pPr>
        <w:spacing w:after="0" w:line="30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Treatment of Distributions</w:t>
      </w:r>
    </w:p>
    <w:p>
      <w:pPr>
        <w:spacing w:after="0" w:line="127" w:lineRule="exact"/>
        <w:rPr>
          <w:sz w:val="20"/>
          <w:szCs w:val="20"/>
          <w:color w:val="auto"/>
        </w:rPr>
      </w:pPr>
    </w:p>
    <w:p>
      <w:pPr>
        <w:ind w:left="1280" w:right="1359" w:firstLine="282"/>
        <w:spacing w:after="0" w:line="248" w:lineRule="auto"/>
        <w:rPr>
          <w:sz w:val="20"/>
          <w:szCs w:val="20"/>
          <w:color w:val="auto"/>
        </w:rPr>
      </w:pPr>
      <w:r>
        <w:rPr>
          <w:rFonts w:ascii="Times New Roman" w:cs="Times New Roman" w:eastAsia="Times New Roman" w:hAnsi="Times New Roman"/>
          <w:sz w:val="14"/>
          <w:szCs w:val="14"/>
          <w:color w:val="auto"/>
        </w:rPr>
        <w:t>Distributions made by us to a unitholder generally will not be taxable to the unitholder, unless such distributions are of cash or marketable securities that are treated as cash and exceed the unitholder’s tax basis in its units, in which case the unitholder generally will recognize gain taxable in the manner described below under “— Disposition of Units.”</w:t>
      </w:r>
    </w:p>
    <w:p>
      <w:pPr>
        <w:spacing w:after="0" w:line="86" w:lineRule="exact"/>
        <w:rPr>
          <w:sz w:val="20"/>
          <w:szCs w:val="20"/>
          <w:color w:val="auto"/>
        </w:rPr>
      </w:pPr>
    </w:p>
    <w:p>
      <w:pPr>
        <w:ind w:left="1280" w:right="1379" w:firstLine="282"/>
        <w:spacing w:after="0" w:line="247" w:lineRule="auto"/>
        <w:rPr>
          <w:sz w:val="20"/>
          <w:szCs w:val="20"/>
          <w:color w:val="auto"/>
        </w:rPr>
      </w:pPr>
      <w:r>
        <w:rPr>
          <w:rFonts w:ascii="Times New Roman" w:cs="Times New Roman" w:eastAsia="Times New Roman" w:hAnsi="Times New Roman"/>
          <w:sz w:val="14"/>
          <w:szCs w:val="14"/>
          <w:color w:val="auto"/>
        </w:rPr>
        <w:t>Any reduction in a unitholder’s share of our “nonrecourse liabilities” (liabilities​ for which no partner bears the economic risk of loss) will be treated as a distribution by us of cash to that unitholder. A decrease in a unitholder’s percentage interest in us because of our issuance of additional units may decrease such unitholder’s share of our nonrecourse liabilities. For purposes of the foregoing, a unitholder’s share of our nonrecourse liabilities generally will be based upon such unitholder’s share of the unrealized appreciation (or depreciation) in our assets, to the extent thereof, with any excess nonrecourse liabilities allocated based on the unitholder’s share of our profits. Please read “— Disposition of Units.”</w:t>
      </w:r>
    </w:p>
    <w:p>
      <w:pPr>
        <w:spacing w:after="0" w:line="90" w:lineRule="exact"/>
        <w:rPr>
          <w:sz w:val="20"/>
          <w:szCs w:val="20"/>
          <w:color w:val="auto"/>
        </w:rPr>
      </w:pPr>
    </w:p>
    <w:p>
      <w:pPr>
        <w:ind w:left="1280" w:right="1319" w:firstLine="282"/>
        <w:spacing w:after="0" w:line="255" w:lineRule="auto"/>
        <w:rPr>
          <w:sz w:val="20"/>
          <w:szCs w:val="20"/>
          <w:color w:val="auto"/>
        </w:rPr>
      </w:pPr>
      <w:r>
        <w:rPr>
          <w:rFonts w:ascii="Times New Roman" w:cs="Times New Roman" w:eastAsia="Times New Roman" w:hAnsi="Times New Roman"/>
          <w:sz w:val="14"/>
          <w:szCs w:val="14"/>
          <w:color w:val="auto"/>
        </w:rPr>
        <w:t>A non-pro rata distribution of money or property (including a deemed distribution as a result of the reallocation of our nonrecourse liabilities described above) may cause a unitholder to recognize ordinary income if the distribution reduces the unitholder’s share of our “unrealized receivables,” including depreciation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will generally result in the unitholder’s recognition of ordinary income in an amount equal to the excess of (1) the non-pro rata portion of that distribution over</w:t>
      </w:r>
    </w:p>
    <w:p>
      <w:pPr>
        <w:spacing w:after="0" w:line="2" w:lineRule="exact"/>
        <w:rPr>
          <w:sz w:val="20"/>
          <w:szCs w:val="20"/>
          <w:color w:val="auto"/>
        </w:rPr>
      </w:pPr>
    </w:p>
    <w:p>
      <w:pPr>
        <w:ind w:left="1280" w:right="1579" w:firstLine="5"/>
        <w:spacing w:after="0" w:line="265" w:lineRule="auto"/>
        <w:tabs>
          <w:tab w:leader="none" w:pos="1491"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unitholder’s tax basis (typically zero) in the Section 751 Assets deemed to be relinquished in the exchange.</w:t>
      </w:r>
    </w:p>
    <w:p>
      <w:pPr>
        <w:spacing w:after="0" w:line="13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Limitations on Deductibility of Losses</w:t>
      </w:r>
    </w:p>
    <w:p>
      <w:pPr>
        <w:spacing w:after="0" w:line="127" w:lineRule="exact"/>
        <w:rPr>
          <w:sz w:val="20"/>
          <w:szCs w:val="20"/>
          <w:color w:val="auto"/>
        </w:rPr>
      </w:pPr>
    </w:p>
    <w:p>
      <w:pPr>
        <w:ind w:left="1280" w:right="1379" w:firstLine="282"/>
        <w:spacing w:after="0" w:line="266" w:lineRule="auto"/>
        <w:rPr>
          <w:sz w:val="20"/>
          <w:szCs w:val="20"/>
          <w:color w:val="auto"/>
        </w:rPr>
      </w:pPr>
      <w:r>
        <w:rPr>
          <w:rFonts w:ascii="Times New Roman" w:cs="Times New Roman" w:eastAsia="Times New Roman" w:hAnsi="Times New Roman"/>
          <w:sz w:val="14"/>
          <w:szCs w:val="14"/>
          <w:color w:val="auto"/>
        </w:rPr>
        <w:t>A unitholder may not be entitled to deduct the full amount of loss we allocate to it because its share of our losses will be limited to the lesser of (i) the unitholder’s adjusted tax basis in its units, and (ii) in the case of a unitholder that is an individual, estate, trust or certain types of closely-held corporations, the amount</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203835</wp:posOffset>
            </wp:positionV>
            <wp:extent cx="53581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5" w:name="page36"/>
    <w:bookmarkEnd w:id="35"/>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right="1379"/>
        <w:spacing w:after="0" w:line="250" w:lineRule="auto"/>
        <w:rPr>
          <w:sz w:val="20"/>
          <w:szCs w:val="20"/>
          <w:color w:val="auto"/>
        </w:rPr>
      </w:pPr>
      <w:r>
        <w:rPr>
          <w:rFonts w:ascii="Times New Roman" w:cs="Times New Roman" w:eastAsia="Times New Roman" w:hAnsi="Times New Roman"/>
          <w:sz w:val="14"/>
          <w:szCs w:val="14"/>
          <w:color w:val="auto"/>
        </w:rPr>
        <w:t>for which the unitholder is considered to be “at risk” with respect to our activities. A unitholder will be at risk to the extent of its adjusted tax basis in its units, reduced by (1) any portion of that basis attributable to the unitholder’s share of our nonrecourse liabilities, (2) any portion of that basis representing amounts otherwise protected against loss because of a guarantee, stop loss agreement or similar arrangement, and</w:t>
      </w:r>
    </w:p>
    <w:p>
      <w:pPr>
        <w:ind w:left="1280" w:right="1319" w:firstLine="5"/>
        <w:spacing w:after="0" w:line="242" w:lineRule="auto"/>
        <w:tabs>
          <w:tab w:leader="none" w:pos="1491"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254" w:lineRule="exact"/>
        <w:rPr>
          <w:sz w:val="20"/>
          <w:szCs w:val="20"/>
          <w:color w:val="auto"/>
        </w:rPr>
      </w:pPr>
    </w:p>
    <w:p>
      <w:pPr>
        <w:ind w:left="1280" w:right="1399" w:firstLine="282"/>
        <w:spacing w:after="0" w:line="247" w:lineRule="auto"/>
        <w:rPr>
          <w:sz w:val="20"/>
          <w:szCs w:val="20"/>
          <w:color w:val="auto"/>
        </w:rPr>
      </w:pPr>
      <w:r>
        <w:rPr>
          <w:rFonts w:ascii="Times New Roman" w:cs="Times New Roman" w:eastAsia="Times New Roman" w:hAnsi="Times New Roman"/>
          <w:sz w:val="14"/>
          <w:szCs w:val="14"/>
          <w:color w:val="auto"/>
        </w:rPr>
        <w:t>Losses disallowed to a unitholder or recaptured as a result of the basis or at risk limitations will carry forward and will be allowable as a deduction in a later year to the extent that the unitholder’s adjusted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w:t>
      </w:r>
    </w:p>
    <w:p>
      <w:pPr>
        <w:spacing w:after="0" w:line="90" w:lineRule="exact"/>
        <w:rPr>
          <w:sz w:val="20"/>
          <w:szCs w:val="20"/>
          <w:color w:val="auto"/>
        </w:rPr>
      </w:pPr>
    </w:p>
    <w:p>
      <w:pPr>
        <w:ind w:left="1280" w:right="1339" w:firstLine="282"/>
        <w:spacing w:after="0" w:line="256" w:lineRule="auto"/>
        <w:rPr>
          <w:sz w:val="20"/>
          <w:szCs w:val="20"/>
          <w:color w:val="auto"/>
        </w:rPr>
      </w:pPr>
      <w:r>
        <w:rPr>
          <w:rFonts w:ascii="Times New Roman" w:cs="Times New Roman" w:eastAsia="Times New Roman" w:hAnsi="Times New Roman"/>
          <w:sz w:val="14"/>
          <w:szCs w:val="14"/>
          <w:color w:val="auto"/>
        </w:rPr>
        <w:t>In addition to the basis and at risk limitations, passive activity loss limitations limit the deductibility of losses incurred by individuals, estates, trusts, some closely-held corporations and personal service</w:t>
      </w:r>
    </w:p>
    <w:p>
      <w:pPr>
        <w:spacing w:after="0" w:line="1" w:lineRule="exact"/>
        <w:rPr>
          <w:sz w:val="20"/>
          <w:szCs w:val="20"/>
          <w:color w:val="auto"/>
        </w:rPr>
      </w:pPr>
    </w:p>
    <w:p>
      <w:pPr>
        <w:ind w:left="1280" w:right="1359"/>
        <w:spacing w:after="0" w:line="243" w:lineRule="auto"/>
        <w:rPr>
          <w:sz w:val="20"/>
          <w:szCs w:val="20"/>
          <w:color w:val="auto"/>
        </w:rPr>
      </w:pPr>
      <w:r>
        <w:rPr>
          <w:rFonts w:ascii="Times New Roman" w:cs="Times New Roman" w:eastAsia="Times New Roman" w:hAnsi="Times New Roman"/>
          <w:sz w:val="14"/>
          <w:szCs w:val="14"/>
          <w:color w:val="auto"/>
        </w:rPr>
        <w:t>corporations from “passive activities” (generally,​ trade or business activities in which the taxpayer does not materially participate). The passive loss limitations are applied separately with respect to each publicly traded partnership. Consequently, any passive losses we generate will be available to offset only passive income generated by us. For this purpose, any income from a guaranteed payment for the use of capital generally will not be treated as passive income. As a result, holders of certain of our preferred units treated as receiving guaranteed payment for the use of capital generally may not be able to offset that income with losses or deductions allocated to our common units. Passive losses that exceed a unitholder’s share of the passive income we generate may be deducted in full when a unitholder disposes of all of its units in a fully taxable transaction with an unrelated party. The passive activity loss rules are applied after other applicable limitations on deductions, including the at risk and basis limitations.</w:t>
      </w:r>
    </w:p>
    <w:p>
      <w:pPr>
        <w:spacing w:after="0" w:line="91" w:lineRule="exact"/>
        <w:rPr>
          <w:sz w:val="20"/>
          <w:szCs w:val="20"/>
          <w:color w:val="auto"/>
        </w:rPr>
      </w:pPr>
    </w:p>
    <w:p>
      <w:pPr>
        <w:ind w:left="1280" w:right="1319" w:firstLine="282"/>
        <w:spacing w:after="0" w:line="254" w:lineRule="auto"/>
        <w:rPr>
          <w:sz w:val="20"/>
          <w:szCs w:val="20"/>
          <w:color w:val="auto"/>
        </w:rPr>
      </w:pPr>
      <w:r>
        <w:rPr>
          <w:rFonts w:ascii="Times New Roman" w:cs="Times New Roman" w:eastAsia="Times New Roman" w:hAnsi="Times New Roman"/>
          <w:sz w:val="14"/>
          <w:szCs w:val="14"/>
          <w:color w:val="auto"/>
        </w:rPr>
        <w:t>For taxpayers other than corporations in taxable years beginning before January 1, 2029, an “excess business loss” limitation further limits the deductibility of losses by such taxpayers. An excess business loss is the excess (if any) of a taxpayer’s aggregate deductions for the taxable year that are attributable to the trades or businesses of such taxpayer (determined without regard to the excess business loss limitation) over the aggregate gross income or gain of such taxpayer for the taxable year that is attributable to such trades or businesses plus a threshold amount. The threshold amount for 2024 is equal to $305,000, or $610,000 (increased annually by the applicable inflation adjustment) for taxpayers filing a joint return. Disallowed excess business losses are treated as a net operating loss carryover to the following tax year. Any losses we generate that are allocated to a unitholder and not otherwise limited by the basis, at risk, or passive loss limitations will be included in the determination of such unitholder’s aggregate trade or business deductions. Consequently, any losses we generate that are not otherwise limited will only be available to offset a unitholder’s other trade or business income plus an amount of non-trade or business income equal to the applicable threshold amount. Thus, except to the extent of the threshold amount, our losses that are not otherwise limited may not offset a unitholder’s non-trade or business income (such as salaries, fees, interest, dividends and capital gains). This excess business loss limitation will be applied after the passive activity loss limitation.</w:t>
      </w:r>
    </w:p>
    <w:p>
      <w:pPr>
        <w:spacing w:after="0" w:line="3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Limitations on Interest Deductions</w:t>
      </w:r>
    </w:p>
    <w:p>
      <w:pPr>
        <w:spacing w:after="0" w:line="116" w:lineRule="exact"/>
        <w:rPr>
          <w:sz w:val="20"/>
          <w:szCs w:val="20"/>
          <w:color w:val="auto"/>
        </w:rPr>
      </w:pPr>
    </w:p>
    <w:p>
      <w:pPr>
        <w:ind w:left="1280" w:right="1299" w:firstLine="282"/>
        <w:spacing w:after="0" w:line="258" w:lineRule="auto"/>
        <w:rPr>
          <w:sz w:val="20"/>
          <w:szCs w:val="20"/>
          <w:color w:val="auto"/>
        </w:rPr>
      </w:pPr>
      <w:r>
        <w:rPr>
          <w:rFonts w:ascii="Times New Roman" w:cs="Times New Roman" w:eastAsia="Times New Roman" w:hAnsi="Times New Roman"/>
          <w:sz w:val="14"/>
          <w:szCs w:val="14"/>
          <w:color w:val="auto"/>
        </w:rPr>
        <w:t>In general, we are entitled to a deduction for interest paid or accrued on indebtedness properly allocable to our trade or business during our taxable year. However, our deduction for this “business interest” is limited to the sum of our business interest income and 30% of our “adjusted taxable income.” For the purposes of this limitation, our adjusted taxable income is computed without regard to any business interest or business interest income. This limitation is first applied at the partnership level and any deduction for business interest is taken into account in determining our non-separately stated taxable income or loss.</w:t>
      </w: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6" w:name="page37"/>
    <w:bookmarkEnd w:id="36"/>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right="1299"/>
        <w:spacing w:after="0" w:line="261" w:lineRule="auto"/>
        <w:rPr>
          <w:sz w:val="20"/>
          <w:szCs w:val="20"/>
          <w:color w:val="auto"/>
        </w:rPr>
      </w:pPr>
      <w:r>
        <w:rPr>
          <w:rFonts w:ascii="Times New Roman" w:cs="Times New Roman" w:eastAsia="Times New Roman" w:hAnsi="Times New Roman"/>
          <w:sz w:val="14"/>
          <w:szCs w:val="14"/>
          <w:color w:val="auto"/>
        </w:rPr>
        <w:t>Then, in applying this business interest limitation at the partner level, the adjusted taxable income of each of our unitholders is determined without regard to such unitholder’s distributive share of any of our items of income, gain, deduction, or loss and is increased by such unitholder’s distributive share of our excess taxable income, which is generally equal to the excess of 30% of our adjusted taxable income over the amount of our deduction for business interest for a taxable year.</w:t>
      </w:r>
    </w:p>
    <w:p>
      <w:pPr>
        <w:spacing w:after="0" w:line="88" w:lineRule="exact"/>
        <w:rPr>
          <w:sz w:val="20"/>
          <w:szCs w:val="20"/>
          <w:color w:val="auto"/>
        </w:rPr>
      </w:pPr>
    </w:p>
    <w:p>
      <w:pPr>
        <w:ind w:left="1280" w:right="1319" w:firstLine="282"/>
        <w:spacing w:after="0" w:line="257" w:lineRule="auto"/>
        <w:rPr>
          <w:sz w:val="20"/>
          <w:szCs w:val="20"/>
          <w:color w:val="auto"/>
        </w:rPr>
      </w:pPr>
      <w:r>
        <w:rPr>
          <w:rFonts w:ascii="Times New Roman" w:cs="Times New Roman" w:eastAsia="Times New Roman" w:hAnsi="Times New Roman"/>
          <w:sz w:val="14"/>
          <w:szCs w:val="14"/>
          <w:color w:val="auto"/>
        </w:rPr>
        <w:t>To the extent our deduction for business interest is not limited, we will allocate the full amount of our deduction for business interest among our unitholders in accordance with their percentage interests in us. To the extent our deduction for business interest is limited, the amount of any disallowed deduction for business interest will also be allocated to each unitholder in accordance with their percentage interest in us, but such amount of “excess business interest” will not be currently deductible. Subject to certain limitations and adjustments to a unitholder’s basis in its units, this excess business interest may be carried forward and deducted by a unitholder in a future taxable year. Further, a unitholder’s basis in his or her units will generally be increased by the amount of any excess business interest upon a disposition of such units.</w:t>
      </w:r>
    </w:p>
    <w:p>
      <w:pPr>
        <w:spacing w:after="0" w:line="93" w:lineRule="exact"/>
        <w:rPr>
          <w:sz w:val="20"/>
          <w:szCs w:val="20"/>
          <w:color w:val="auto"/>
        </w:rPr>
      </w:pPr>
    </w:p>
    <w:p>
      <w:pPr>
        <w:ind w:left="1280" w:right="1299" w:firstLine="282"/>
        <w:spacing w:after="0" w:line="269" w:lineRule="auto"/>
        <w:rPr>
          <w:sz w:val="20"/>
          <w:szCs w:val="20"/>
          <w:color w:val="auto"/>
        </w:rPr>
      </w:pPr>
      <w:r>
        <w:rPr>
          <w:rFonts w:ascii="Times New Roman" w:cs="Times New Roman" w:eastAsia="Times New Roman" w:hAnsi="Times New Roman"/>
          <w:sz w:val="14"/>
          <w:szCs w:val="14"/>
          <w:color w:val="auto"/>
        </w:rPr>
        <w:t>In addition to this limitation on the deductibility of a partnership’s business interest, the deductibility of a non-corporate taxpayer’s “investment interest expense” is generally limited to the amount of that taxpayer’s “net investment income.” Investment interest expense includes:</w:t>
      </w:r>
    </w:p>
    <w:p>
      <w:pPr>
        <w:spacing w:after="0" w:line="52" w:lineRule="exact"/>
        <w:rPr>
          <w:sz w:val="20"/>
          <w:szCs w:val="20"/>
          <w:color w:val="auto"/>
        </w:rPr>
      </w:pPr>
    </w:p>
    <w:p>
      <w:pPr>
        <w:ind w:left="1700" w:hanging="133"/>
        <w:spacing w:after="0"/>
        <w:tabs>
          <w:tab w:leader="none" w:pos="17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on indebtedness allocable to property held for investment;</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expense allocated against portfolio income; and</w:t>
      </w:r>
    </w:p>
    <w:p>
      <w:pPr>
        <w:spacing w:after="0" w:line="93" w:lineRule="exact"/>
        <w:rPr>
          <w:rFonts w:ascii="Times New Roman" w:cs="Times New Roman" w:eastAsia="Times New Roman" w:hAnsi="Times New Roman"/>
          <w:sz w:val="14"/>
          <w:szCs w:val="14"/>
          <w:color w:val="auto"/>
        </w:rPr>
      </w:pPr>
    </w:p>
    <w:p>
      <w:pPr>
        <w:ind w:left="1700" w:right="1519" w:hanging="133"/>
        <w:spacing w:after="0" w:line="286" w:lineRule="auto"/>
        <w:tabs>
          <w:tab w:leader="none" w:pos="17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interest expense incurred to purchase or carry an interest in a passive activity to the extent allocable against portfolio income.</w:t>
      </w:r>
    </w:p>
    <w:p>
      <w:pPr>
        <w:spacing w:after="0" w:line="72" w:lineRule="exact"/>
        <w:rPr>
          <w:sz w:val="20"/>
          <w:szCs w:val="20"/>
          <w:color w:val="auto"/>
        </w:rPr>
      </w:pPr>
    </w:p>
    <w:p>
      <w:pPr>
        <w:ind w:left="1280" w:right="1359" w:firstLine="282"/>
        <w:spacing w:after="0" w:line="257" w:lineRule="auto"/>
        <w:rPr>
          <w:sz w:val="20"/>
          <w:szCs w:val="20"/>
          <w:color w:val="auto"/>
        </w:rPr>
      </w:pPr>
      <w:r>
        <w:rPr>
          <w:rFonts w:ascii="Times New Roman" w:cs="Times New Roman" w:eastAsia="Times New Roman" w:hAnsi="Times New Roman"/>
          <w:sz w:val="14"/>
          <w:szCs w:val="14"/>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does not include qualified dividend income (if applicable)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w:t>
      </w:r>
    </w:p>
    <w:p>
      <w:pPr>
        <w:spacing w:after="0" w:line="1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Entity-Level Collections of Unitholder Taxes</w:t>
      </w:r>
    </w:p>
    <w:p>
      <w:pPr>
        <w:spacing w:after="0" w:line="127" w:lineRule="exact"/>
        <w:rPr>
          <w:sz w:val="20"/>
          <w:szCs w:val="20"/>
          <w:color w:val="auto"/>
        </w:rPr>
      </w:pPr>
    </w:p>
    <w:p>
      <w:pPr>
        <w:ind w:left="1280" w:right="1339" w:firstLine="282"/>
        <w:spacing w:after="0" w:line="256" w:lineRule="auto"/>
        <w:rPr>
          <w:sz w:val="20"/>
          <w:szCs w:val="20"/>
          <w:color w:val="auto"/>
        </w:rPr>
      </w:pPr>
      <w:r>
        <w:rPr>
          <w:rFonts w:ascii="Times New Roman" w:cs="Times New Roman" w:eastAsia="Times New Roman" w:hAnsi="Times New Roman"/>
          <w:sz w:val="14"/>
          <w:szCs w:val="14"/>
          <w:color w:val="auto"/>
        </w:rPr>
        <w:t>If we are required or elect under applicable law to pay any federal, state, local or non-U.S. tax on behalf of any current or former unitholder or our general partner, our partnership agreement authorizes us to treat the payment as a distribution of cash to the relevant unitholder or general partner. Where the tax is payable on behalf of all unitholders or we cannot determine the specific unitholder on whose behalf the tax is payable, our partnership agreement authorizes us to treat the payment as a distribution to all current unitholders. Payments by us as described above could give rise to an overpayment of tax on behalf of a unitholder, in which event the unitholder may be entitled to claim a refund of the overpayment amount. Please read “— Administrative Matters — Information Returns and Audit Procedures.” Each unitholder is urged to consult its tax advisor to determine the consequences to them of any tax payment we make on its behalf.</w:t>
      </w:r>
    </w:p>
    <w:p>
      <w:pPr>
        <w:spacing w:after="0" w:line="3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Allocation of Income, Gain, Loss and Deduction</w:t>
      </w:r>
    </w:p>
    <w:p>
      <w:pPr>
        <w:spacing w:after="0" w:line="116" w:lineRule="exact"/>
        <w:rPr>
          <w:sz w:val="20"/>
          <w:szCs w:val="20"/>
          <w:color w:val="auto"/>
        </w:rPr>
      </w:pPr>
    </w:p>
    <w:p>
      <w:pPr>
        <w:ind w:left="1280" w:right="1319" w:firstLine="282"/>
        <w:spacing w:after="0" w:line="257" w:lineRule="auto"/>
        <w:rPr>
          <w:sz w:val="20"/>
          <w:szCs w:val="20"/>
          <w:color w:val="auto"/>
        </w:rPr>
      </w:pPr>
      <w:r>
        <w:rPr>
          <w:rFonts w:ascii="Times New Roman" w:cs="Times New Roman" w:eastAsia="Times New Roman" w:hAnsi="Times New Roman"/>
          <w:sz w:val="14"/>
          <w:szCs w:val="14"/>
          <w:color w:val="auto"/>
        </w:rPr>
        <w:t>Except as described below, our items of income, gain, loss and deduction will be allocated among our unitholders in accordance with their percentage interests in us. Specified items of our income, gain, loss and deduction will be allocated under Section 704(c) of the Code (or the principles of Section 704(c) of the Code) to account for any difference between the adjusted tax basis and fair market value of our assets at the time such assets are contributed to us and at the time of any subsequent offering of our units (a “Book-Tax Disparity”). As a result, the federal income tax burden associated with any Book-Tax Disparity immediately prior to an offering will be borne by our partners holding interests in us prior to such offering. In addition, items of recapture income will be specially allocated to the extent possible (subject to the limitations described</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7" w:name="page38"/>
    <w:bookmarkEnd w:id="37"/>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right="1559"/>
        <w:spacing w:after="0" w:line="286" w:lineRule="auto"/>
        <w:rPr>
          <w:sz w:val="20"/>
          <w:szCs w:val="20"/>
          <w:color w:val="auto"/>
        </w:rPr>
      </w:pPr>
      <w:r>
        <w:rPr>
          <w:rFonts w:ascii="Times New Roman" w:cs="Times New Roman" w:eastAsia="Times New Roman" w:hAnsi="Times New Roman"/>
          <w:sz w:val="14"/>
          <w:szCs w:val="14"/>
          <w:color w:val="auto"/>
        </w:rPr>
        <w:t>above) to the unitholder who was allocated the deduction giving rise to that recapture income in order to minimize the recognition of ordinary income by other unitholders.</w:t>
      </w:r>
    </w:p>
    <w:p>
      <w:pPr>
        <w:spacing w:after="0" w:line="61" w:lineRule="exact"/>
        <w:rPr>
          <w:sz w:val="20"/>
          <w:szCs w:val="20"/>
          <w:color w:val="auto"/>
        </w:rPr>
      </w:pPr>
    </w:p>
    <w:p>
      <w:pPr>
        <w:ind w:left="1280" w:right="1439" w:firstLine="282"/>
        <w:spacing w:after="0" w:line="249" w:lineRule="auto"/>
        <w:rPr>
          <w:sz w:val="20"/>
          <w:szCs w:val="20"/>
          <w:color w:val="auto"/>
        </w:rPr>
      </w:pPr>
      <w:r>
        <w:rPr>
          <w:rFonts w:ascii="Times New Roman" w:cs="Times New Roman" w:eastAsia="Times New Roman" w:hAnsi="Times New Roman"/>
          <w:sz w:val="14"/>
          <w:szCs w:val="14"/>
          <w:color w:val="auto"/>
        </w:rPr>
        <w:t>It may not be administratively feasible to make the relevant adjustments to “book” basis and the relevant Section 704(c) allocations separately each time we issue units, particularly in the case of small or frequent unit issuances. If that is the case, we may use simplifying conventions to make those adjustments and allocations, which may include the aggregation of certain issuances of units. Our counsel, Vinson &amp; Elkins, L.L.P., is unable to opine as to the validity of such conventions.</w:t>
      </w:r>
    </w:p>
    <w:p>
      <w:pPr>
        <w:spacing w:after="0" w:line="86" w:lineRule="exact"/>
        <w:rPr>
          <w:sz w:val="20"/>
          <w:szCs w:val="20"/>
          <w:color w:val="auto"/>
        </w:rPr>
      </w:pPr>
    </w:p>
    <w:p>
      <w:pPr>
        <w:ind w:left="1280" w:right="1299" w:firstLine="282"/>
        <w:spacing w:after="0" w:line="245" w:lineRule="auto"/>
        <w:rPr>
          <w:sz w:val="20"/>
          <w:szCs w:val="20"/>
          <w:color w:val="auto"/>
        </w:rPr>
      </w:pPr>
      <w:r>
        <w:rPr>
          <w:rFonts w:ascii="Times New Roman" w:cs="Times New Roman" w:eastAsia="Times New Roman" w:hAnsi="Times New Roman"/>
          <w:sz w:val="14"/>
          <w:szCs w:val="14"/>
          <w:color w:val="auto"/>
        </w:rPr>
        <w:t>An allocation of items of our income, gain, loss or deduction, other than an allocation required by the Code to eliminate a Book-Tax Disparity, will be given effect for federal income tax purposes in determining a unitholder’s share of an item of income, gain, loss or deduction only if the allocation has “substantial economic effect.” In any other case, a unitholder’s share of an item will be determined on the basis of the unitholder’s interest in us, which will be determined by taking into account all the facts and circumstances, including (i) the unitholder’s relative contributions to us, (ii) the interests of all the partners in profits and losses, (iii) the interest of all the partners in cash flow and (iv) the rights of all the partners to distributions of capital upon liquidation. Our allocations and liquidation provisions are designed in a way to give effect to our allocations, except to the extent required to achieve parity among the preferred units. Consequently, Vinson &amp; Elkins LLP is unable to opine on whether our allocations of income, gain, loss and deduction will be given effect for U.S. federal income tax purposes.</w:t>
      </w:r>
    </w:p>
    <w:p>
      <w:pPr>
        <w:spacing w:after="0" w:line="31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Treatment of Securities Loans</w:t>
      </w:r>
    </w:p>
    <w:p>
      <w:pPr>
        <w:spacing w:after="0" w:line="116" w:lineRule="exact"/>
        <w:rPr>
          <w:sz w:val="20"/>
          <w:szCs w:val="20"/>
          <w:color w:val="auto"/>
        </w:rPr>
      </w:pPr>
    </w:p>
    <w:p>
      <w:pPr>
        <w:ind w:left="1280" w:right="1319" w:firstLine="282"/>
        <w:spacing w:after="0" w:line="247" w:lineRule="auto"/>
        <w:rPr>
          <w:sz w:val="20"/>
          <w:szCs w:val="20"/>
          <w:color w:val="auto"/>
        </w:rPr>
      </w:pPr>
      <w:r>
        <w:rPr>
          <w:rFonts w:ascii="Times New Roman" w:cs="Times New Roman" w:eastAsia="Times New Roman" w:hAnsi="Times New Roman"/>
          <w:sz w:val="14"/>
          <w:szCs w:val="14"/>
          <w:color w:val="auto"/>
        </w:rPr>
        <w:t>A unitholder whose units are the subject of a securities loan (for example, a loan to a “short seller” to cover a short sale of units) may be treated as having disposed of those units. If so, such unitholder would no longer be treated for tax purposes as a partner with respect to those units during the period of the loan and may recognize gain or loss as a result of such deemed disposition. As a result, during this period (i) any of our income, gain, loss or deduction allocated to those units would not be reportable by the lending unitholder, and (ii) any cash distributions received by the lending unitholder as to those units may be treated as ordinary taxable income.</w:t>
      </w:r>
    </w:p>
    <w:p>
      <w:pPr>
        <w:spacing w:after="0" w:line="256" w:lineRule="exact"/>
        <w:rPr>
          <w:sz w:val="20"/>
          <w:szCs w:val="20"/>
          <w:color w:val="auto"/>
        </w:rPr>
      </w:pPr>
    </w:p>
    <w:p>
      <w:pPr>
        <w:ind w:left="1280" w:right="1339" w:firstLine="282"/>
        <w:spacing w:after="0" w:line="249" w:lineRule="auto"/>
        <w:rPr>
          <w:sz w:val="20"/>
          <w:szCs w:val="20"/>
          <w:color w:val="auto"/>
        </w:rPr>
      </w:pPr>
      <w:r>
        <w:rPr>
          <w:rFonts w:ascii="Times New Roman" w:cs="Times New Roman" w:eastAsia="Times New Roman" w:hAnsi="Times New Roman"/>
          <w:sz w:val="14"/>
          <w:szCs w:val="14"/>
          <w:color w:val="auto"/>
        </w:rPr>
        <w:t>Due to a lack of controlling authority, Vinson &amp; Elkins L.L.P. has not rendered an opinion regarding the tax treatment of a unitholder that enters into a securities loan with respect to its units. A unitholder desiring to assure its status as a partner and avoid the risk of income recognition from a loan of its units is urged to modify any applicable brokerage account agreements to prohibit its brokers from borrowing and lending its units. The IRS has announced that it is studying issues relating to the tax treatment of short sales of partnership interests. Please read “— Disposition of Units — Recognition of Gain or Loss.”</w:t>
      </w:r>
    </w:p>
    <w:p>
      <w:pPr>
        <w:spacing w:after="0" w:line="14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Tax Rates</w:t>
      </w:r>
    </w:p>
    <w:p>
      <w:pPr>
        <w:spacing w:after="0" w:line="127" w:lineRule="exact"/>
        <w:rPr>
          <w:sz w:val="20"/>
          <w:szCs w:val="20"/>
          <w:color w:val="auto"/>
        </w:rPr>
      </w:pPr>
    </w:p>
    <w:p>
      <w:pPr>
        <w:ind w:left="1280" w:right="1399" w:firstLine="282"/>
        <w:spacing w:after="0" w:line="263" w:lineRule="auto"/>
        <w:rPr>
          <w:sz w:val="20"/>
          <w:szCs w:val="20"/>
          <w:color w:val="auto"/>
        </w:rPr>
      </w:pPr>
      <w:r>
        <w:rPr>
          <w:rFonts w:ascii="Times New Roman" w:cs="Times New Roman" w:eastAsia="Times New Roman" w:hAnsi="Times New Roman"/>
          <w:sz w:val="14"/>
          <w:szCs w:val="14"/>
          <w:color w:val="auto"/>
        </w:rPr>
        <w:t>Under current law, the highest marginal federal income tax rates for individuals applicable to ordinary income and long-term capital gains (generally, gains from the sale or exchange of certain investment assets held for more than one year) are 37% and 20%, respectively. These rates are subject to change by new legislation at any time.</w:t>
      </w:r>
    </w:p>
    <w:p>
      <w:pPr>
        <w:spacing w:after="0" w:line="78" w:lineRule="exact"/>
        <w:rPr>
          <w:sz w:val="20"/>
          <w:szCs w:val="20"/>
          <w:color w:val="auto"/>
        </w:rPr>
      </w:pPr>
    </w:p>
    <w:p>
      <w:pPr>
        <w:ind w:left="1280" w:right="1319" w:firstLine="282"/>
        <w:spacing w:after="0" w:line="256" w:lineRule="auto"/>
        <w:rPr>
          <w:sz w:val="20"/>
          <w:szCs w:val="20"/>
          <w:color w:val="auto"/>
        </w:rPr>
      </w:pPr>
      <w:r>
        <w:rPr>
          <w:rFonts w:ascii="Times New Roman" w:cs="Times New Roman" w:eastAsia="Times New Roman" w:hAnsi="Times New Roman"/>
          <w:sz w:val="14"/>
          <w:szCs w:val="14"/>
          <w:color w:val="auto"/>
        </w:rPr>
        <w:t>In addition, a 3.8% net investment income tax applies to certain net investment income earned by individuals, estates, and trusts. For these purposes, net investment income generally includes a unitholder’s allocable share of our income and gain realized by a unitholder from a sale of units (without taking into account the 20% deduction discussed below).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the unitholder is married and filing separately) or $200,000 (if the unitholder is unmarried or in any other case). In the case of an estate or trust, the tax will be imposed on the lesser of (i) undistributed net investment income, or (ii) the excess adjusted gross income over the dollar amount at which the highest income tax bracket applicable to an estate or trust begins.</w:t>
      </w:r>
    </w:p>
    <w:p>
      <w:pPr>
        <w:spacing w:after="0" w:line="94" w:lineRule="exact"/>
        <w:rPr>
          <w:sz w:val="20"/>
          <w:szCs w:val="20"/>
          <w:color w:val="auto"/>
        </w:rPr>
      </w:pPr>
    </w:p>
    <w:p>
      <w:pPr>
        <w:ind w:left="1280" w:right="1479" w:firstLine="282"/>
        <w:spacing w:after="0" w:line="286" w:lineRule="auto"/>
        <w:rPr>
          <w:sz w:val="20"/>
          <w:szCs w:val="20"/>
          <w:color w:val="auto"/>
        </w:rPr>
      </w:pPr>
      <w:r>
        <w:rPr>
          <w:rFonts w:ascii="Times New Roman" w:cs="Times New Roman" w:eastAsia="Times New Roman" w:hAnsi="Times New Roman"/>
          <w:sz w:val="14"/>
          <w:szCs w:val="14"/>
          <w:color w:val="auto"/>
        </w:rPr>
        <w:t>For taxable years beginning after December 31, 2017 and ending on or before December 31, 2025, subject to certain limitations, an individual unitholder is entitled to a deduction equal to 20% of his or her</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203835</wp:posOffset>
            </wp:positionV>
            <wp:extent cx="53581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8" w:name="page39"/>
    <w:bookmarkEnd w:id="38"/>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right="1439"/>
        <w:spacing w:after="0" w:line="286" w:lineRule="auto"/>
        <w:rPr>
          <w:sz w:val="20"/>
          <w:szCs w:val="20"/>
          <w:color w:val="auto"/>
        </w:rPr>
      </w:pPr>
      <w:r>
        <w:rPr>
          <w:rFonts w:ascii="Times New Roman" w:cs="Times New Roman" w:eastAsia="Times New Roman" w:hAnsi="Times New Roman"/>
          <w:sz w:val="14"/>
          <w:szCs w:val="14"/>
          <w:color w:val="auto"/>
        </w:rPr>
        <w:t>allocable share of our “qualified business income.” For purposes of this deduction, our “qualified business income” is equal to the sum of:</w:t>
      </w:r>
    </w:p>
    <w:p>
      <w:pPr>
        <w:spacing w:after="0" w:line="29" w:lineRule="exact"/>
        <w:rPr>
          <w:sz w:val="20"/>
          <w:szCs w:val="20"/>
          <w:color w:val="auto"/>
        </w:rPr>
      </w:pPr>
    </w:p>
    <w:p>
      <w:pPr>
        <w:ind w:left="1700" w:right="1379" w:hanging="133"/>
        <w:spacing w:after="0" w:line="263" w:lineRule="auto"/>
        <w:tabs>
          <w:tab w:leader="none" w:pos="17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amount of our U.S. items of income, gain, deduction, and loss to the extent such items are included or allowed in the determination of taxable income for the year, excluding, however, certain specified types of passive investment income (such as capital gains and dividends) and certain payments made to the unitholder for services rendered to the Partnership; and</w:t>
      </w:r>
    </w:p>
    <w:p>
      <w:pPr>
        <w:spacing w:after="0" w:line="46" w:lineRule="exact"/>
        <w:rPr>
          <w:rFonts w:ascii="Times New Roman" w:cs="Times New Roman" w:eastAsia="Times New Roman" w:hAnsi="Times New Roman"/>
          <w:sz w:val="14"/>
          <w:szCs w:val="14"/>
          <w:color w:val="auto"/>
        </w:rPr>
      </w:pPr>
    </w:p>
    <w:p>
      <w:pPr>
        <w:ind w:left="1700" w:right="1439" w:hanging="133"/>
        <w:spacing w:after="0" w:line="269" w:lineRule="auto"/>
        <w:tabs>
          <w:tab w:leader="none" w:pos="17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gain recognized upon a disposition of our units to the extent such gain is attributable to Section 751 Assets, such as depreciation recapture and our “inventory items,” and is thus treated as ordinary income under Section 751 of the Code.</w:t>
      </w:r>
    </w:p>
    <w:p>
      <w:pPr>
        <w:spacing w:after="0" w:line="84" w:lineRule="exact"/>
        <w:rPr>
          <w:sz w:val="20"/>
          <w:szCs w:val="20"/>
          <w:color w:val="auto"/>
        </w:rPr>
      </w:pPr>
    </w:p>
    <w:p>
      <w:pPr>
        <w:ind w:left="1280" w:right="1359" w:firstLine="282"/>
        <w:spacing w:after="0" w:line="261" w:lineRule="auto"/>
        <w:rPr>
          <w:sz w:val="20"/>
          <w:szCs w:val="20"/>
          <w:color w:val="auto"/>
        </w:rPr>
      </w:pPr>
      <w:r>
        <w:rPr>
          <w:rFonts w:ascii="Times New Roman" w:cs="Times New Roman" w:eastAsia="Times New Roman" w:hAnsi="Times New Roman"/>
          <w:sz w:val="14"/>
          <w:szCs w:val="14"/>
          <w:color w:val="auto"/>
        </w:rPr>
        <w:t>The income attributable to our Canadian business operations is not considered effectively connected to our U.S. business, and as a result our unitholders will not be entitled to a deduction equal to 20% of his or her allocable share of such income.</w:t>
      </w:r>
    </w:p>
    <w:p>
      <w:pPr>
        <w:spacing w:after="0" w:line="12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Section 754 Election</w:t>
      </w:r>
    </w:p>
    <w:p>
      <w:pPr>
        <w:spacing w:after="0" w:line="127" w:lineRule="exact"/>
        <w:rPr>
          <w:sz w:val="20"/>
          <w:szCs w:val="20"/>
          <w:color w:val="auto"/>
        </w:rPr>
      </w:pPr>
    </w:p>
    <w:p>
      <w:pPr>
        <w:ind w:left="1280" w:right="1319" w:firstLine="282"/>
        <w:spacing w:after="0" w:line="244" w:lineRule="auto"/>
        <w:rPr>
          <w:sz w:val="20"/>
          <w:szCs w:val="20"/>
          <w:color w:val="auto"/>
        </w:rPr>
      </w:pPr>
      <w:r>
        <w:rPr>
          <w:rFonts w:ascii="Times New Roman" w:cs="Times New Roman" w:eastAsia="Times New Roman" w:hAnsi="Times New Roman"/>
          <w:sz w:val="14"/>
          <w:szCs w:val="14"/>
          <w:color w:val="auto"/>
        </w:rPr>
        <w:t>We have made the election permitted by Section 754 of the Code that permits us to adjust the tax basis in each of our assets as to specific purchasers of our units under Section 743(b) of the Code to reflect the unit purchase price upon subsequent purchases of units and to adjust the tax basis in each of our assets under Section 734(b) of the Code in the event of our repurchase of common units in the open market. That election is irrevocable without the consent of the IRS. The Section 743(b) adjustment separately applies to a unitholder who purchases units from another unitholder based upon the values and adjusted tax basis of each of our assets at the time of the relevant purchase, and the adjustment will reflect the purchase price paid. The Section 743(b) adjustment does not apply to a person who purchases units directly from us. For purposes of this discussion, a unitholder’s basis in our assets will be considered to have two components:</w:t>
      </w:r>
    </w:p>
    <w:p>
      <w:pPr>
        <w:spacing w:after="0" w:line="3" w:lineRule="exact"/>
        <w:rPr>
          <w:sz w:val="20"/>
          <w:szCs w:val="20"/>
          <w:color w:val="auto"/>
        </w:rPr>
      </w:pPr>
    </w:p>
    <w:p>
      <w:pPr>
        <w:ind w:left="1280" w:right="1459" w:firstLine="5"/>
        <w:spacing w:after="0" w:line="249" w:lineRule="auto"/>
        <w:tabs>
          <w:tab w:leader="none" w:pos="1491"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its share of the tax basis in our assets as to all unitholders and (2) its Section 743(b) adjustment to that tax basis (which may be positive or negative).</w:t>
      </w:r>
    </w:p>
    <w:p>
      <w:pPr>
        <w:spacing w:after="0" w:line="86" w:lineRule="exact"/>
        <w:rPr>
          <w:sz w:val="20"/>
          <w:szCs w:val="20"/>
          <w:color w:val="auto"/>
        </w:rPr>
      </w:pPr>
    </w:p>
    <w:p>
      <w:pPr>
        <w:ind w:left="1280" w:right="1379" w:firstLine="282"/>
        <w:spacing w:after="0" w:line="249" w:lineRule="auto"/>
        <w:rPr>
          <w:sz w:val="20"/>
          <w:szCs w:val="20"/>
          <w:color w:val="auto"/>
        </w:rPr>
      </w:pPr>
      <w:r>
        <w:rPr>
          <w:rFonts w:ascii="Times New Roman" w:cs="Times New Roman" w:eastAsia="Times New Roman" w:hAnsi="Times New Roman"/>
          <w:sz w:val="14"/>
          <w:szCs w:val="14"/>
          <w:color w:val="auto"/>
        </w:rPr>
        <w:t>Subject to certain limitations, a Section 743(b) adjustment may create additional depreciable basis that is eligible for bonus depreciation under Section 168(k) to the extent the adjustment is attributable to depreciable property and not to goodwill or real property. However, because we may not be able to determine whether transfers of our units satisfy all of the eligibility requirements and due to other limitations regarding administrability, we plan to elect out of the bonus depreciation provisions of Section 168(k) with respect to basis adjustments under Section 743(b).</w:t>
      </w:r>
    </w:p>
    <w:p>
      <w:pPr>
        <w:spacing w:after="0" w:line="8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Under our partnership agreement, we are authorized to take a position to preserve the uniformity</w:t>
      </w:r>
    </w:p>
    <w:p>
      <w:pPr>
        <w:spacing w:after="0" w:line="14" w:lineRule="exact"/>
        <w:rPr>
          <w:sz w:val="20"/>
          <w:szCs w:val="20"/>
          <w:color w:val="auto"/>
        </w:rPr>
      </w:pPr>
    </w:p>
    <w:p>
      <w:pPr>
        <w:ind w:left="1280" w:right="1359"/>
        <w:spacing w:after="0" w:line="243" w:lineRule="auto"/>
        <w:rPr>
          <w:sz w:val="20"/>
          <w:szCs w:val="20"/>
          <w:color w:val="auto"/>
        </w:rPr>
      </w:pPr>
      <w:r>
        <w:rPr>
          <w:rFonts w:ascii="Times New Roman" w:cs="Times New Roman" w:eastAsia="Times New Roman" w:hAnsi="Times New Roman"/>
          <w:sz w:val="14"/>
          <w:szCs w:val="14"/>
          <w:color w:val="auto"/>
        </w:rPr>
        <w:t>of units even if that position is not consistent with applicable Treasury Regulations. A literal application of Treasury Regulations governing a Section 743(b) adjustment attributable to properties depreciable under Section 167 of the Code may give rise to differences in the taxation of unitholders purchasing units from us and unitholders purchasing from other unitholders. If we have any such properties, we intend to adopt methods employed by other publicly traded partnerships to preserve the uniformity of units, even if inconsistent with existing Treasury Regulations, and Vinson &amp; Elkins L.L.P. has not opined on the validity of this approach. Please read “— Uniformity of Units.”</w:t>
      </w:r>
    </w:p>
    <w:p>
      <w:pPr>
        <w:spacing w:after="0" w:line="93" w:lineRule="exact"/>
        <w:rPr>
          <w:sz w:val="20"/>
          <w:szCs w:val="20"/>
          <w:color w:val="auto"/>
        </w:rPr>
      </w:pPr>
    </w:p>
    <w:p>
      <w:pPr>
        <w:ind w:left="1280" w:right="1339" w:firstLine="282"/>
        <w:spacing w:after="0" w:line="247" w:lineRule="auto"/>
        <w:rPr>
          <w:sz w:val="20"/>
          <w:szCs w:val="20"/>
          <w:color w:val="auto"/>
        </w:rPr>
      </w:pPr>
      <w:r>
        <w:rPr>
          <w:rFonts w:ascii="Times New Roman" w:cs="Times New Roman" w:eastAsia="Times New Roman" w:hAnsi="Times New Roman"/>
          <w:sz w:val="14"/>
          <w:szCs w:val="14"/>
          <w:color w:val="auto"/>
        </w:rPr>
        <w:t>The IRS may challenge the positions we adopt with respect to depreciating or amortizing the Section 743(b) or Section 734(b) adjustment to preserve the uniformity of units due to the lack of controlling authority. Because a unitholder’s adjusted tax basis for its units is reduced by its share of our items of deduction or loss, any position we take that understates deductions will overstate a unitholder’s tax basis in its units, and may cause the unitholder to understate gain or overstate loss on any sale of such units. Please read “— Disposition of Units — Recognition of Gain or Loss.” If a challenge to such treatment were sustained, the gain from the sale of units may be increased without the benefit of additional deductions.</w:t>
      </w:r>
    </w:p>
    <w:p>
      <w:pPr>
        <w:spacing w:after="0" w:line="90" w:lineRule="exact"/>
        <w:rPr>
          <w:sz w:val="20"/>
          <w:szCs w:val="20"/>
          <w:color w:val="auto"/>
        </w:rPr>
      </w:pPr>
    </w:p>
    <w:p>
      <w:pPr>
        <w:ind w:left="1280" w:right="1399" w:firstLine="282"/>
        <w:spacing w:after="0" w:line="249" w:lineRule="auto"/>
        <w:rPr>
          <w:sz w:val="20"/>
          <w:szCs w:val="20"/>
          <w:color w:val="auto"/>
        </w:rPr>
      </w:pPr>
      <w:r>
        <w:rPr>
          <w:rFonts w:ascii="Times New Roman" w:cs="Times New Roman" w:eastAsia="Times New Roman" w:hAnsi="Times New Roman"/>
          <w:sz w:val="14"/>
          <w:szCs w:val="14"/>
          <w:color w:val="auto"/>
        </w:rPr>
        <w:t>The calculations involved in the Section 754 election are complex and are made on the basis of assumptions as to the value of our assets and other matters. The IRS could seek to reallocate some or all of any Section 743(b) adjustment or Section 734(b) adjustment we allocated to our depreciable assets to goodwill or nondepreciable assets. Goodwill, as an intangible asset, is generally amortizable over a longer period of time or under a less accelerated method than certain of our tangible assets. We cannot assure any</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9" w:name="page40"/>
    <w:bookmarkEnd w:id="39"/>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right="1479"/>
        <w:spacing w:after="0" w:line="249" w:lineRule="auto"/>
        <w:rPr>
          <w:sz w:val="20"/>
          <w:szCs w:val="20"/>
          <w:color w:val="auto"/>
        </w:rPr>
      </w:pPr>
      <w:r>
        <w:rPr>
          <w:rFonts w:ascii="Times New Roman" w:cs="Times New Roman" w:eastAsia="Times New Roman" w:hAnsi="Times New Roman"/>
          <w:sz w:val="14"/>
          <w:szCs w:val="14"/>
          <w:color w:val="auto"/>
        </w:rPr>
        <w:t>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4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Tax Treatment of Operations</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Accounting Method and Taxable Year</w:t>
      </w:r>
    </w:p>
    <w:p>
      <w:pPr>
        <w:spacing w:after="0" w:line="127" w:lineRule="exact"/>
        <w:rPr>
          <w:sz w:val="20"/>
          <w:szCs w:val="20"/>
          <w:color w:val="auto"/>
        </w:rPr>
      </w:pPr>
    </w:p>
    <w:p>
      <w:pPr>
        <w:ind w:left="1280" w:right="1359" w:firstLine="282"/>
        <w:spacing w:after="0" w:line="246" w:lineRule="auto"/>
        <w:rPr>
          <w:sz w:val="20"/>
          <w:szCs w:val="20"/>
          <w:color w:val="auto"/>
        </w:rPr>
      </w:pPr>
      <w:r>
        <w:rPr>
          <w:rFonts w:ascii="Times New Roman" w:cs="Times New Roman" w:eastAsia="Times New Roman" w:hAnsi="Times New Roman"/>
          <w:sz w:val="14"/>
          <w:szCs w:val="14"/>
          <w:color w:val="auto"/>
        </w:rPr>
        <w:t>We will use the year ending December 31 as our taxable year and the accrual method of accounting for federal income tax purposes. Each unitholder will be required to include in its tax return its share of our income, gain, loss and deduction for each taxable year ending within or with its taxable year. In addition, a unitholder who has a taxable year ending on a date other than December 31 and who disposes of all of</w:t>
      </w:r>
    </w:p>
    <w:p>
      <w:pPr>
        <w:spacing w:after="0" w:line="2" w:lineRule="exact"/>
        <w:rPr>
          <w:sz w:val="20"/>
          <w:szCs w:val="20"/>
          <w:color w:val="auto"/>
        </w:rPr>
      </w:pPr>
    </w:p>
    <w:p>
      <w:pPr>
        <w:ind w:left="1280" w:right="1319"/>
        <w:spacing w:after="0" w:line="245" w:lineRule="auto"/>
        <w:rPr>
          <w:sz w:val="20"/>
          <w:szCs w:val="20"/>
          <w:color w:val="auto"/>
        </w:rPr>
      </w:pPr>
      <w:r>
        <w:rPr>
          <w:rFonts w:ascii="Times New Roman" w:cs="Times New Roman" w:eastAsia="Times New Roman" w:hAnsi="Times New Roman"/>
          <w:sz w:val="14"/>
          <w:szCs w:val="14"/>
          <w:color w:val="auto"/>
        </w:rPr>
        <w:t>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twelve months of our income, gain, loss and deduction. Please read “— Disposition of Units — Allocations Between Transferors and Transferees.”</w:t>
      </w:r>
    </w:p>
    <w:p>
      <w:pPr>
        <w:spacing w:after="0" w:line="15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Tax Basis, Depreciation and Amortization</w:t>
      </w:r>
    </w:p>
    <w:p>
      <w:pPr>
        <w:spacing w:after="0" w:line="116" w:lineRule="exact"/>
        <w:rPr>
          <w:sz w:val="20"/>
          <w:szCs w:val="20"/>
          <w:color w:val="auto"/>
        </w:rPr>
      </w:pPr>
    </w:p>
    <w:p>
      <w:pPr>
        <w:ind w:left="1280" w:right="1379" w:firstLine="282"/>
        <w:spacing w:after="0" w:line="247" w:lineRule="auto"/>
        <w:rPr>
          <w:sz w:val="20"/>
          <w:szCs w:val="20"/>
          <w:color w:val="auto"/>
        </w:rPr>
      </w:pPr>
      <w:r>
        <w:rPr>
          <w:rFonts w:ascii="Times New Roman" w:cs="Times New Roman" w:eastAsia="Times New Roman" w:hAnsi="Times New Roman"/>
          <w:sz w:val="14"/>
          <w:szCs w:val="14"/>
          <w:color w:val="auto"/>
        </w:rPr>
        <w:t>The tax basis of each of our assets will be used for purposes of computing depreciation and cost recovery deductions and, ultimately, gain or loss on the disposition of these assets. If we dispose of depreciable property by sale, foreclosure or otherwise, all or a portion of any gain, determined by reference to the amount of depreciation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 Tax Consequences of Unit Ownership — Allocation of Income, Gain, Loss and Deduction” and “— Disposition of Units —  Recognition of Gain or Loss.”</w:t>
      </w:r>
    </w:p>
    <w:p>
      <w:pPr>
        <w:spacing w:after="0" w:line="252" w:lineRule="exact"/>
        <w:rPr>
          <w:sz w:val="20"/>
          <w:szCs w:val="20"/>
          <w:color w:val="auto"/>
        </w:rPr>
      </w:pPr>
    </w:p>
    <w:p>
      <w:pPr>
        <w:ind w:left="1280" w:right="1339" w:firstLine="282"/>
        <w:spacing w:after="0" w:line="247" w:lineRule="auto"/>
        <w:rPr>
          <w:sz w:val="20"/>
          <w:szCs w:val="20"/>
          <w:color w:val="auto"/>
        </w:rPr>
      </w:pPr>
      <w:r>
        <w:rPr>
          <w:rFonts w:ascii="Times New Roman" w:cs="Times New Roman" w:eastAsia="Times New Roman" w:hAnsi="Times New Roman"/>
          <w:sz w:val="14"/>
          <w:szCs w:val="14"/>
          <w:color w:val="auto"/>
        </w:rPr>
        <w:t>The costs we incur in offering and selling our units (called “syndication expenses”) must be capitalized and cannot be deducted currently, ratably or upon our termination. While there are uncertainties regarding the classification of certain costs as organization expenses, which may be amortized by us, and as syndication expenses, which may not be amortized by us, the underwriting discounts and commissions we incur will be treated as syndication expenses. Please read “— Disposition of Units — Recognition of Gain or Loss.”</w:t>
      </w:r>
    </w:p>
    <w:p>
      <w:pPr>
        <w:spacing w:after="0" w:line="252" w:lineRule="exact"/>
        <w:rPr>
          <w:sz w:val="20"/>
          <w:szCs w:val="20"/>
          <w:color w:val="auto"/>
        </w:rPr>
      </w:pPr>
    </w:p>
    <w:p>
      <w:pPr>
        <w:ind w:left="1280" w:right="1319" w:firstLine="282"/>
        <w:spacing w:after="0" w:line="247" w:lineRule="auto"/>
        <w:rPr>
          <w:sz w:val="20"/>
          <w:szCs w:val="20"/>
          <w:color w:val="auto"/>
        </w:rPr>
      </w:pPr>
      <w:r>
        <w:rPr>
          <w:rFonts w:ascii="Times New Roman" w:cs="Times New Roman" w:eastAsia="Times New Roman" w:hAnsi="Times New Roman"/>
          <w:sz w:val="14"/>
          <w:szCs w:val="14"/>
          <w:color w:val="auto"/>
        </w:rPr>
        <w:t>We are allowed a first-year bonus depreciation deduction equal to 60% of the adjusted basis of certain depreciable property acquired and placed in service in 2024. For property placed in service during subsequent years, the deduction is phased down by 20% per year until December 31, 2026. This depreciation deduction applies to both new and used property. However, use of the deduction with respect to used property is subject to certain anti-abuse restrictions, including the requirement that the property be acquired from an unrelated party. We can elect to forgo the depreciation bonus and use the alternative depreciation system for any class of property for a taxable year.</w:t>
      </w:r>
    </w:p>
    <w:p>
      <w:pPr>
        <w:spacing w:after="0" w:line="15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Valuation and Tax Basis of Each of Our Properties</w:t>
      </w:r>
    </w:p>
    <w:p>
      <w:pPr>
        <w:spacing w:after="0" w:line="116" w:lineRule="exact"/>
        <w:rPr>
          <w:sz w:val="20"/>
          <w:szCs w:val="20"/>
          <w:color w:val="auto"/>
        </w:rPr>
      </w:pPr>
    </w:p>
    <w:p>
      <w:pPr>
        <w:ind w:left="1280" w:right="1339" w:firstLine="282"/>
        <w:spacing w:after="0" w:line="248" w:lineRule="auto"/>
        <w:rPr>
          <w:sz w:val="20"/>
          <w:szCs w:val="20"/>
          <w:color w:val="auto"/>
        </w:rPr>
      </w:pPr>
      <w:r>
        <w:rPr>
          <w:rFonts w:ascii="Times New Roman" w:cs="Times New Roman" w:eastAsia="Times New Roman" w:hAnsi="Times New Roman"/>
          <w:sz w:val="14"/>
          <w:szCs w:val="14"/>
          <w:color w:val="auto"/>
        </w:rPr>
        <w:t>The federal income tax consequences of the ownership and disposition of units will depend in part on our estimates of the relative fair market values and the tax basis of each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tax basis are later found to be incorrect, the character and amount of items of income, gain, loss or deduction previously reported by a unitholder could change, and such unitholder could be required to adjust its tax liability for prior years and incur interest and penalties with respect to those adjustments.</w:t>
      </w: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0" w:name="page41"/>
    <w:bookmarkEnd w:id="40"/>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Disposition of Units</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Recognition of Gain or Loss</w:t>
      </w:r>
    </w:p>
    <w:p>
      <w:pPr>
        <w:spacing w:after="0" w:line="127" w:lineRule="exact"/>
        <w:rPr>
          <w:sz w:val="20"/>
          <w:szCs w:val="20"/>
          <w:color w:val="auto"/>
        </w:rPr>
      </w:pPr>
    </w:p>
    <w:p>
      <w:pPr>
        <w:ind w:left="1280" w:right="1319" w:firstLine="282"/>
        <w:spacing w:after="0" w:line="246" w:lineRule="auto"/>
        <w:rPr>
          <w:sz w:val="20"/>
          <w:szCs w:val="20"/>
          <w:color w:val="auto"/>
        </w:rPr>
      </w:pPr>
      <w:r>
        <w:rPr>
          <w:rFonts w:ascii="Times New Roman" w:cs="Times New Roman" w:eastAsia="Times New Roman" w:hAnsi="Times New Roman"/>
          <w:sz w:val="14"/>
          <w:szCs w:val="14"/>
          <w:color w:val="auto"/>
        </w:rPr>
        <w:t>A unitholder will be required to recognize gain or loss on a sale or exchange of a unit equal to the difference, if any, between the unitholder’s amount realized and the adjusted tax basis in the unit sold (taking into account any basis adjustments attributable to previously disallowed interest deductions). A unitholder’s amount realized generally will equal the sum of the cash and the fair market value of other property it receives plus its share of our nonrecourse liabilities with respect to the unit sold or exchanged. Because the amount realized includes a unitholder’s share of our nonrecourse liabilities, the gain recognized on the sale or exchange of a unit could result in a tax liability in excess of any cash received from such sale or exchange.</w:t>
      </w:r>
    </w:p>
    <w:p>
      <w:pPr>
        <w:spacing w:after="0" w:line="253" w:lineRule="exact"/>
        <w:rPr>
          <w:sz w:val="20"/>
          <w:szCs w:val="20"/>
          <w:color w:val="auto"/>
        </w:rPr>
      </w:pPr>
    </w:p>
    <w:p>
      <w:pPr>
        <w:ind w:left="1280" w:right="1299" w:firstLine="282"/>
        <w:spacing w:after="0" w:line="256" w:lineRule="auto"/>
        <w:rPr>
          <w:sz w:val="20"/>
          <w:szCs w:val="20"/>
          <w:color w:val="auto"/>
        </w:rPr>
      </w:pPr>
      <w:r>
        <w:rPr>
          <w:rFonts w:ascii="Times New Roman" w:cs="Times New Roman" w:eastAsia="Times New Roman" w:hAnsi="Times New Roman"/>
          <w:sz w:val="14"/>
          <w:szCs w:val="14"/>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recapture and our “inventory items,” regardless of whether such inventory item has substantially appreciated in value. Ordinary income attributable to Section 751 Assets may exceed net taxable gain realized on the sale or exchange of a unit and may be recognized even if there is a net taxable loss realized on the sale or exchange of a unit. Thus, a unitholder may recognize both ordinary income and capital gain or loss upon a sale or exchange of a unit. Net capital loss may offset capital gains and, in the case of individuals, up to $3,000 of ordinary income per year.</w:t>
      </w:r>
    </w:p>
    <w:p>
      <w:pPr>
        <w:spacing w:after="0" w:line="265" w:lineRule="exact"/>
        <w:rPr>
          <w:sz w:val="20"/>
          <w:szCs w:val="20"/>
          <w:color w:val="auto"/>
        </w:rPr>
      </w:pPr>
    </w:p>
    <w:p>
      <w:pPr>
        <w:ind w:left="1280" w:right="1299" w:firstLine="282"/>
        <w:spacing w:after="0" w:line="257" w:lineRule="auto"/>
        <w:rPr>
          <w:sz w:val="20"/>
          <w:szCs w:val="20"/>
          <w:color w:val="auto"/>
        </w:rPr>
      </w:pPr>
      <w:r>
        <w:rPr>
          <w:rFonts w:ascii="Times New Roman" w:cs="Times New Roman" w:eastAsia="Times New Roman" w:hAnsi="Times New Roman"/>
          <w:sz w:val="14"/>
          <w:szCs w:val="14"/>
          <w:color w:val="auto"/>
        </w:rPr>
        <w:t>For purposes of calculating gain or loss on the sale or exchange of a unit, the unitholder’s adjusted tax basis will be adjusted by its allocable share of our income or loss in respect of its unit for the year of the sale. Furthermore, as described above, 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262" w:lineRule="exact"/>
        <w:rPr>
          <w:sz w:val="20"/>
          <w:szCs w:val="20"/>
          <w:color w:val="auto"/>
        </w:rPr>
      </w:pPr>
    </w:p>
    <w:p>
      <w:pPr>
        <w:ind w:left="1280" w:right="1339" w:firstLine="282"/>
        <w:spacing w:after="0" w:line="255" w:lineRule="auto"/>
        <w:rPr>
          <w:sz w:val="20"/>
          <w:szCs w:val="20"/>
          <w:color w:val="auto"/>
        </w:rPr>
      </w:pPr>
      <w:r>
        <w:rPr>
          <w:rFonts w:ascii="Times New Roman" w:cs="Times New Roman" w:eastAsia="Times New Roman" w:hAnsi="Times New Roman"/>
          <w:sz w:val="14"/>
          <w:szCs w:val="14"/>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in the paragraph above, a unitholder will be unable to select high or low basis units to sell or exchange as would be the case with corporate stock, but, according to the Treasury Regulations, such unitholder may designate specific units sold for purposes of determining the holding period of the units transferred. A unitholder electing to use the actual holding period of any unit transferred must consistently use that identification method for all subsequent sales or exchanges of</w:t>
      </w:r>
    </w:p>
    <w:p>
      <w:pPr>
        <w:spacing w:after="0" w:line="3" w:lineRule="exact"/>
        <w:rPr>
          <w:sz w:val="20"/>
          <w:szCs w:val="20"/>
          <w:color w:val="auto"/>
        </w:rPr>
      </w:pPr>
    </w:p>
    <w:p>
      <w:pPr>
        <w:jc w:val="both"/>
        <w:ind w:left="1280" w:right="1339"/>
        <w:spacing w:after="0" w:line="258" w:lineRule="auto"/>
        <w:rPr>
          <w:sz w:val="20"/>
          <w:szCs w:val="20"/>
          <w:color w:val="auto"/>
        </w:rPr>
      </w:pPr>
      <w:r>
        <w:rPr>
          <w:rFonts w:ascii="Times New Roman" w:cs="Times New Roman" w:eastAsia="Times New Roman" w:hAnsi="Times New Roman"/>
          <w:sz w:val="14"/>
          <w:szCs w:val="14"/>
          <w:color w:val="auto"/>
        </w:rPr>
        <w:t>our units. A unitholder considering the purchase of additional units or a sale or exchange of units purchased in separate transactions is urged to consult its tax advisor as to the possible consequences of this ruling and application of the Treasury Regulations.</w:t>
      </w:r>
    </w:p>
    <w:p>
      <w:pPr>
        <w:spacing w:after="0" w:line="81" w:lineRule="exact"/>
        <w:rPr>
          <w:sz w:val="20"/>
          <w:szCs w:val="20"/>
          <w:color w:val="auto"/>
        </w:rPr>
      </w:pPr>
    </w:p>
    <w:p>
      <w:pPr>
        <w:ind w:left="1280" w:right="1299" w:firstLine="282"/>
        <w:spacing w:after="0" w:line="263" w:lineRule="auto"/>
        <w:rPr>
          <w:sz w:val="20"/>
          <w:szCs w:val="20"/>
          <w:color w:val="auto"/>
        </w:rPr>
      </w:pPr>
      <w:r>
        <w:rPr>
          <w:rFonts w:ascii="Times New Roman" w:cs="Times New Roman" w:eastAsia="Times New Roman" w:hAnsi="Times New Roman"/>
          <w:sz w:val="14"/>
          <w:szCs w:val="14"/>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57" w:lineRule="exact"/>
        <w:rPr>
          <w:sz w:val="20"/>
          <w:szCs w:val="20"/>
          <w:color w:val="auto"/>
        </w:rPr>
      </w:pPr>
    </w:p>
    <w:p>
      <w:pPr>
        <w:ind w:left="1700" w:hanging="133"/>
        <w:spacing w:after="0"/>
        <w:tabs>
          <w:tab w:leader="none" w:pos="17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short sale;</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offsetting notional principal contract; or</w:t>
      </w:r>
    </w:p>
    <w:p>
      <w:pPr>
        <w:spacing w:after="0" w:line="93" w:lineRule="exact"/>
        <w:rPr>
          <w:rFonts w:ascii="Times New Roman" w:cs="Times New Roman" w:eastAsia="Times New Roman" w:hAnsi="Times New Roman"/>
          <w:sz w:val="14"/>
          <w:szCs w:val="14"/>
          <w:color w:val="auto"/>
        </w:rPr>
      </w:pPr>
    </w:p>
    <w:p>
      <w:pPr>
        <w:ind w:left="1700" w:right="1799" w:hanging="133"/>
        <w:spacing w:after="0" w:line="286" w:lineRule="auto"/>
        <w:tabs>
          <w:tab w:leader="none" w:pos="17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futures or forward contract with respect to the partnership interest or substantially identical property.</w:t>
      </w:r>
    </w:p>
    <w:p>
      <w:pPr>
        <w:spacing w:after="0" w:line="72" w:lineRule="exact"/>
        <w:rPr>
          <w:sz w:val="20"/>
          <w:szCs w:val="20"/>
          <w:color w:val="auto"/>
        </w:rPr>
      </w:pPr>
    </w:p>
    <w:p>
      <w:pPr>
        <w:ind w:left="1280" w:right="1799" w:firstLine="282"/>
        <w:spacing w:after="0" w:line="286" w:lineRule="auto"/>
        <w:rPr>
          <w:sz w:val="20"/>
          <w:szCs w:val="20"/>
          <w:color w:val="auto"/>
        </w:rPr>
      </w:pPr>
      <w:r>
        <w:rPr>
          <w:rFonts w:ascii="Times New Roman" w:cs="Times New Roman" w:eastAsia="Times New Roman" w:hAnsi="Times New Roman"/>
          <w:sz w:val="14"/>
          <w:szCs w:val="14"/>
          <w:color w:val="auto"/>
        </w:rPr>
        <w:t>Moreover, if a taxpayer has previously entered into a short sale, an offsetting notional principal contract or a futures or forward contract with respect to the partnership interest, the taxpayer will be</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1" w:name="page42"/>
    <w:bookmarkEnd w:id="41"/>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right="1319"/>
        <w:spacing w:after="0" w:line="253" w:lineRule="auto"/>
        <w:rPr>
          <w:sz w:val="20"/>
          <w:szCs w:val="20"/>
          <w:color w:val="auto"/>
        </w:rPr>
      </w:pPr>
      <w:r>
        <w:rPr>
          <w:rFonts w:ascii="Times New Roman" w:cs="Times New Roman" w:eastAsia="Times New Roman" w:hAnsi="Times New Roman"/>
          <w:sz w:val="14"/>
          <w:szCs w:val="14"/>
          <w:color w:val="auto"/>
        </w:rPr>
        <w:t>treated as having sold that position if the taxpayer or a related person then acquires the partnership interest or substantially identical property. The Secretary of the Treasury is authorized to issue Treasury Regulations that treat a taxpayer that enters into transactions or positions that have substantially the same effect as the preceding transactions as having constructively sold the financial position. Please read “— Tax Consequences of Unit Ownership — Treatment of Securities Loans.”</w:t>
      </w:r>
    </w:p>
    <w:p>
      <w:pPr>
        <w:spacing w:after="0" w:line="1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Allocations Between Transferors and Transferees</w:t>
      </w:r>
    </w:p>
    <w:p>
      <w:pPr>
        <w:spacing w:after="0" w:line="127" w:lineRule="exact"/>
        <w:rPr>
          <w:sz w:val="20"/>
          <w:szCs w:val="20"/>
          <w:color w:val="auto"/>
        </w:rPr>
      </w:pPr>
    </w:p>
    <w:p>
      <w:pPr>
        <w:ind w:left="1280" w:right="1339" w:firstLine="282"/>
        <w:spacing w:after="0" w:line="245" w:lineRule="auto"/>
        <w:rPr>
          <w:sz w:val="20"/>
          <w:szCs w:val="20"/>
          <w:color w:val="auto"/>
        </w:rPr>
      </w:pPr>
      <w:r>
        <w:rPr>
          <w:rFonts w:ascii="Times New Roman" w:cs="Times New Roman" w:eastAsia="Times New Roman" w:hAnsi="Times New Roman"/>
          <w:sz w:val="14"/>
          <w:szCs w:val="14"/>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Nevertheless, we allocate certain deductions for depreciation of capital additions based upon the date the underlying property is placed in service, and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88" w:lineRule="exact"/>
        <w:rPr>
          <w:sz w:val="20"/>
          <w:szCs w:val="20"/>
          <w:color w:val="auto"/>
        </w:rPr>
      </w:pPr>
    </w:p>
    <w:p>
      <w:pPr>
        <w:ind w:left="1280" w:right="1319" w:firstLine="282"/>
        <w:spacing w:after="0" w:line="247" w:lineRule="auto"/>
        <w:rPr>
          <w:sz w:val="20"/>
          <w:szCs w:val="20"/>
          <w:color w:val="auto"/>
        </w:rPr>
      </w:pPr>
      <w:r>
        <w:rPr>
          <w:rFonts w:ascii="Times New Roman" w:cs="Times New Roman" w:eastAsia="Times New Roman" w:hAnsi="Times New Roman"/>
          <w:sz w:val="14"/>
          <w:szCs w:val="14"/>
          <w:color w:val="auto"/>
        </w:rPr>
        <w:t>Although simplifying conventions are contemplated by the Code and most publicly traded partnerships use similar simplifying conventions, existing Treasury Regulations do not specifically authorize the use of the proration method we have adopted. Accordingly, Vinson &amp; Elkins L.L.P. is unable to opine on the validity of this method of allocating income and deductions between transferee and transferor unitholders. If the IRS determines that this method is not allowed under the Treasury Regulations our taxable income or losses could be reallocated among our unitholders. Under our partnership agreement, we are authorized to revise our method of allocation between transferee and transferor unitholders, as well as among unitholders whose interests vary during a taxable year, to conform to a method permitted under the Treasury Regulations.</w:t>
      </w:r>
    </w:p>
    <w:p>
      <w:pPr>
        <w:spacing w:after="0" w:line="252" w:lineRule="exact"/>
        <w:rPr>
          <w:sz w:val="20"/>
          <w:szCs w:val="20"/>
          <w:color w:val="auto"/>
        </w:rPr>
      </w:pPr>
    </w:p>
    <w:p>
      <w:pPr>
        <w:ind w:left="1280" w:right="1299" w:firstLine="282"/>
        <w:spacing w:after="0" w:line="253" w:lineRule="auto"/>
        <w:rPr>
          <w:sz w:val="20"/>
          <w:szCs w:val="20"/>
          <w:color w:val="auto"/>
        </w:rPr>
      </w:pPr>
      <w:r>
        <w:rPr>
          <w:rFonts w:ascii="Times New Roman" w:cs="Times New Roman" w:eastAsia="Times New Roman" w:hAnsi="Times New Roman"/>
          <w:sz w:val="14"/>
          <w:szCs w:val="14"/>
          <w:color w:val="auto"/>
        </w:rPr>
        <w:t>A unitholder who disposes of units prior to the record date set for a cash distribution for that quarter will be allocated items of our income, gain, loss and deduction attributable to the month of disposition (and any other month during the quarter to which such cash distribution relates and the holder held common units on the first day of such month) but will not be entitled to receive a cash distribution for that period.</w:t>
      </w:r>
    </w:p>
    <w:p>
      <w:pPr>
        <w:spacing w:after="0" w:line="13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Notification Requirements</w:t>
      </w:r>
    </w:p>
    <w:p>
      <w:pPr>
        <w:spacing w:after="0" w:line="127" w:lineRule="exact"/>
        <w:rPr>
          <w:sz w:val="20"/>
          <w:szCs w:val="20"/>
          <w:color w:val="auto"/>
        </w:rPr>
      </w:pPr>
    </w:p>
    <w:p>
      <w:pPr>
        <w:ind w:left="1280" w:right="1359" w:firstLine="282"/>
        <w:spacing w:after="0" w:line="247" w:lineRule="auto"/>
        <w:rPr>
          <w:sz w:val="20"/>
          <w:szCs w:val="20"/>
          <w:color w:val="auto"/>
        </w:rPr>
      </w:pPr>
      <w:r>
        <w:rPr>
          <w:rFonts w:ascii="Times New Roman" w:cs="Times New Roman" w:eastAsia="Times New Roman" w:hAnsi="Times New Roman"/>
          <w:sz w:val="14"/>
          <w:szCs w:val="14"/>
          <w:color w:val="auto"/>
        </w:rPr>
        <w:t>A unitholder who sells or exchanges any of its units is generally required to notify us in writing of that transaction within 30 days after the transaction (or, if earlier, January 15 of the year following the transaction in the case of a seller). Upon receiving such notifications, we are required to notify the IRS of the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1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Uniformity of Units</w:t>
      </w:r>
    </w:p>
    <w:p>
      <w:pPr>
        <w:spacing w:after="0" w:line="127" w:lineRule="exact"/>
        <w:rPr>
          <w:sz w:val="20"/>
          <w:szCs w:val="20"/>
          <w:color w:val="auto"/>
        </w:rPr>
      </w:pPr>
    </w:p>
    <w:p>
      <w:pPr>
        <w:jc w:val="both"/>
        <w:ind w:left="1280" w:right="1419" w:firstLine="282"/>
        <w:spacing w:after="0" w:line="249" w:lineRule="auto"/>
        <w:rPr>
          <w:sz w:val="20"/>
          <w:szCs w:val="20"/>
          <w:color w:val="auto"/>
        </w:rPr>
      </w:pPr>
      <w:r>
        <w:rPr>
          <w:rFonts w:ascii="Times New Roman" w:cs="Times New Roman" w:eastAsia="Times New Roman" w:hAnsi="Times New Roman"/>
          <w:sz w:val="14"/>
          <w:szCs w:val="14"/>
          <w:color w:val="auto"/>
        </w:rPr>
        <w:t>Because we cannot match transferors and transferees of units and for other reasons, we must maintain uniformity of the economic and tax characteristics of the units to a purchaser of these units. As a result of the need to preserve uniformity, we may be unable to completely comply with a number of federal income tax requirements. Any non-uniformity could have a negative impact on the value of our units. Please read “— Tax Consequences of Unit Ownership — Section 754 Election.”</w:t>
      </w:r>
    </w:p>
    <w:p>
      <w:pPr>
        <w:spacing w:after="0" w:line="86" w:lineRule="exact"/>
        <w:rPr>
          <w:sz w:val="20"/>
          <w:szCs w:val="20"/>
          <w:color w:val="auto"/>
        </w:rPr>
      </w:pPr>
    </w:p>
    <w:p>
      <w:pPr>
        <w:ind w:left="1280" w:right="1339" w:firstLine="282"/>
        <w:spacing w:after="0" w:line="249" w:lineRule="auto"/>
        <w:rPr>
          <w:sz w:val="20"/>
          <w:szCs w:val="20"/>
          <w:color w:val="auto"/>
        </w:rPr>
      </w:pPr>
      <w:r>
        <w:rPr>
          <w:rFonts w:ascii="Times New Roman" w:cs="Times New Roman" w:eastAsia="Times New Roman" w:hAnsi="Times New Roman"/>
          <w:sz w:val="14"/>
          <w:szCs w:val="14"/>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the validity of such filing positions.</w:t>
      </w:r>
    </w:p>
    <w:p>
      <w:pPr>
        <w:spacing w:after="0" w:line="86" w:lineRule="exact"/>
        <w:rPr>
          <w:sz w:val="20"/>
          <w:szCs w:val="20"/>
          <w:color w:val="auto"/>
        </w:rPr>
      </w:pPr>
    </w:p>
    <w:p>
      <w:pPr>
        <w:ind w:left="1280" w:right="1339" w:firstLine="282"/>
        <w:spacing w:after="0" w:line="286" w:lineRule="auto"/>
        <w:rPr>
          <w:sz w:val="20"/>
          <w:szCs w:val="20"/>
          <w:color w:val="auto"/>
        </w:rPr>
      </w:pPr>
      <w:r>
        <w:rPr>
          <w:rFonts w:ascii="Times New Roman" w:cs="Times New Roman" w:eastAsia="Times New Roman" w:hAnsi="Times New Roman"/>
          <w:sz w:val="14"/>
          <w:szCs w:val="14"/>
          <w:color w:val="auto"/>
        </w:rPr>
        <w:t>A unitholder’s adjusted tax basis in units is reduced by its share of our deductions (whether or not such deductions were claimed on an individual income tax return) so that any position that we take that</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2" w:name="page43"/>
    <w:bookmarkEnd w:id="42"/>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right="1359"/>
        <w:spacing w:after="0" w:line="247" w:lineRule="auto"/>
        <w:rPr>
          <w:sz w:val="20"/>
          <w:szCs w:val="20"/>
          <w:color w:val="auto"/>
        </w:rPr>
      </w:pPr>
      <w:r>
        <w:rPr>
          <w:rFonts w:ascii="Times New Roman" w:cs="Times New Roman" w:eastAsia="Times New Roman" w:hAnsi="Times New Roman"/>
          <w:sz w:val="14"/>
          <w:szCs w:val="14"/>
          <w:color w:val="auto"/>
        </w:rPr>
        <w:t>understates deductions will overstate the unitholder’s basis in its units, and may cause the unitholder to understate gain or overstate loss on any sale of such units. Please read “— Disposition of Units —  Recognition of Gain or Loss” and “— Tax Consequences of Unit Ownership — Section 754 Election” above. The IRS may challenge one or more of any positions we take to preserve the uniformity of our units. If such a challenge were sustained, the uniformity of units might be affected, and, under some circumstances, the gain from any sale of our units might be increased without the benefit of additional deductions.</w:t>
      </w:r>
    </w:p>
    <w:p>
      <w:pPr>
        <w:spacing w:after="0" w:line="256" w:lineRule="exact"/>
        <w:rPr>
          <w:sz w:val="20"/>
          <w:szCs w:val="20"/>
          <w:color w:val="auto"/>
        </w:rPr>
      </w:pPr>
    </w:p>
    <w:p>
      <w:pPr>
        <w:jc w:val="both"/>
        <w:ind w:left="1280" w:right="1359" w:firstLine="282"/>
        <w:spacing w:after="0" w:line="250" w:lineRule="auto"/>
        <w:rPr>
          <w:sz w:val="20"/>
          <w:szCs w:val="20"/>
          <w:color w:val="auto"/>
        </w:rPr>
      </w:pPr>
      <w:r>
        <w:rPr>
          <w:rFonts w:ascii="Times New Roman" w:cs="Times New Roman" w:eastAsia="Times New Roman" w:hAnsi="Times New Roman"/>
          <w:sz w:val="14"/>
          <w:szCs w:val="14"/>
          <w:color w:val="auto"/>
        </w:rPr>
        <w:t>In addition, as described above at “— Tax Consequences of Unit Ownership — Allocation of Income, Gain, Loss and Deduction,” if we aggregate multiple issuances of units for purposes of making adjustments to “book” basis and related tax allocations, to ensure the uniformity of our units, we will treat each of</w:t>
      </w:r>
    </w:p>
    <w:p>
      <w:pPr>
        <w:jc w:val="both"/>
        <w:ind w:left="1280" w:right="1339"/>
        <w:spacing w:after="0" w:line="245" w:lineRule="auto"/>
        <w:rPr>
          <w:sz w:val="20"/>
          <w:szCs w:val="20"/>
          <w:color w:val="auto"/>
        </w:rPr>
      </w:pPr>
      <w:r>
        <w:rPr>
          <w:rFonts w:ascii="Times New Roman" w:cs="Times New Roman" w:eastAsia="Times New Roman" w:hAnsi="Times New Roman"/>
          <w:sz w:val="14"/>
          <w:szCs w:val="14"/>
          <w:color w:val="auto"/>
        </w:rPr>
        <w:t>our units as having the same capital account balance, regardless of the price actually paid by each purchaser of units in the aggregated offerings. Although our counsel, Vinson &amp; Elkins L.L.P., is unable to opine as to the validity of such an approach, we do not expect the number of affected units, or the differences between the purchase price of a unit and the initial capital account balance assigned to the unit, to be material.</w:t>
      </w:r>
    </w:p>
    <w:p>
      <w:pPr>
        <w:spacing w:after="0" w:line="15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Tax-Exempt Organizations and Other Investors</w:t>
      </w:r>
    </w:p>
    <w:p>
      <w:pPr>
        <w:spacing w:after="0" w:line="116" w:lineRule="exact"/>
        <w:rPr>
          <w:sz w:val="20"/>
          <w:szCs w:val="20"/>
          <w:color w:val="auto"/>
        </w:rPr>
      </w:pPr>
    </w:p>
    <w:p>
      <w:pPr>
        <w:jc w:val="both"/>
        <w:ind w:left="1280" w:right="1359" w:firstLine="282"/>
        <w:spacing w:after="0" w:line="253" w:lineRule="auto"/>
        <w:rPr>
          <w:sz w:val="20"/>
          <w:szCs w:val="20"/>
          <w:color w:val="auto"/>
        </w:rPr>
      </w:pPr>
      <w:r>
        <w:rPr>
          <w:rFonts w:ascii="Times New Roman" w:cs="Times New Roman" w:eastAsia="Times New Roman" w:hAnsi="Times New Roman"/>
          <w:sz w:val="14"/>
          <w:szCs w:val="14"/>
          <w:color w:val="auto"/>
        </w:rPr>
        <w:t>Ownership of our units by employee benefit plans and other tax-exempt organizations, as well as by non-resident alien individuals, non-U.S. corporations and other non-U.S. persons (collectively, “Non-U.S. Unitholders”) raises issues unique to those investors and, as described below, may have substantial adverse tax consequences to them. Each prospective unitholder that is a tax-exempt entity or a Non-U.S. Unitholder should consult its tax advisors before investing in our units.</w:t>
      </w:r>
    </w:p>
    <w:p>
      <w:pPr>
        <w:spacing w:after="0" w:line="83" w:lineRule="exact"/>
        <w:rPr>
          <w:sz w:val="20"/>
          <w:szCs w:val="20"/>
          <w:color w:val="auto"/>
        </w:rPr>
      </w:pPr>
    </w:p>
    <w:p>
      <w:pPr>
        <w:ind w:left="1280" w:right="1319" w:firstLine="282"/>
        <w:spacing w:after="0" w:line="244" w:lineRule="auto"/>
        <w:rPr>
          <w:sz w:val="20"/>
          <w:szCs w:val="20"/>
          <w:color w:val="auto"/>
        </w:rPr>
      </w:pPr>
      <w:r>
        <w:rPr>
          <w:rFonts w:ascii="Times New Roman" w:cs="Times New Roman" w:eastAsia="Times New Roman" w:hAnsi="Times New Roman"/>
          <w:sz w:val="14"/>
          <w:szCs w:val="14"/>
          <w:color w:val="auto"/>
        </w:rPr>
        <w:t>Employee benefit plans and most other tax-exempt organizations, including IRAs and other retirement plans, are subject to federal income tax on unrelated business taxable income. Virtually all of our income allocated to tax-exempt organizations will be unrelated business taxable income and will be taxable to a tax-exempt unitholder. Tax-exempt unitholders with more than one unrelated trade or business (including by attribution from the Partnership to the extent it is engaged in one or more unrelated trade or business) are required to separately compute their unrelated business taxable income with respect to each unrelated trade or business (including for purposes of determining any net operating loss deduction). As a result, it may not be possible for tax -exempt unitholders to utilize losses from an investment in the Partnership to offset unrelated business taxable income from another unrelated trade or business and vice versa. Additionally, all or part of any gain recognized by a tax exempt organization upon a sale or other disposition of our units may be unrelated business taxable income and may be taxable to them.</w:t>
      </w:r>
    </w:p>
    <w:p>
      <w:pPr>
        <w:spacing w:after="0" w:line="95" w:lineRule="exact"/>
        <w:rPr>
          <w:sz w:val="20"/>
          <w:szCs w:val="20"/>
          <w:color w:val="auto"/>
        </w:rPr>
      </w:pPr>
    </w:p>
    <w:p>
      <w:pPr>
        <w:jc w:val="both"/>
        <w:ind w:left="1280" w:right="1339" w:firstLine="282"/>
        <w:spacing w:after="0" w:line="249" w:lineRule="auto"/>
        <w:rPr>
          <w:sz w:val="20"/>
          <w:szCs w:val="20"/>
          <w:color w:val="auto"/>
        </w:rPr>
      </w:pPr>
      <w:r>
        <w:rPr>
          <w:rFonts w:ascii="Times New Roman" w:cs="Times New Roman" w:eastAsia="Times New Roman" w:hAnsi="Times New Roman"/>
          <w:sz w:val="14"/>
          <w:szCs w:val="14"/>
          <w:color w:val="auto"/>
        </w:rPr>
        <w:t>Non-U.S. Unitholders are taxed by the United States on income effectively connected with a U.S. trade or business (“effectively connected income”) and on certain types of U.S.-source non-effectively connected income (such as dividends), unless exempted or further limited by an income tax treaty. Each Non-U.S.</w:t>
      </w:r>
    </w:p>
    <w:p>
      <w:pPr>
        <w:ind w:left="1280" w:right="1319"/>
        <w:spacing w:after="0" w:line="242" w:lineRule="auto"/>
        <w:rPr>
          <w:sz w:val="20"/>
          <w:szCs w:val="20"/>
          <w:color w:val="auto"/>
        </w:rPr>
      </w:pPr>
      <w:r>
        <w:rPr>
          <w:rFonts w:ascii="Times New Roman" w:cs="Times New Roman" w:eastAsia="Times New Roman" w:hAnsi="Times New Roman"/>
          <w:sz w:val="14"/>
          <w:szCs w:val="14"/>
          <w:color w:val="auto"/>
        </w:rPr>
        <w:t>Unitholder will be considered to be engaged in business in the United States because of its ownership of our units. Furthermore, Non-U.S. Unitholders will be deemed to conduct such activities through a permanent establishment in the United States within the meaning of an applicable tax treaty. Consequently, each Non-U.S. Unitholder will be required to file federal tax returns to report its share of our income, gain, loss or deduction and pay federal income tax on its share of our net income or gain. Moreover, under rules applicable to publicly-traded partnerships, distributions to Non-U.S. Unitholders are subject to withholding at the highest applicable effective tax rate. In addition, distributions to non-U.S. persons will also be subject to a 10% withholding tax on the amount of any distribution in excess of our cumulative net income. As we do not compute our cumulative net income for such purposes due to the complexity of the calculation and lack of clarity in how it would apply to us, we intend to treat all of our distributions as being in excess of our cumulative net income for such purposes and subject to such 10% withholding tax. Accordingly, distributions to non-U.S. persons will be subject to a combined withholding tax rate equal to the sum of the highest applicable effective tax rate and 10%. Each Non-U.S. Unitholder must obtain a taxpayer identification number from the IRS and submit that number to our transfer agent on a Form W- 8BEN or W-8BEN-E (or other applicable or successor form) in order to obtain credit for these withholding taxes.</w:t>
      </w:r>
    </w:p>
    <w:p>
      <w:pPr>
        <w:spacing w:after="0" w:line="92" w:lineRule="exact"/>
        <w:rPr>
          <w:sz w:val="20"/>
          <w:szCs w:val="20"/>
          <w:color w:val="auto"/>
        </w:rPr>
      </w:pPr>
    </w:p>
    <w:p>
      <w:pPr>
        <w:ind w:left="1280" w:right="1419" w:firstLine="282"/>
        <w:spacing w:after="0" w:line="254" w:lineRule="auto"/>
        <w:rPr>
          <w:sz w:val="20"/>
          <w:szCs w:val="20"/>
          <w:color w:val="auto"/>
        </w:rPr>
      </w:pPr>
      <w:r>
        <w:rPr>
          <w:rFonts w:ascii="Times New Roman" w:cs="Times New Roman" w:eastAsia="Times New Roman" w:hAnsi="Times New Roman"/>
          <w:sz w:val="14"/>
          <w:szCs w:val="14"/>
          <w:color w:val="auto"/>
        </w:rPr>
        <w:t>In addition, if a Non-U.S. Unitholder is classified as a non-U.S. corporation, it will be treated as engaged in a United States trade or business and may be subject to the U.S. branch profits tax at a rate of 30%, in addition to regular federal income tax, on its share of our income and gain as adjusted for changes in the foreign corporation’s “U.S. net equity” to the extent reflected in the corporation’s earnings and profits.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3" w:name="page44"/>
    <w:bookmarkEnd w:id="43"/>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right="1339"/>
        <w:spacing w:after="0" w:line="261" w:lineRule="auto"/>
        <w:rPr>
          <w:sz w:val="20"/>
          <w:szCs w:val="20"/>
          <w:color w:val="auto"/>
        </w:rPr>
      </w:pPr>
      <w:r>
        <w:rPr>
          <w:rFonts w:ascii="Times New Roman" w:cs="Times New Roman" w:eastAsia="Times New Roman" w:hAnsi="Times New Roman"/>
          <w:sz w:val="14"/>
          <w:szCs w:val="14"/>
          <w:color w:val="auto"/>
        </w:rPr>
        <w:t>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78" w:lineRule="exact"/>
        <w:rPr>
          <w:sz w:val="20"/>
          <w:szCs w:val="20"/>
          <w:color w:val="auto"/>
        </w:rPr>
      </w:pPr>
    </w:p>
    <w:p>
      <w:pPr>
        <w:ind w:left="1280" w:right="1299" w:firstLine="282"/>
        <w:spacing w:after="0" w:line="244" w:lineRule="auto"/>
        <w:rPr>
          <w:sz w:val="20"/>
          <w:szCs w:val="20"/>
          <w:color w:val="auto"/>
        </w:rPr>
      </w:pPr>
      <w:r>
        <w:rPr>
          <w:rFonts w:ascii="Times New Roman" w:cs="Times New Roman" w:eastAsia="Times New Roman" w:hAnsi="Times New Roman"/>
          <w:sz w:val="14"/>
          <w:szCs w:val="14"/>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Gain realized by a Non-U.S. Unitholder from the sale of its interest in a partnership that is engaged in a trade or business in the United States will be considered to be “effectively connected” with a U.S. trade or business to the extent that gain that would be recognized upon a sale by the partnership of all of its assets would be “effectively connected” with a U.S. trade or business. Thus, a substantial portion of a Non-U.S. Unitholder’s gain from the sale or other disposition of our units would be treated as effectively connected with a unitholder’s indirect U.S. trade or business constituted by its investment in us and would be subject to federal income tax. As a result of the effectively connected income rules described above, the exclusion from U.S. taxation under the Foreign Investment in Real Property Tax Act for gain from the sale of partnership units regularly traded on an established securities market will not prevent a Non-U.S. Unitholder from being subject to federal income tax on gain from the sale or disposition of its units to the extent such gain is effectively connected with a U.S. trade or business. We expect a substantial portion of the gain from the sale or disposition of our units to be treated as effectively connected with a U.S. trade or business.</w:t>
      </w:r>
    </w:p>
    <w:p>
      <w:pPr>
        <w:spacing w:after="0" w:line="261" w:lineRule="exact"/>
        <w:rPr>
          <w:sz w:val="20"/>
          <w:szCs w:val="20"/>
          <w:color w:val="auto"/>
        </w:rPr>
      </w:pPr>
    </w:p>
    <w:p>
      <w:pPr>
        <w:ind w:left="1280" w:right="1459" w:firstLine="282"/>
        <w:spacing w:after="0" w:line="245" w:lineRule="auto"/>
        <w:rPr>
          <w:sz w:val="20"/>
          <w:szCs w:val="20"/>
          <w:color w:val="auto"/>
        </w:rPr>
      </w:pPr>
      <w:r>
        <w:rPr>
          <w:rFonts w:ascii="Times New Roman" w:cs="Times New Roman" w:eastAsia="Times New Roman" w:hAnsi="Times New Roman"/>
          <w:sz w:val="14"/>
          <w:szCs w:val="14"/>
          <w:color w:val="auto"/>
        </w:rPr>
        <w:t>Moreover,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the Treasury regulations provide that the “amount realized” on a transfer of an interest in a publicly traded partnership, such as our units, will generally be the amount of gross proceeds paid to the broker effecting the applicable transfer on behalf of the transferor, and thus will be determined without regard to any decrease in that partner’s share of a publicly traded partnership’s liabilities. For a transfer of interests in a publicly traded partnership that is effected through a broker, the obligation to withhold is imposed on the transferor’s broker. Current and prospective foreign unitholders should consult their tax advisors regarding the impact of these rules on an investment in our units.</w:t>
      </w:r>
    </w:p>
    <w:p>
      <w:pPr>
        <w:spacing w:after="0" w:line="30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Administrative Matters</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Information Returns and Audit Procedures</w:t>
      </w:r>
    </w:p>
    <w:p>
      <w:pPr>
        <w:spacing w:after="0" w:line="127" w:lineRule="exact"/>
        <w:rPr>
          <w:sz w:val="20"/>
          <w:szCs w:val="20"/>
          <w:color w:val="auto"/>
        </w:rPr>
      </w:pPr>
    </w:p>
    <w:p>
      <w:pPr>
        <w:ind w:left="1280" w:right="1319" w:firstLine="282"/>
        <w:spacing w:after="0" w:line="247" w:lineRule="auto"/>
        <w:rPr>
          <w:sz w:val="20"/>
          <w:szCs w:val="20"/>
          <w:color w:val="auto"/>
        </w:rPr>
      </w:pPr>
      <w:r>
        <w:rPr>
          <w:rFonts w:ascii="Times New Roman" w:cs="Times New Roman" w:eastAsia="Times New Roman" w:hAnsi="Times New Roman"/>
          <w:sz w:val="14"/>
          <w:szCs w:val="14"/>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90" w:lineRule="exact"/>
        <w:rPr>
          <w:sz w:val="20"/>
          <w:szCs w:val="20"/>
          <w:color w:val="auto"/>
        </w:rPr>
      </w:pPr>
    </w:p>
    <w:p>
      <w:pPr>
        <w:ind w:left="1280" w:right="1339" w:firstLine="282"/>
        <w:spacing w:after="0" w:line="249" w:lineRule="auto"/>
        <w:rPr>
          <w:sz w:val="20"/>
          <w:szCs w:val="20"/>
          <w:color w:val="auto"/>
        </w:rPr>
      </w:pPr>
      <w:r>
        <w:rPr>
          <w:rFonts w:ascii="Times New Roman" w:cs="Times New Roman" w:eastAsia="Times New Roman" w:hAnsi="Times New Roman"/>
          <w:sz w:val="14"/>
          <w:szCs w:val="14"/>
          <w:color w:val="auto"/>
        </w:rPr>
        <w:t>The IRS may audit our federal income tax information returns. Neither we nor Vinson &amp; Elkins L.L.P. can assure prospective unitholders that the IRS will not successfully challenge the positions we adopt, and such a challenge could adversely affect the value of our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86" w:lineRule="exact"/>
        <w:rPr>
          <w:sz w:val="20"/>
          <w:szCs w:val="20"/>
          <w:color w:val="auto"/>
        </w:rPr>
      </w:pPr>
    </w:p>
    <w:p>
      <w:pPr>
        <w:ind w:left="1280" w:right="1359" w:firstLine="282"/>
        <w:spacing w:after="0" w:line="253" w:lineRule="auto"/>
        <w:rPr>
          <w:sz w:val="20"/>
          <w:szCs w:val="20"/>
          <w:color w:val="auto"/>
        </w:rPr>
      </w:pPr>
      <w:r>
        <w:rPr>
          <w:rFonts w:ascii="Times New Roman" w:cs="Times New Roman" w:eastAsia="Times New Roman" w:hAnsi="Times New Roman"/>
          <w:sz w:val="14"/>
          <w:szCs w:val="14"/>
          <w:color w:val="auto"/>
        </w:rPr>
        <w:t>Publicly-traded partnerships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for each of the partners.</w:t>
      </w:r>
    </w:p>
    <w:p>
      <w:pPr>
        <w:spacing w:after="0" w:line="84" w:lineRule="exact"/>
        <w:rPr>
          <w:sz w:val="20"/>
          <w:szCs w:val="20"/>
          <w:color w:val="auto"/>
        </w:rPr>
      </w:pPr>
    </w:p>
    <w:p>
      <w:pPr>
        <w:ind w:left="1280" w:right="1519" w:firstLine="282"/>
        <w:spacing w:after="0" w:line="261" w:lineRule="auto"/>
        <w:rPr>
          <w:sz w:val="20"/>
          <w:szCs w:val="20"/>
          <w:color w:val="auto"/>
        </w:rPr>
      </w:pPr>
      <w:r>
        <w:rPr>
          <w:rFonts w:ascii="Times New Roman" w:cs="Times New Roman" w:eastAsia="Times New Roman" w:hAnsi="Times New Roman"/>
          <w:sz w:val="14"/>
          <w:szCs w:val="14"/>
          <w:color w:val="auto"/>
        </w:rPr>
        <w:t>If the IRS makes audit adjustments to our income tax returns, it may assess and collect any taxes (including any applicable penalties and interest) resulting from such audit adjustment directly from us, unless we elect to have our general partner, unitholders and former unitholders take any audit adjustment</w:t>
      </w: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4" w:name="page45"/>
    <w:bookmarkEnd w:id="44"/>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280" w:right="1339"/>
        <w:spacing w:after="0" w:line="263" w:lineRule="auto"/>
        <w:rPr>
          <w:sz w:val="20"/>
          <w:szCs w:val="20"/>
          <w:color w:val="auto"/>
        </w:rPr>
      </w:pPr>
      <w:r>
        <w:rPr>
          <w:rFonts w:ascii="Times New Roman" w:cs="Times New Roman" w:eastAsia="Times New Roman" w:hAnsi="Times New Roman"/>
          <w:sz w:val="14"/>
          <w:szCs w:val="14"/>
          <w:color w:val="auto"/>
        </w:rPr>
        <w:t>into account in accordance with their interests in us during the taxable year under audit. Similarly, for such taxable years, if the IRS makes audit adjustments to income tax returns filed by an entity in which we are a member or partner, it may assess and collect any taxes (including penalties and interest) resulting from such audit adjustment directly from such entity.</w:t>
      </w:r>
    </w:p>
    <w:p>
      <w:pPr>
        <w:spacing w:after="0" w:line="89" w:lineRule="exact"/>
        <w:rPr>
          <w:sz w:val="20"/>
          <w:szCs w:val="20"/>
          <w:color w:val="auto"/>
        </w:rPr>
      </w:pPr>
    </w:p>
    <w:p>
      <w:pPr>
        <w:ind w:left="1280" w:right="1339" w:firstLine="282"/>
        <w:spacing w:after="0" w:line="256" w:lineRule="auto"/>
        <w:rPr>
          <w:sz w:val="20"/>
          <w:szCs w:val="20"/>
          <w:color w:val="auto"/>
        </w:rPr>
      </w:pPr>
      <w:r>
        <w:rPr>
          <w:rFonts w:ascii="Times New Roman" w:cs="Times New Roman" w:eastAsia="Times New Roman" w:hAnsi="Times New Roman"/>
          <w:sz w:val="14"/>
          <w:szCs w:val="14"/>
          <w:color w:val="auto"/>
        </w:rPr>
        <w:t>Generally, we expect to elect to have our general partner, unitholders and former unitholders take any such audit adjustment into account in accordance with their interests in us during the taxable year under audit, but there can be no assurance that such election will be effective in all circumstances. If we are unable or if it is not economical to have our general partner, unitholders and former unitholders take such audit adjustment into account in accordance with their interests in us during the taxable year under audit, then our current unitholders may bear some or all of the tax liability resulting from such audit adjustment, even if such unitholders did not own our units during the taxable year under audit. If, as a result of any such audit adjustment, we are required to make payments of taxes, penalties or interest, our cash available for distribution to our unitholders might be substantially reduced.</w:t>
      </w:r>
    </w:p>
    <w:p>
      <w:pPr>
        <w:spacing w:after="0" w:line="96" w:lineRule="exact"/>
        <w:rPr>
          <w:sz w:val="20"/>
          <w:szCs w:val="20"/>
          <w:color w:val="auto"/>
        </w:rPr>
      </w:pPr>
    </w:p>
    <w:p>
      <w:pPr>
        <w:ind w:left="1280" w:right="1319" w:firstLine="282"/>
        <w:spacing w:after="0" w:line="258" w:lineRule="auto"/>
        <w:rPr>
          <w:sz w:val="20"/>
          <w:szCs w:val="20"/>
          <w:color w:val="auto"/>
        </w:rPr>
      </w:pPr>
      <w:r>
        <w:rPr>
          <w:rFonts w:ascii="Times New Roman" w:cs="Times New Roman" w:eastAsia="Times New Roman" w:hAnsi="Times New Roman"/>
          <w:sz w:val="14"/>
          <w:szCs w:val="14"/>
          <w:color w:val="auto"/>
        </w:rPr>
        <w:t>The Code requires us to designate a partner, or other person, with a substantial presence in the United States as the partnership representative (“Partnership Representative”). The Partnership Representative has the sole authority to act on our behalf for purposes of, among other things, federal income tax audits and judicial review of administrative adjustments by the IRS. We have designated our general partner as the Partnership Representative. Any actions taken by us or by the Partnership Representative on our behalf with respect to, among other things, federal income tax audits and judicial review of administrative adjustments by the IRS, will be binding on us and all of our unitholders.</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Additional Withholding Requirements</w:t>
      </w:r>
    </w:p>
    <w:p>
      <w:pPr>
        <w:spacing w:after="0" w:line="116" w:lineRule="exact"/>
        <w:rPr>
          <w:sz w:val="20"/>
          <w:szCs w:val="20"/>
          <w:color w:val="auto"/>
        </w:rPr>
      </w:pPr>
    </w:p>
    <w:p>
      <w:pPr>
        <w:ind w:left="1280" w:right="1359" w:firstLine="282"/>
        <w:spacing w:after="0" w:line="256" w:lineRule="auto"/>
        <w:rPr>
          <w:sz w:val="20"/>
          <w:szCs w:val="20"/>
          <w:color w:val="auto"/>
        </w:rPr>
      </w:pPr>
      <w:r>
        <w:rPr>
          <w:rFonts w:ascii="Times New Roman" w:cs="Times New Roman" w:eastAsia="Times New Roman" w:hAnsi="Times New Roman"/>
          <w:sz w:val="14"/>
          <w:szCs w:val="14"/>
          <w:color w:val="auto"/>
        </w:rPr>
        <w:t>Withholding taxes may apply to certain types of payments made to “foreign financial institutions” (as​ specially defined in the Code) and certain other non-U.S. entities. Specifically, a 30% withholding tax may be imposed on withholdable payments, including interest, dividends and other fixed or determinable annual or periodic gains, profits and income from sources within the United States (“FDAP Income”) paid to a foreign financial institution or to a “non-financial foreign entity” (as​ specially defined in the Code), unless</w:t>
      </w:r>
    </w:p>
    <w:p>
      <w:pPr>
        <w:spacing w:after="0" w:line="3" w:lineRule="exact"/>
        <w:rPr>
          <w:sz w:val="20"/>
          <w:szCs w:val="20"/>
          <w:color w:val="auto"/>
        </w:rPr>
      </w:pPr>
    </w:p>
    <w:p>
      <w:pPr>
        <w:ind w:left="1280" w:right="1339" w:firstLine="5"/>
        <w:spacing w:after="0" w:line="254" w:lineRule="auto"/>
        <w:tabs>
          <w:tab w:leader="none" w:pos="14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foreign financial institution undertakes certain diligence and reporting, (ii) the non-financial foreign entity either certifies it does not have any substantial U.S. owners or furnishes identifying information regarding each substantial U.S. owner or (iii) the foreign financial institution or non-financial foreign entity otherwise qualifies for an exemption from these rules. While withholdable payments would have originally included payments of gross proceeds from the sale or other disposition of any property of a type which could produce interest or dividends from sources within the United States (“Gross Proceeds”) on or after January 1, 2019, proposed Treasury Regulations provide that such payments of Gross Proceeds do not constitute withholdable payments. Taxpayers may rely generally on these proposed Treasury Regulations until they are revoked or final Treasury Regulations are issued.</w:t>
      </w:r>
    </w:p>
    <w:p>
      <w:pPr>
        <w:spacing w:after="0" w:line="94" w:lineRule="exact"/>
        <w:rPr>
          <w:sz w:val="20"/>
          <w:szCs w:val="20"/>
          <w:color w:val="auto"/>
        </w:rPr>
      </w:pPr>
    </w:p>
    <w:p>
      <w:pPr>
        <w:ind w:left="1280" w:right="1359" w:firstLine="282"/>
        <w:spacing w:after="0" w:line="258" w:lineRule="auto"/>
        <w:rPr>
          <w:sz w:val="20"/>
          <w:szCs w:val="20"/>
          <w:color w:val="auto"/>
        </w:rPr>
      </w:pPr>
      <w:r>
        <w:rPr>
          <w:rFonts w:ascii="Times New Roman" w:cs="Times New Roman" w:eastAsia="Times New Roman" w:hAnsi="Times New Roman"/>
          <w:sz w:val="14"/>
          <w:szCs w:val="14"/>
          <w:color w:val="auto"/>
        </w:rPr>
        <w:t>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U.S. persons or U.S.-owned foreign entities, annually report certain information about such accounts, and withhold 30% on payments to noncompliant foreign financial institutions and certain other account holders. Foreign financial institutions located in jurisdictions that have an intergovernmental agreement with the United States governing these requirements may be subject to different rules.</w:t>
      </w:r>
    </w:p>
    <w:p>
      <w:pPr>
        <w:spacing w:after="0" w:line="91" w:lineRule="exact"/>
        <w:rPr>
          <w:sz w:val="20"/>
          <w:szCs w:val="20"/>
          <w:color w:val="auto"/>
        </w:rPr>
      </w:pPr>
    </w:p>
    <w:p>
      <w:pPr>
        <w:ind w:left="1280" w:right="1379" w:firstLine="282"/>
        <w:spacing w:after="0" w:line="259" w:lineRule="auto"/>
        <w:rPr>
          <w:sz w:val="20"/>
          <w:szCs w:val="20"/>
          <w:color w:val="auto"/>
        </w:rPr>
      </w:pPr>
      <w:r>
        <w:rPr>
          <w:rFonts w:ascii="Times New Roman" w:cs="Times New Roman" w:eastAsia="Times New Roman" w:hAnsi="Times New Roman"/>
          <w:sz w:val="14"/>
          <w:szCs w:val="14"/>
          <w:color w:val="auto"/>
        </w:rPr>
        <w:t>To the extent we have FDAP Income that is not treated as effectively connected with a U.S. trade or business (please read “— Tax-Exempt Organizations and Other Investors”), a unitholder that is a foreign financial institution or certain other non-U.S. entity, or a person that holds its units through such foreign entities, may be subject to withholding on distributions they receive from us, or its distributive share of our income, pursuant to the rules described above. Each prospective unitholder should consult its own tax advisors regarding the potential application of these withholding provisions to its investment in our units.</w:t>
      </w: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5" w:name="page46"/>
    <w:bookmarkEnd w:id="45"/>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Nominee Reporting</w:t>
      </w:r>
    </w:p>
    <w:p>
      <w:pPr>
        <w:spacing w:after="0" w:line="12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Persons who hold an interest in us as a nominee for another person are required to furnish to us:</w:t>
      </w:r>
    </w:p>
    <w:p>
      <w:pPr>
        <w:spacing w:after="0" w:line="93" w:lineRule="exact"/>
        <w:rPr>
          <w:sz w:val="20"/>
          <w:szCs w:val="20"/>
          <w:color w:val="auto"/>
        </w:rPr>
      </w:pPr>
    </w:p>
    <w:p>
      <w:pPr>
        <w:ind w:left="1700" w:hanging="133"/>
        <w:spacing w:after="0"/>
        <w:tabs>
          <w:tab w:leader="none" w:pos="1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address and taxpayer identification number of the beneficial owner and the nominee;</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regarding whether the beneficial owner is:</w:t>
      </w:r>
    </w:p>
    <w:p>
      <w:pPr>
        <w:spacing w:after="0" w:line="93" w:lineRule="exact"/>
        <w:rPr>
          <w:rFonts w:ascii="Times New Roman" w:cs="Times New Roman" w:eastAsia="Times New Roman" w:hAnsi="Times New Roman"/>
          <w:sz w:val="14"/>
          <w:szCs w:val="14"/>
          <w:color w:val="auto"/>
        </w:rPr>
      </w:pPr>
    </w:p>
    <w:p>
      <w:pPr>
        <w:ind w:left="2000" w:hanging="150"/>
        <w:spacing w:after="0"/>
        <w:tabs>
          <w:tab w:leader="none" w:pos="200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non-U.S. person;</w:t>
      </w:r>
    </w:p>
    <w:p>
      <w:pPr>
        <w:spacing w:after="0" w:line="82" w:lineRule="exact"/>
        <w:rPr>
          <w:rFonts w:ascii="Times New Roman" w:cs="Times New Roman" w:eastAsia="Times New Roman" w:hAnsi="Times New Roman"/>
          <w:sz w:val="14"/>
          <w:szCs w:val="14"/>
          <w:color w:val="auto"/>
        </w:rPr>
      </w:pPr>
    </w:p>
    <w:p>
      <w:pPr>
        <w:ind w:left="2000" w:right="1959" w:hanging="150"/>
        <w:spacing w:after="0" w:line="286" w:lineRule="auto"/>
        <w:tabs>
          <w:tab w:leader="none" w:pos="200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non-U.S. government, an international organization or any wholly-owned agency or instrumentality of either of the foregoing; or</w:t>
      </w:r>
    </w:p>
    <w:p>
      <w:pPr>
        <w:spacing w:after="0" w:line="39" w:lineRule="exact"/>
        <w:rPr>
          <w:rFonts w:ascii="Times New Roman" w:cs="Times New Roman" w:eastAsia="Times New Roman" w:hAnsi="Times New Roman"/>
          <w:sz w:val="14"/>
          <w:szCs w:val="14"/>
          <w:color w:val="auto"/>
        </w:rPr>
      </w:pPr>
    </w:p>
    <w:p>
      <w:pPr>
        <w:ind w:left="2000" w:hanging="150"/>
        <w:spacing w:after="0"/>
        <w:tabs>
          <w:tab w:leader="none" w:pos="200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tax-exempt entity;</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description of units held, acquired or transferred for the beneficial owner; and</w:t>
      </w:r>
    </w:p>
    <w:p>
      <w:pPr>
        <w:spacing w:after="0" w:line="93" w:lineRule="exact"/>
        <w:rPr>
          <w:rFonts w:ascii="Times New Roman" w:cs="Times New Roman" w:eastAsia="Times New Roman" w:hAnsi="Times New Roman"/>
          <w:sz w:val="14"/>
          <w:szCs w:val="14"/>
          <w:color w:val="auto"/>
        </w:rPr>
      </w:pPr>
    </w:p>
    <w:p>
      <w:pPr>
        <w:ind w:left="1700" w:right="1639" w:hanging="133"/>
        <w:spacing w:after="0" w:line="286" w:lineRule="auto"/>
        <w:tabs>
          <w:tab w:leader="none" w:pos="1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specific information including the dates of acquisitions and transfers, means of acquisitions and transfers, and acquisition cost for purchases, as well as the amount of net proceeds from sales.</w:t>
      </w:r>
    </w:p>
    <w:p>
      <w:pPr>
        <w:spacing w:after="0" w:line="72" w:lineRule="exact"/>
        <w:rPr>
          <w:sz w:val="20"/>
          <w:szCs w:val="20"/>
          <w:color w:val="auto"/>
        </w:rPr>
      </w:pPr>
    </w:p>
    <w:p>
      <w:pPr>
        <w:ind w:left="1280" w:right="1339" w:firstLine="282"/>
        <w:spacing w:after="0" w:line="261" w:lineRule="auto"/>
        <w:rPr>
          <w:sz w:val="20"/>
          <w:szCs w:val="20"/>
          <w:color w:val="auto"/>
        </w:rPr>
      </w:pPr>
      <w:r>
        <w:rPr>
          <w:rFonts w:ascii="Times New Roman" w:cs="Times New Roman" w:eastAsia="Times New Roman" w:hAnsi="Times New Roman"/>
          <w:sz w:val="14"/>
          <w:szCs w:val="14"/>
          <w:color w:val="auto"/>
        </w:rPr>
        <w:t>Each broker and financial institution is required to furnish additional information, including whether such broker or financial institution is a U.S. person and specific information on any units such broker or financial institution acquires, holds or transfers for its own account. A penalty per failure, with a significant maximum penalty per calendar year, is imposed by the Code for failure to report that information to us. The nominee is required to supply the beneficial owner of our units with the information furnished to us.</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Accuracy-Related Penalties</w:t>
      </w:r>
    </w:p>
    <w:p>
      <w:pPr>
        <w:spacing w:after="0" w:line="116" w:lineRule="exact"/>
        <w:rPr>
          <w:sz w:val="20"/>
          <w:szCs w:val="20"/>
          <w:color w:val="auto"/>
        </w:rPr>
      </w:pPr>
    </w:p>
    <w:p>
      <w:pPr>
        <w:ind w:left="1280" w:right="1319" w:firstLine="282"/>
        <w:spacing w:after="0" w:line="259" w:lineRule="auto"/>
        <w:rPr>
          <w:sz w:val="20"/>
          <w:szCs w:val="20"/>
          <w:color w:val="auto"/>
        </w:rPr>
      </w:pPr>
      <w:r>
        <w:rPr>
          <w:rFonts w:ascii="Times New Roman" w:cs="Times New Roman" w:eastAsia="Times New Roman" w:hAnsi="Times New Roman"/>
          <w:sz w:val="14"/>
          <w:szCs w:val="14"/>
          <w:color w:val="auto"/>
        </w:rPr>
        <w:t>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State, Local and Other Tax Considerations</w:t>
      </w:r>
    </w:p>
    <w:p>
      <w:pPr>
        <w:spacing w:after="0" w:line="127" w:lineRule="exact"/>
        <w:rPr>
          <w:sz w:val="20"/>
          <w:szCs w:val="20"/>
          <w:color w:val="auto"/>
        </w:rPr>
      </w:pPr>
    </w:p>
    <w:p>
      <w:pPr>
        <w:ind w:left="1280" w:right="1339" w:firstLine="282"/>
        <w:spacing w:after="0" w:line="257" w:lineRule="auto"/>
        <w:rPr>
          <w:sz w:val="20"/>
          <w:szCs w:val="20"/>
          <w:color w:val="auto"/>
        </w:rPr>
      </w:pPr>
      <w:r>
        <w:rPr>
          <w:rFonts w:ascii="Times New Roman" w:cs="Times New Roman" w:eastAsia="Times New Roman" w:hAnsi="Times New Roman"/>
          <w:sz w:val="14"/>
          <w:szCs w:val="14"/>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conduct business or own property in many states in the United States. Some of these states may impose an income tax on individuals, corporations and other entities. As we make acquisitions or expand our business, we may own property or conduct business in additional states that impose a personal income tax. Although an analysis of those various taxes is not presented here, each prospective unitholder should consider the potential impact of such taxes on its investment in us.</w:t>
      </w:r>
    </w:p>
    <w:p>
      <w:pPr>
        <w:spacing w:after="0" w:line="93" w:lineRule="exact"/>
        <w:rPr>
          <w:sz w:val="20"/>
          <w:szCs w:val="20"/>
          <w:color w:val="auto"/>
        </w:rPr>
      </w:pPr>
    </w:p>
    <w:p>
      <w:pPr>
        <w:ind w:left="1280" w:right="1299" w:firstLine="282"/>
        <w:spacing w:after="0" w:line="256" w:lineRule="auto"/>
        <w:rPr>
          <w:sz w:val="20"/>
          <w:szCs w:val="20"/>
          <w:color w:val="auto"/>
        </w:rPr>
      </w:pPr>
      <w:r>
        <w:rPr>
          <w:rFonts w:ascii="Times New Roman" w:cs="Times New Roman" w:eastAsia="Times New Roman" w:hAnsi="Times New Roman"/>
          <w:sz w:val="14"/>
          <w:szCs w:val="14"/>
          <w:color w:val="auto"/>
        </w:rPr>
        <w:t>A unitholder may be required to file income tax returns and pay income taxes in some or all of the jurisdictions in which we do business or own property, though such unitholder may not be required to file a return and pay taxes in certain jurisdictions because its income from such jurisdictions falls below the jurisdiction’s filing and payment requirement. Further, a unitholder may be subject to penalties for a failure to comply with any filing or payment requirement applicable to such unitholder.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w:t>
      </w:r>
    </w:p>
    <w:p>
      <w:pPr>
        <w:spacing w:after="0" w:line="14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Tax Consequences of Ownership of Preferred Units</w:t>
      </w:r>
    </w:p>
    <w:p>
      <w:pPr>
        <w:spacing w:after="0" w:line="116" w:lineRule="exact"/>
        <w:rPr>
          <w:sz w:val="20"/>
          <w:szCs w:val="20"/>
          <w:color w:val="auto"/>
        </w:rPr>
      </w:pPr>
    </w:p>
    <w:p>
      <w:pPr>
        <w:ind w:left="1280" w:right="1419" w:firstLine="282"/>
        <w:spacing w:after="0" w:line="269" w:lineRule="auto"/>
        <w:rPr>
          <w:sz w:val="20"/>
          <w:szCs w:val="20"/>
          <w:color w:val="auto"/>
        </w:rPr>
      </w:pPr>
      <w:r>
        <w:rPr>
          <w:rFonts w:ascii="Times New Roman" w:cs="Times New Roman" w:eastAsia="Times New Roman" w:hAnsi="Times New Roman"/>
          <w:sz w:val="14"/>
          <w:szCs w:val="14"/>
          <w:color w:val="auto"/>
        </w:rPr>
        <w:t>A description of the material U.S. federal income tax consequences of the acquisition, ownership, and disposition of any series of preferred units offered pursuant to this prospectus will be set forth in the prospectus supplement relating to the offering of such preferred units.</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6" w:name="page47"/>
    <w:bookmarkEnd w:id="46"/>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Tax Consequences of Ownership of Debt Securities</w:t>
      </w:r>
    </w:p>
    <w:p>
      <w:pPr>
        <w:spacing w:after="0" w:line="127" w:lineRule="exact"/>
        <w:rPr>
          <w:sz w:val="20"/>
          <w:szCs w:val="20"/>
          <w:color w:val="auto"/>
        </w:rPr>
      </w:pPr>
    </w:p>
    <w:p>
      <w:pPr>
        <w:ind w:left="1280" w:right="1419" w:firstLine="282"/>
        <w:spacing w:after="0" w:line="269" w:lineRule="auto"/>
        <w:rPr>
          <w:sz w:val="20"/>
          <w:szCs w:val="20"/>
          <w:color w:val="auto"/>
        </w:rPr>
      </w:pPr>
      <w:r>
        <w:rPr>
          <w:rFonts w:ascii="Times New Roman" w:cs="Times New Roman" w:eastAsia="Times New Roman" w:hAnsi="Times New Roman"/>
          <w:sz w:val="14"/>
          <w:szCs w:val="14"/>
          <w:color w:val="auto"/>
        </w:rPr>
        <w:t>A description of the material U.S. federal income tax consequences of the acquisition, ownership, and disposition of any series of debt securities will be set forth in the prospectus supplement relating to the offering of such debt securities.</w:t>
      </w:r>
    </w:p>
    <w:p>
      <w:pPr>
        <w:spacing w:after="0" w:line="82" w:lineRule="exact"/>
        <w:rPr>
          <w:sz w:val="20"/>
          <w:szCs w:val="20"/>
          <w:color w:val="auto"/>
        </w:rPr>
      </w:pPr>
    </w:p>
    <w:p>
      <w:pPr>
        <w:ind w:left="1280" w:right="1319" w:firstLine="282"/>
        <w:spacing w:after="0" w:line="278" w:lineRule="auto"/>
        <w:rPr>
          <w:sz w:val="20"/>
          <w:szCs w:val="20"/>
          <w:color w:val="auto"/>
        </w:rPr>
      </w:pPr>
      <w:r>
        <w:rPr>
          <w:rFonts w:ascii="Times New Roman" w:cs="Times New Roman" w:eastAsia="Times New Roman" w:hAnsi="Times New Roman"/>
          <w:sz w:val="13"/>
          <w:szCs w:val="13"/>
          <w:b w:val="1"/>
          <w:bCs w:val="1"/>
          <w:i w:val="1"/>
          <w:iCs w:val="1"/>
          <w:color w:val="auto"/>
        </w:rPr>
        <w:t>It is the responsibility of each unitholder to investigate the legal and tax consequences, under the laws of pertinent jurisdictions, of its investment in us. We strongly recommend that each prospective unitholder consult, and depend upon, its own tax counsel or other advisor with regard to those matters. Further, it is the responsibility of each unitholder to file all state, local and non-U.S., as well as federal tax returns that may be required of it. Vinson</w:t>
      </w:r>
    </w:p>
    <w:p>
      <w:pPr>
        <w:spacing w:after="0" w:line="1" w:lineRule="exact"/>
        <w:rPr>
          <w:sz w:val="20"/>
          <w:szCs w:val="20"/>
          <w:color w:val="auto"/>
        </w:rPr>
      </w:pPr>
    </w:p>
    <w:p>
      <w:pPr>
        <w:ind w:left="1280" w:right="1939" w:firstLine="5"/>
        <w:spacing w:after="0" w:line="265" w:lineRule="auto"/>
        <w:tabs>
          <w:tab w:leader="none" w:pos="1419" w:val="left"/>
        </w:tabs>
        <w:numPr>
          <w:ilvl w:val="0"/>
          <w:numId w:val="3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Elkins L.L.P. has not rendered an opinion on the state, local, alternative minimum tax or non-U.S. tax consequences of an investment in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7" w:name="page48"/>
    <w:bookmarkEnd w:id="47"/>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2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Under this prospectus, we intend to offer our securities to the public:</w:t>
      </w:r>
    </w:p>
    <w:p>
      <w:pPr>
        <w:spacing w:after="0" w:line="93" w:lineRule="exact"/>
        <w:rPr>
          <w:sz w:val="20"/>
          <w:szCs w:val="20"/>
          <w:color w:val="auto"/>
        </w:rPr>
      </w:pPr>
    </w:p>
    <w:p>
      <w:pPr>
        <w:ind w:left="1700" w:hanging="133"/>
        <w:spacing w:after="0"/>
        <w:tabs>
          <w:tab w:leader="none" w:pos="17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one or more underwriters for public offering and sale;</w:t>
      </w:r>
    </w:p>
    <w:p>
      <w:pPr>
        <w:spacing w:after="0" w:line="93" w:lineRule="exact"/>
        <w:rPr>
          <w:rFonts w:ascii="Times New Roman" w:cs="Times New Roman" w:eastAsia="Times New Roman" w:hAnsi="Times New Roman"/>
          <w:sz w:val="14"/>
          <w:szCs w:val="14"/>
          <w:color w:val="auto"/>
        </w:rPr>
      </w:pPr>
    </w:p>
    <w:p>
      <w:pPr>
        <w:ind w:left="1700" w:right="1319" w:hanging="133"/>
        <w:spacing w:after="0" w:line="286" w:lineRule="auto"/>
        <w:tabs>
          <w:tab w:leader="none" w:pos="17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one or more broker-dealers who may act as agent or may purchase securities as principal and thereafter resell the securities from time to time;</w:t>
      </w:r>
    </w:p>
    <w:p>
      <w:pPr>
        <w:spacing w:after="0" w:line="39" w:lineRule="exact"/>
        <w:rPr>
          <w:rFonts w:ascii="Times New Roman" w:cs="Times New Roman" w:eastAsia="Times New Roman" w:hAnsi="Times New Roman"/>
          <w:sz w:val="14"/>
          <w:szCs w:val="14"/>
          <w:color w:val="auto"/>
        </w:rPr>
      </w:pPr>
    </w:p>
    <w:p>
      <w:pPr>
        <w:ind w:left="1700" w:right="1459" w:hanging="133"/>
        <w:spacing w:after="0" w:line="269" w:lineRule="auto"/>
        <w:tabs>
          <w:tab w:leader="none" w:pos="17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or through one or more transactions (which may involve crosses and block transactions) or distributions, including exchange distributions, distributions to beneficial owners and/or secondary distributions;</w:t>
      </w:r>
    </w:p>
    <w:p>
      <w:pPr>
        <w:spacing w:after="0" w:line="51"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NASDAQ;</w:t>
      </w:r>
    </w:p>
    <w:p>
      <w:pPr>
        <w:spacing w:after="0" w:line="10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over-the-counter market;</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private transactions;</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investors directly;</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short sales and delivery of such securities to close out short positions;</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any such methods of sale; or</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 any other method permitted pursuant to applicable law.</w:t>
      </w:r>
    </w:p>
    <w:p>
      <w:pPr>
        <w:spacing w:after="0" w:line="11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We will price our securities at:</w:t>
      </w:r>
    </w:p>
    <w:p>
      <w:pPr>
        <w:spacing w:after="0" w:line="93" w:lineRule="exact"/>
        <w:rPr>
          <w:sz w:val="20"/>
          <w:szCs w:val="20"/>
          <w:color w:val="auto"/>
        </w:rPr>
      </w:pPr>
    </w:p>
    <w:p>
      <w:pPr>
        <w:ind w:left="1700" w:hanging="133"/>
        <w:spacing w:after="0"/>
        <w:tabs>
          <w:tab w:leader="none" w:pos="17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prices prevailing at the time of any sale under this registration statement;</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prices related to then-current market prices;</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fixed price; or</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negotiated prices.</w:t>
      </w:r>
    </w:p>
    <w:p>
      <w:pPr>
        <w:spacing w:after="0" w:line="1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We may change the price of the securities offered from time to time.</w:t>
      </w:r>
    </w:p>
    <w:p>
      <w:pPr>
        <w:spacing w:after="0" w:line="125" w:lineRule="exact"/>
        <w:rPr>
          <w:sz w:val="20"/>
          <w:szCs w:val="20"/>
          <w:color w:val="auto"/>
        </w:rPr>
      </w:pPr>
    </w:p>
    <w:p>
      <w:pPr>
        <w:ind w:left="1280" w:right="1439" w:firstLine="282"/>
        <w:spacing w:after="0" w:line="286" w:lineRule="auto"/>
        <w:rPr>
          <w:sz w:val="20"/>
          <w:szCs w:val="20"/>
          <w:color w:val="auto"/>
        </w:rPr>
      </w:pPr>
      <w:r>
        <w:rPr>
          <w:rFonts w:ascii="Times New Roman" w:cs="Times New Roman" w:eastAsia="Times New Roman" w:hAnsi="Times New Roman"/>
          <w:sz w:val="14"/>
          <w:szCs w:val="14"/>
          <w:color w:val="auto"/>
        </w:rPr>
        <w:t>We will pay or allow distributors’ or sellers’ commissions that will not exceed those customary in the types of transactions involved.</w:t>
      </w:r>
    </w:p>
    <w:p>
      <w:pPr>
        <w:spacing w:after="0" w:line="61" w:lineRule="exact"/>
        <w:rPr>
          <w:sz w:val="20"/>
          <w:szCs w:val="20"/>
          <w:color w:val="auto"/>
        </w:rPr>
      </w:pPr>
    </w:p>
    <w:p>
      <w:pPr>
        <w:ind w:left="1280" w:right="1359" w:firstLine="282"/>
        <w:spacing w:after="0" w:line="261" w:lineRule="auto"/>
        <w:rPr>
          <w:sz w:val="20"/>
          <w:szCs w:val="20"/>
          <w:color w:val="auto"/>
        </w:rPr>
      </w:pPr>
      <w:r>
        <w:rPr>
          <w:rFonts w:ascii="Times New Roman" w:cs="Times New Roman" w:eastAsia="Times New Roman" w:hAnsi="Times New Roman"/>
          <w:sz w:val="14"/>
          <w:szCs w:val="14"/>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88" w:lineRule="exact"/>
        <w:rPr>
          <w:sz w:val="20"/>
          <w:szCs w:val="20"/>
          <w:color w:val="auto"/>
        </w:rPr>
      </w:pPr>
    </w:p>
    <w:p>
      <w:pPr>
        <w:ind w:left="1280" w:right="1419" w:firstLine="282"/>
        <w:spacing w:after="0" w:line="257" w:lineRule="auto"/>
        <w:rPr>
          <w:sz w:val="20"/>
          <w:szCs w:val="20"/>
          <w:color w:val="auto"/>
        </w:rPr>
      </w:pPr>
      <w:r>
        <w:rPr>
          <w:rFonts w:ascii="Times New Roman" w:cs="Times New Roman" w:eastAsia="Times New Roman" w:hAnsi="Times New Roman"/>
          <w:sz w:val="14"/>
          <w:szCs w:val="14"/>
          <w:color w:val="auto"/>
        </w:rPr>
        <w:t>To the extent required, the names of the specific managing underwriter or underwriters, if any, as well as other important information, will be set forth in an applicable prospectus supplement. In that event, the discounts and commissions we will allow or pay to the underwriters, if any, and the discounts and commissions the underwriters may allow or pay to dealers or agents, if any, will be set forth in, or may be calculated from, the applicable prospectus supplement.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93" w:lineRule="exact"/>
        <w:rPr>
          <w:sz w:val="20"/>
          <w:szCs w:val="20"/>
          <w:color w:val="auto"/>
        </w:rPr>
      </w:pPr>
    </w:p>
    <w:p>
      <w:pPr>
        <w:jc w:val="both"/>
        <w:ind w:left="1280" w:right="1499" w:firstLine="282"/>
        <w:spacing w:after="0" w:line="263" w:lineRule="auto"/>
        <w:rPr>
          <w:sz w:val="20"/>
          <w:szCs w:val="20"/>
          <w:color w:val="auto"/>
        </w:rPr>
      </w:pPr>
      <w:r>
        <w:rPr>
          <w:rFonts w:ascii="Times New Roman" w:cs="Times New Roman" w:eastAsia="Times New Roman" w:hAnsi="Times New Roman"/>
          <w:sz w:val="14"/>
          <w:szCs w:val="14"/>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78" w:lineRule="exact"/>
        <w:rPr>
          <w:sz w:val="20"/>
          <w:szCs w:val="20"/>
          <w:color w:val="auto"/>
        </w:rPr>
      </w:pPr>
    </w:p>
    <w:p>
      <w:pPr>
        <w:ind w:left="1280" w:right="1499" w:firstLine="282"/>
        <w:spacing w:after="0" w:line="269" w:lineRule="auto"/>
        <w:rPr>
          <w:sz w:val="20"/>
          <w:szCs w:val="20"/>
          <w:color w:val="auto"/>
        </w:rPr>
      </w:pPr>
      <w:r>
        <w:rPr>
          <w:rFonts w:ascii="Times New Roman" w:cs="Times New Roman" w:eastAsia="Times New Roman" w:hAnsi="Times New Roman"/>
          <w:sz w:val="14"/>
          <w:szCs w:val="14"/>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8" w:name="page49"/>
    <w:bookmarkEnd w:id="48"/>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280" w:right="1319" w:firstLine="282"/>
        <w:spacing w:after="0" w:line="269" w:lineRule="auto"/>
        <w:rPr>
          <w:sz w:val="20"/>
          <w:szCs w:val="20"/>
          <w:color w:val="auto"/>
        </w:rPr>
      </w:pPr>
      <w:r>
        <w:rPr>
          <w:rFonts w:ascii="Times New Roman" w:cs="Times New Roman" w:eastAsia="Times New Roman" w:hAnsi="Times New Roman"/>
          <w:sz w:val="14"/>
          <w:szCs w:val="14"/>
          <w:color w:val="auto"/>
        </w:rPr>
        <w:t>The aggregate maximum compensation the underwriters will receive in connection with the sale of any securities under this prospectus and the registration statement of which it forms a part will not exceed 8% of the gross proceeds from the sale.</w:t>
      </w:r>
    </w:p>
    <w:p>
      <w:pPr>
        <w:spacing w:after="0" w:line="84" w:lineRule="exact"/>
        <w:rPr>
          <w:sz w:val="20"/>
          <w:szCs w:val="20"/>
          <w:color w:val="auto"/>
        </w:rPr>
      </w:pPr>
    </w:p>
    <w:p>
      <w:pPr>
        <w:ind w:left="1280" w:right="1379" w:firstLine="282"/>
        <w:spacing w:after="0" w:line="269" w:lineRule="auto"/>
        <w:rPr>
          <w:sz w:val="20"/>
          <w:szCs w:val="20"/>
          <w:color w:val="auto"/>
        </w:rPr>
      </w:pPr>
      <w:r>
        <w:rPr>
          <w:rFonts w:ascii="Times New Roman" w:cs="Times New Roman" w:eastAsia="Times New Roman" w:hAnsi="Times New Roman"/>
          <w:sz w:val="14"/>
          <w:szCs w:val="14"/>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84" w:lineRule="exact"/>
        <w:rPr>
          <w:sz w:val="20"/>
          <w:szCs w:val="20"/>
          <w:color w:val="auto"/>
        </w:rPr>
      </w:pPr>
    </w:p>
    <w:p>
      <w:pPr>
        <w:ind w:left="1280" w:right="1379" w:firstLine="282"/>
        <w:spacing w:after="0" w:line="269" w:lineRule="auto"/>
        <w:rPr>
          <w:sz w:val="20"/>
          <w:szCs w:val="20"/>
          <w:color w:val="auto"/>
        </w:rPr>
      </w:pPr>
      <w:r>
        <w:rPr>
          <w:rFonts w:ascii="Times New Roman" w:cs="Times New Roman" w:eastAsia="Times New Roman" w:hAnsi="Times New Roman"/>
          <w:sz w:val="14"/>
          <w:szCs w:val="14"/>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73" w:lineRule="exact"/>
        <w:rPr>
          <w:sz w:val="20"/>
          <w:szCs w:val="20"/>
          <w:color w:val="auto"/>
        </w:rPr>
      </w:pPr>
    </w:p>
    <w:p>
      <w:pPr>
        <w:ind w:left="1280" w:right="1359" w:firstLine="282"/>
        <w:spacing w:after="0" w:line="255" w:lineRule="auto"/>
        <w:rPr>
          <w:sz w:val="20"/>
          <w:szCs w:val="20"/>
          <w:color w:val="auto"/>
        </w:rPr>
      </w:pPr>
      <w:r>
        <w:rPr>
          <w:rFonts w:ascii="Times New Roman" w:cs="Times New Roman" w:eastAsia="Times New Roman" w:hAnsi="Times New Roman"/>
          <w:sz w:val="14"/>
          <w:szCs w:val="14"/>
          <w:color w:val="auto"/>
        </w:rPr>
        <w:t>In connection with offerings under this shelf registration statement and in compliance with applicable law, underwriters, brokers or dealers may engage in transactions that stabilize or maintain the market price of the securities at levels above those that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the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9" w:name="page50"/>
    <w:bookmarkEnd w:id="49"/>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7" w:lineRule="exact"/>
        <w:rPr>
          <w:sz w:val="20"/>
          <w:szCs w:val="20"/>
          <w:color w:val="auto"/>
        </w:rPr>
      </w:pPr>
    </w:p>
    <w:p>
      <w:pPr>
        <w:jc w:val="both"/>
        <w:ind w:left="1280" w:right="1339" w:firstLine="282"/>
        <w:spacing w:after="0" w:line="259" w:lineRule="auto"/>
        <w:rPr>
          <w:sz w:val="20"/>
          <w:szCs w:val="20"/>
          <w:color w:val="auto"/>
        </w:rPr>
      </w:pPr>
      <w:r>
        <w:rPr>
          <w:rFonts w:ascii="Times New Roman" w:cs="Times New Roman" w:eastAsia="Times New Roman" w:hAnsi="Times New Roman"/>
          <w:sz w:val="14"/>
          <w:szCs w:val="14"/>
          <w:color w:val="auto"/>
        </w:rPr>
        <w:t>The validity of the securities offered in this prospectus will be passed upon for us by Vinson &amp; Elkins L.L.P., Houston, Texas. Vinson &amp; Elkins L.L.P. will also render an opinion on certain material U.S. federal income tax consequences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7" w:lineRule="exact"/>
        <w:rPr>
          <w:sz w:val="20"/>
          <w:szCs w:val="20"/>
          <w:color w:val="auto"/>
        </w:rPr>
      </w:pPr>
    </w:p>
    <w:p>
      <w:pPr>
        <w:ind w:left="1280" w:right="1479" w:firstLine="282"/>
        <w:spacing w:after="0" w:line="260"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The financial statements and management’s assessment of the effectiveness of internal control over financial reporting (which is included in Management’s Report on Internal Control Over Financial </w:t>
      </w:r>
      <w:hyperlink r:id="rId21">
        <w:r>
          <w:rPr>
            <w:rFonts w:ascii="Times New Roman" w:cs="Times New Roman" w:eastAsia="Times New Roman" w:hAnsi="Times New Roman"/>
            <w:sz w:val="14"/>
            <w:szCs w:val="14"/>
            <w:color w:val="auto"/>
          </w:rPr>
          <w:t xml:space="preserve">Reporting) incorporated in this Prospectus by reference to the </w:t>
        </w:r>
        <w:r>
          <w:rPr>
            <w:rFonts w:ascii="Times New Roman" w:cs="Times New Roman" w:eastAsia="Times New Roman" w:hAnsi="Times New Roman"/>
            <w:sz w:val="14"/>
            <w:szCs w:val="14"/>
            <w:u w:val="single" w:color="auto"/>
            <w:color w:val="0000EE"/>
          </w:rPr>
          <w:t>Annual Report on Form 10-K for the year</w:t>
        </w:r>
      </w:hyperlink>
      <w:r>
        <w:rPr>
          <w:rFonts w:ascii="Times New Roman" w:cs="Times New Roman" w:eastAsia="Times New Roman" w:hAnsi="Times New Roman"/>
          <w:sz w:val="14"/>
          <w:szCs w:val="14"/>
          <w:color w:val="auto"/>
        </w:rPr>
        <w:t xml:space="preserve"> </w:t>
      </w:r>
      <w:hyperlink r:id="rId21">
        <w:r>
          <w:rPr>
            <w:rFonts w:ascii="Times New Roman" w:cs="Times New Roman" w:eastAsia="Times New Roman" w:hAnsi="Times New Roman"/>
            <w:sz w:val="14"/>
            <w:szCs w:val="14"/>
            <w:u w:val="single" w:color="auto"/>
            <w:color w:val="0000EE"/>
          </w:rPr>
          <w:t>ended December 31, 2023</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have been so incorporated in reliance on the report of PricewaterhouseCoopers</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0" w:name="page51"/>
    <w:bookmarkEnd w:id="50"/>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5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127" w:lineRule="exact"/>
        <w:rPr>
          <w:sz w:val="20"/>
          <w:szCs w:val="20"/>
          <w:color w:val="auto"/>
        </w:rPr>
      </w:pPr>
    </w:p>
    <w:p>
      <w:pPr>
        <w:ind w:left="1280" w:right="1459" w:firstLine="282"/>
        <w:spacing w:after="0" w:line="253" w:lineRule="auto"/>
        <w:rPr>
          <w:sz w:val="20"/>
          <w:szCs w:val="20"/>
          <w:color w:val="auto"/>
        </w:rPr>
      </w:pPr>
      <w:r>
        <w:rPr>
          <w:rFonts w:ascii="Times New Roman" w:cs="Times New Roman" w:eastAsia="Times New Roman" w:hAnsi="Times New Roman"/>
          <w:sz w:val="14"/>
          <w:szCs w:val="14"/>
          <w:color w:val="auto"/>
        </w:rPr>
        <w:t>Set forth below are the expenses (other than underwriting discounts and commissions) expected to be incurred in connection with the issuance and distribution of the securities registered hereby. With the exception of the SEC registration fee, the amounts set forth below are estimates.</w:t>
      </w:r>
    </w:p>
    <w:p>
      <w:pPr>
        <w:spacing w:after="0" w:line="116" w:lineRule="exact"/>
        <w:rPr>
          <w:sz w:val="20"/>
          <w:szCs w:val="20"/>
          <w:color w:val="auto"/>
        </w:rPr>
      </w:pPr>
    </w:p>
    <w:tbl>
      <w:tblPr>
        <w:tblLayout w:type="fixed"/>
        <w:tblInd w:w="1280" w:type="dxa"/>
        <w:tblCellMar>
          <w:top w:w="0" w:type="dxa"/>
          <w:left w:w="0" w:type="dxa"/>
          <w:bottom w:w="0" w:type="dxa"/>
          <w:right w:w="0" w:type="dxa"/>
        </w:tblCellMar>
      </w:tblPr>
      <w:tr>
        <w:trPr>
          <w:trHeight w:val="163"/>
        </w:trPr>
        <w:tc>
          <w:tcPr>
            <w:tcW w:w="280" w:type="dxa"/>
            <w:vAlign w:val="bottom"/>
          </w:tcPr>
          <w:p>
            <w:pPr>
              <w:spacing w:after="0"/>
              <w:rPr>
                <w:sz w:val="14"/>
                <w:szCs w:val="14"/>
                <w:color w:val="auto"/>
              </w:rPr>
            </w:pPr>
          </w:p>
        </w:tc>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178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352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auto"/>
              </w:rPr>
              <w:t>Legal fees and expenses</w:t>
            </w:r>
          </w:p>
        </w:tc>
        <w:tc>
          <w:tcPr>
            <w:tcW w:w="1780" w:type="dxa"/>
            <w:vAlign w:val="bottom"/>
            <w:gridSpan w:val="2"/>
            <w:vMerge w:val="restart"/>
          </w:tcPr>
          <w:p>
            <w:pPr>
              <w:ind w:left="158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w w:val="94"/>
              </w:rPr>
              <w:t>​            **</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42"/>
        </w:trPr>
        <w:tc>
          <w:tcPr>
            <w:tcW w:w="280" w:type="dxa"/>
            <w:vAlign w:val="bottom"/>
          </w:tcPr>
          <w:p>
            <w:pPr>
              <w:spacing w:after="0"/>
              <w:rPr>
                <w:sz w:val="3"/>
                <w:szCs w:val="3"/>
                <w:color w:val="auto"/>
              </w:rPr>
            </w:pPr>
          </w:p>
        </w:tc>
        <w:tc>
          <w:tcPr>
            <w:tcW w:w="3520" w:type="dxa"/>
            <w:vAlign w:val="bottom"/>
            <w:gridSpan w:val="2"/>
          </w:tcPr>
          <w:p>
            <w:pPr>
              <w:spacing w:after="0" w:line="43" w:lineRule="exact"/>
              <w:rPr>
                <w:sz w:val="20"/>
                <w:szCs w:val="20"/>
                <w:color w:val="auto"/>
              </w:rPr>
            </w:pPr>
            <w:r>
              <w:rPr>
                <w:rFonts w:ascii="Times New Roman" w:cs="Times New Roman" w:eastAsia="Times New Roman" w:hAnsi="Times New Roman"/>
                <w:sz w:val="4"/>
                <w:szCs w:val="4"/>
                <w:color w:val="auto"/>
              </w:rPr>
              <w:t>​</w:t>
            </w:r>
          </w:p>
        </w:tc>
        <w:tc>
          <w:tcPr>
            <w:tcW w:w="178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352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Accounting fees and expenses</w:t>
            </w:r>
          </w:p>
        </w:tc>
        <w:tc>
          <w:tcPr>
            <w:tcW w:w="1780" w:type="dxa"/>
            <w:vAlign w:val="bottom"/>
            <w:gridSpan w:val="2"/>
            <w:vMerge w:val="restart"/>
            <w:shd w:val="clear" w:color="auto" w:fill="CCEEFF"/>
          </w:tcPr>
          <w:p>
            <w:pPr>
              <w:ind w:left="158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4"/>
              </w:rPr>
              <w:t>​            **</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42"/>
        </w:trPr>
        <w:tc>
          <w:tcPr>
            <w:tcW w:w="280" w:type="dxa"/>
            <w:vAlign w:val="bottom"/>
          </w:tcPr>
          <w:p>
            <w:pPr>
              <w:spacing w:after="0"/>
              <w:rPr>
                <w:sz w:val="3"/>
                <w:szCs w:val="3"/>
                <w:color w:val="auto"/>
              </w:rPr>
            </w:pPr>
          </w:p>
        </w:tc>
        <w:tc>
          <w:tcPr>
            <w:tcW w:w="3520" w:type="dxa"/>
            <w:vAlign w:val="bottom"/>
            <w:gridSpan w:val="2"/>
            <w:shd w:val="clear" w:color="auto" w:fill="CCEEFF"/>
          </w:tcPr>
          <w:p>
            <w:pPr>
              <w:spacing w:after="0" w:line="43" w:lineRule="exact"/>
              <w:rPr>
                <w:sz w:val="20"/>
                <w:szCs w:val="20"/>
                <w:color w:val="auto"/>
              </w:rPr>
            </w:pPr>
            <w:r>
              <w:rPr>
                <w:rFonts w:ascii="Times New Roman" w:cs="Times New Roman" w:eastAsia="Times New Roman" w:hAnsi="Times New Roman"/>
                <w:sz w:val="4"/>
                <w:szCs w:val="4"/>
                <w:color w:val="auto"/>
              </w:rPr>
              <w:t>​</w:t>
            </w:r>
          </w:p>
        </w:tc>
        <w:tc>
          <w:tcPr>
            <w:tcW w:w="1780" w:type="dxa"/>
            <w:vAlign w:val="bottom"/>
            <w:gridSpan w:val="2"/>
            <w:vMerge w:val="continue"/>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352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auto"/>
              </w:rPr>
              <w:t>Printing and engraving expenses</w:t>
            </w:r>
          </w:p>
        </w:tc>
        <w:tc>
          <w:tcPr>
            <w:tcW w:w="1780" w:type="dxa"/>
            <w:vAlign w:val="bottom"/>
            <w:gridSpan w:val="2"/>
            <w:vMerge w:val="restart"/>
          </w:tcPr>
          <w:p>
            <w:pPr>
              <w:ind w:left="158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w w:val="94"/>
              </w:rPr>
              <w:t>​            **</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42"/>
        </w:trPr>
        <w:tc>
          <w:tcPr>
            <w:tcW w:w="280" w:type="dxa"/>
            <w:vAlign w:val="bottom"/>
          </w:tcPr>
          <w:p>
            <w:pPr>
              <w:spacing w:after="0"/>
              <w:rPr>
                <w:sz w:val="3"/>
                <w:szCs w:val="3"/>
                <w:color w:val="auto"/>
              </w:rPr>
            </w:pPr>
          </w:p>
        </w:tc>
        <w:tc>
          <w:tcPr>
            <w:tcW w:w="3520" w:type="dxa"/>
            <w:vAlign w:val="bottom"/>
            <w:gridSpan w:val="2"/>
          </w:tcPr>
          <w:p>
            <w:pPr>
              <w:spacing w:after="0" w:line="43" w:lineRule="exact"/>
              <w:rPr>
                <w:sz w:val="20"/>
                <w:szCs w:val="20"/>
                <w:color w:val="auto"/>
              </w:rPr>
            </w:pPr>
            <w:r>
              <w:rPr>
                <w:rFonts w:ascii="Times New Roman" w:cs="Times New Roman" w:eastAsia="Times New Roman" w:hAnsi="Times New Roman"/>
                <w:sz w:val="4"/>
                <w:szCs w:val="4"/>
                <w:color w:val="auto"/>
              </w:rPr>
              <w:t>​</w:t>
            </w:r>
          </w:p>
        </w:tc>
        <w:tc>
          <w:tcPr>
            <w:tcW w:w="178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352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Listing expenses</w:t>
            </w:r>
          </w:p>
        </w:tc>
        <w:tc>
          <w:tcPr>
            <w:tcW w:w="1780" w:type="dxa"/>
            <w:vAlign w:val="bottom"/>
            <w:gridSpan w:val="2"/>
            <w:vMerge w:val="restart"/>
            <w:shd w:val="clear" w:color="auto" w:fill="CCEEFF"/>
          </w:tcPr>
          <w:p>
            <w:pPr>
              <w:ind w:left="158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4"/>
              </w:rPr>
              <w:t>​            **</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42"/>
        </w:trPr>
        <w:tc>
          <w:tcPr>
            <w:tcW w:w="280" w:type="dxa"/>
            <w:vAlign w:val="bottom"/>
          </w:tcPr>
          <w:p>
            <w:pPr>
              <w:spacing w:after="0"/>
              <w:rPr>
                <w:sz w:val="3"/>
                <w:szCs w:val="3"/>
                <w:color w:val="auto"/>
              </w:rPr>
            </w:pPr>
          </w:p>
        </w:tc>
        <w:tc>
          <w:tcPr>
            <w:tcW w:w="3520" w:type="dxa"/>
            <w:vAlign w:val="bottom"/>
            <w:gridSpan w:val="2"/>
            <w:shd w:val="clear" w:color="auto" w:fill="CCEEFF"/>
          </w:tcPr>
          <w:p>
            <w:pPr>
              <w:spacing w:after="0" w:line="43" w:lineRule="exact"/>
              <w:rPr>
                <w:sz w:val="20"/>
                <w:szCs w:val="20"/>
                <w:color w:val="auto"/>
              </w:rPr>
            </w:pPr>
            <w:r>
              <w:rPr>
                <w:rFonts w:ascii="Times New Roman" w:cs="Times New Roman" w:eastAsia="Times New Roman" w:hAnsi="Times New Roman"/>
                <w:sz w:val="4"/>
                <w:szCs w:val="4"/>
                <w:color w:val="auto"/>
              </w:rPr>
              <w:t>​</w:t>
            </w:r>
          </w:p>
        </w:tc>
        <w:tc>
          <w:tcPr>
            <w:tcW w:w="1780" w:type="dxa"/>
            <w:vAlign w:val="bottom"/>
            <w:gridSpan w:val="2"/>
            <w:vMerge w:val="continue"/>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352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auto"/>
              </w:rPr>
              <w:t>Miscellaneous</w:t>
            </w:r>
          </w:p>
        </w:tc>
        <w:tc>
          <w:tcPr>
            <w:tcW w:w="1780" w:type="dxa"/>
            <w:vAlign w:val="bottom"/>
            <w:gridSpan w:val="2"/>
            <w:vMerge w:val="restart"/>
          </w:tcPr>
          <w:p>
            <w:pPr>
              <w:ind w:left="158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w w:val="94"/>
              </w:rPr>
              <w:t>​            **</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53"/>
        </w:trPr>
        <w:tc>
          <w:tcPr>
            <w:tcW w:w="280" w:type="dxa"/>
            <w:vAlign w:val="bottom"/>
          </w:tcPr>
          <w:p>
            <w:pPr>
              <w:spacing w:after="0"/>
              <w:rPr>
                <w:sz w:val="4"/>
                <w:szCs w:val="4"/>
                <w:color w:val="auto"/>
              </w:rPr>
            </w:pPr>
          </w:p>
        </w:tc>
        <w:tc>
          <w:tcPr>
            <w:tcW w:w="3520" w:type="dxa"/>
            <w:vAlign w:val="bottom"/>
            <w:gridSpan w:val="2"/>
          </w:tcPr>
          <w:p>
            <w:pPr>
              <w:spacing w:after="0" w:line="53" w:lineRule="exact"/>
              <w:rPr>
                <w:sz w:val="20"/>
                <w:szCs w:val="20"/>
                <w:color w:val="auto"/>
              </w:rPr>
            </w:pPr>
            <w:r>
              <w:rPr>
                <w:rFonts w:ascii="Times New Roman" w:cs="Times New Roman" w:eastAsia="Times New Roman" w:hAnsi="Times New Roman"/>
                <w:sz w:val="6"/>
                <w:szCs w:val="6"/>
                <w:color w:val="auto"/>
              </w:rPr>
              <w:t>​</w:t>
            </w:r>
          </w:p>
        </w:tc>
        <w:tc>
          <w:tcPr>
            <w:tcW w:w="178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80" w:type="dxa"/>
            <w:vAlign w:val="bottom"/>
          </w:tcPr>
          <w:p>
            <w:pPr>
              <w:spacing w:after="0"/>
              <w:rPr>
                <w:sz w:val="13"/>
                <w:szCs w:val="13"/>
                <w:color w:val="auto"/>
              </w:rPr>
            </w:pPr>
          </w:p>
        </w:tc>
        <w:tc>
          <w:tcPr>
            <w:tcW w:w="35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7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62"/>
        </w:trPr>
        <w:tc>
          <w:tcPr>
            <w:tcW w:w="280" w:type="dxa"/>
            <w:vAlign w:val="bottom"/>
          </w:tcPr>
          <w:p>
            <w:pPr>
              <w:spacing w:after="0"/>
              <w:rPr>
                <w:sz w:val="5"/>
                <w:szCs w:val="5"/>
                <w:color w:val="auto"/>
              </w:rPr>
            </w:pPr>
          </w:p>
        </w:tc>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
                <w:szCs w:val="2"/>
                <w:color w:val="auto"/>
              </w:rPr>
              <w:t>​</w:t>
            </w:r>
          </w:p>
        </w:tc>
        <w:tc>
          <w:tcPr>
            <w:tcW w:w="178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2"/>
                <w:szCs w:val="2"/>
                <w:color w:val="auto"/>
              </w:rPr>
              <w:t>​ ​​</w:t>
            </w:r>
          </w:p>
        </w:tc>
        <w:tc>
          <w:tcPr>
            <w:tcW w:w="580" w:type="dxa"/>
            <w:vAlign w:val="bottom"/>
            <w:shd w:val="clear" w:color="auto" w:fill="CCEEFF"/>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2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-220980</wp:posOffset>
            </wp:positionV>
            <wp:extent cx="331533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3315335" cy="6985"/>
                    </a:xfrm>
                    <a:prstGeom prst="rect">
                      <a:avLst/>
                    </a:prstGeom>
                    <a:noFill/>
                  </pic:spPr>
                </pic:pic>
              </a:graphicData>
            </a:graphic>
          </wp:anchor>
        </w:drawing>
      </w:r>
    </w:p>
    <w:p>
      <w:pPr>
        <w:spacing w:after="0" w:line="82" w:lineRule="exact"/>
        <w:rPr>
          <w:sz w:val="20"/>
          <w:szCs w:val="20"/>
          <w:color w:val="auto"/>
        </w:rPr>
      </w:pPr>
    </w:p>
    <w:p>
      <w:pPr>
        <w:ind w:left="1560" w:hanging="275"/>
        <w:spacing w:after="0"/>
        <w:tabs>
          <w:tab w:leader="none" w:pos="15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is deferring payment of the registration fee in reliance on Rule 456(b) and Rule 457(r).</w:t>
      </w:r>
    </w:p>
    <w:p>
      <w:pPr>
        <w:spacing w:after="0" w:line="61" w:lineRule="exact"/>
        <w:rPr>
          <w:sz w:val="20"/>
          <w:szCs w:val="20"/>
          <w:color w:val="auto"/>
        </w:rPr>
      </w:pPr>
    </w:p>
    <w:p>
      <w:pPr>
        <w:ind w:left="1560" w:right="1739" w:hanging="275"/>
        <w:spacing w:after="0" w:line="286" w:lineRule="auto"/>
        <w:tabs>
          <w:tab w:leader="none" w:pos="15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number of issuances and amount of securities offered and accordingly cannot be estimated at this time.</w:t>
      </w:r>
    </w:p>
    <w:p>
      <w:pPr>
        <w:spacing w:after="0" w:line="1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11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Section 17-108 of the Delaware Revised Uniform Limited Partnership Act empowers a Delaware</w:t>
      </w:r>
    </w:p>
    <w:p>
      <w:pPr>
        <w:spacing w:after="0" w:line="23" w:lineRule="exact"/>
        <w:rPr>
          <w:sz w:val="20"/>
          <w:szCs w:val="20"/>
          <w:color w:val="auto"/>
        </w:rPr>
      </w:pPr>
    </w:p>
    <w:p>
      <w:pPr>
        <w:ind w:left="1280" w:right="1299"/>
        <w:spacing w:after="0" w:line="242" w:lineRule="auto"/>
        <w:rPr>
          <w:sz w:val="20"/>
          <w:szCs w:val="20"/>
          <w:color w:val="auto"/>
        </w:rPr>
      </w:pPr>
      <w:r>
        <w:rPr>
          <w:rFonts w:ascii="Times New Roman" w:cs="Times New Roman" w:eastAsia="Times New Roman" w:hAnsi="Times New Roman"/>
          <w:sz w:val="14"/>
          <w:szCs w:val="14"/>
          <w:color w:val="auto"/>
        </w:rPr>
        <w:t>limited partnership to indemnify and hold harmless any partner or other person from and against all claims and demands whatsoever. The partnership agreement of Plains All American Pipeline, L.P. provides that Plains All American Pipeline, L.P. will indemnify the general partner, any departing partner, any person who is or was an affiliate of the general partner or any departing partner, and any person who is or was a member, partner, officer, director, employee, agent or trustee of the general partner or any departing partner or any affiliate of the general partner or any departing partner, or any person who is or was serving at the request of the general partner or any departing partner or any affiliate of the general partner or any departing partner as an officer, director, employee, member, partner, agent, fiduciary or trustee of another person (each, an “Indemnitee”), to the fullest extent permitted by law, from and against any and all losses, claims, damages, liabilities (joint or several), expenses (including, without limitation, legal fees and expenses), judgments, fines, penalties, interest, settlements and other amounts arising from any and all claims, demands, actions, suits or proceedings, whether civil, criminal, administrative or investigative, in which any Indemnitee may be involved, or is threatened to be involved, as a party or otherwise, by reason of its status as any of the foregoing; provided that in each case the Indemnitee acted in good faith and in a manner that such Indemnitee reasonably believed to be in or not opposed to the best interests of Plains All American Pipeline, L.P. and, with respect to any criminal proceeding, had no reasonable cause to believe his, her or its conduct was unlawful. Insofar as indemnification for liabilities arising under the Securities Act may be permitted to any Indemnitee pursuant to the foregoing provisions, the registrant has been informed that in the opinion of the SEC such indemnification is against public policy as expressed in the Act and is therefore unenforceable.</w:t>
      </w:r>
    </w:p>
    <w:p>
      <w:pPr>
        <w:spacing w:after="0" w:line="259" w:lineRule="exact"/>
        <w:rPr>
          <w:sz w:val="20"/>
          <w:szCs w:val="20"/>
          <w:color w:val="auto"/>
        </w:rPr>
      </w:pPr>
    </w:p>
    <w:p>
      <w:pPr>
        <w:ind w:left="1280" w:right="1339" w:firstLine="282"/>
        <w:spacing w:after="0" w:line="246" w:lineRule="auto"/>
        <w:rPr>
          <w:sz w:val="20"/>
          <w:szCs w:val="20"/>
          <w:color w:val="auto"/>
        </w:rPr>
      </w:pPr>
      <w:r>
        <w:rPr>
          <w:rFonts w:ascii="Times New Roman" w:cs="Times New Roman" w:eastAsia="Times New Roman" w:hAnsi="Times New Roman"/>
          <w:sz w:val="14"/>
          <w:szCs w:val="14"/>
          <w:color w:val="auto"/>
        </w:rPr>
        <w:t>Any indemnification under these provisions will be only out of the assets of Plains All American Pipeline, L.P., and the general partner shall not be personally liable for, or have any obligation to contribute or loan funds or assets to Plains All American Pipeline, L.P. to enable it to effectuate, such indemnification. Plains All American Pipeline, L.P. is authorized to purchase (or to reimburse PAA GP Holdings LLC or its affiliates for the cost of) insurance against liabilities asserted against and expenses incurred by such persons in connection with Plains All American Pipeline, L.P.’s activities, regardless of whether Plains All American Pipeline, L.P. would have the power to indemnify such person against such liabilities under the provisions described above.</w:t>
      </w:r>
    </w:p>
    <w:p>
      <w:pPr>
        <w:spacing w:after="0" w:line="253" w:lineRule="exact"/>
        <w:rPr>
          <w:sz w:val="20"/>
          <w:szCs w:val="20"/>
          <w:color w:val="auto"/>
        </w:rPr>
      </w:pPr>
    </w:p>
    <w:p>
      <w:pPr>
        <w:ind w:left="1280" w:right="1299" w:firstLine="282"/>
        <w:spacing w:after="0" w:line="268" w:lineRule="auto"/>
        <w:rPr>
          <w:sz w:val="20"/>
          <w:szCs w:val="20"/>
          <w:color w:val="auto"/>
        </w:rPr>
      </w:pPr>
      <w:r>
        <w:rPr>
          <w:rFonts w:ascii="Times New Roman" w:cs="Times New Roman" w:eastAsia="Times New Roman" w:hAnsi="Times New Roman"/>
          <w:sz w:val="14"/>
          <w:szCs w:val="14"/>
          <w:color w:val="auto"/>
        </w:rPr>
        <w:t>Section 18-108 of the Delaware Limited Liability Company Act provides that, subject to such standards and restrictions, if any, as are set forth in its limited liability company agreement, a Delaware limited liability</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1" w:name="page52"/>
    <w:bookmarkEnd w:id="51"/>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right="1299"/>
        <w:spacing w:after="0" w:line="245" w:lineRule="auto"/>
        <w:rPr>
          <w:sz w:val="20"/>
          <w:szCs w:val="20"/>
          <w:color w:val="auto"/>
        </w:rPr>
      </w:pPr>
      <w:r>
        <w:rPr>
          <w:rFonts w:ascii="Times New Roman" w:cs="Times New Roman" w:eastAsia="Times New Roman" w:hAnsi="Times New Roman"/>
          <w:sz w:val="14"/>
          <w:szCs w:val="14"/>
          <w:color w:val="auto"/>
        </w:rPr>
        <w:t>company may, and has the power to, indemnify and hold harmless any member or manager or other person from and against any and all claims and demands whatsoever. The limited liability company agreement of PAA GP Holdings LLC provides for the indemnification of (a) any of its original members (“Existing Owner”), (b) any person who is or was an affiliate of PAA GP Holdings LLC or any Existing Owner, (c) any person who is or was a managing member, manager, general partner, shareholder, director, officer, fiduciary, agent or trustee of PAA GP Holdings LLC, any Existing Owner or any affiliate thereof, (d) any person who is or was serving at the request of PAA GP Holdings LLC, any Existing Owner or any affiliate of thereof as a member, manager, partner, director, officer, fiduciary, agent or trustee of another person in furtherance of the business or affairs of PAA GP Holdings LLC or its subsidiaries (provided, that a person shall not be indemnified by reason of providing, on a fee-for-services basis, trustee, fiduciary or custodial services), and</w:t>
      </w:r>
    </w:p>
    <w:p>
      <w:pPr>
        <w:spacing w:after="0" w:line="2" w:lineRule="exact"/>
        <w:rPr>
          <w:sz w:val="20"/>
          <w:szCs w:val="20"/>
          <w:color w:val="auto"/>
        </w:rPr>
      </w:pPr>
    </w:p>
    <w:p>
      <w:pPr>
        <w:ind w:left="1280" w:right="1299" w:firstLine="5"/>
        <w:spacing w:after="0" w:line="242" w:lineRule="auto"/>
        <w:tabs>
          <w:tab w:leader="none" w:pos="1483"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the board of directors of PAA GP Holdings LLC designates an indemnitee (collectively, the “Indemnitees”),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such person may be involved, or threatened to be involved, as a party or otherwise, by reason of his, her or its status as an Indemnitee, if such Indemnitee acted in good faith and in a manner he, she or it subjectively believed to be in, or not opposed to, the interests of PAA GP Holdings LLC and with respect to any criminal proceeding, had no reason to believe his, her or its conduct was unlawful. Expenses incurred by an Indemnitee in defending any such claim, demand, action, suit or proceeding will, from time to time, be advanced by PAA GP Holdings LLC prior to the final disposition of such claim, demand, action, suit or proceeding upon receipt by PAA GP Holdings LLC of an undertaking by or on behalf of the Indemnitee to repay such amounts if it is ultimately determined that the Indemnitee is not entitled to be indemnified. PAA GP Holdings LLC is authorized to purchase and maintain directors and officers insurance or similar coverage for its directors and officers in such amounts and with such deductibles or self-insured retentions as determined by its Board of Directors.</w:t>
      </w:r>
    </w:p>
    <w:p>
      <w:pPr>
        <w:spacing w:after="0" w:line="92" w:lineRule="exact"/>
        <w:rPr>
          <w:sz w:val="20"/>
          <w:szCs w:val="20"/>
          <w:color w:val="auto"/>
        </w:rPr>
      </w:pPr>
    </w:p>
    <w:p>
      <w:pPr>
        <w:ind w:left="1280" w:right="1319" w:firstLine="282"/>
        <w:spacing w:after="0" w:line="243" w:lineRule="auto"/>
        <w:rPr>
          <w:sz w:val="20"/>
          <w:szCs w:val="20"/>
          <w:color w:val="auto"/>
        </w:rPr>
      </w:pPr>
      <w:r>
        <w:rPr>
          <w:rFonts w:ascii="Times New Roman" w:cs="Times New Roman" w:eastAsia="Times New Roman" w:hAnsi="Times New Roman"/>
          <w:sz w:val="14"/>
          <w:szCs w:val="14"/>
          <w:color w:val="auto"/>
        </w:rPr>
        <w:t>Section 145 of the Delaware General Corporation Law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Section 145 further provides that a corporation similarly may indemnify any such person serving in any such capacity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such other court in which such action or suit was brought shall determine upon application that, despite the adjudication of liability but in view of all of the circumstances of the case, such person is fairly and reasonably entitled to indemnity for such expenses which the Delaware Court of Chancery or such other court shall deem proper. PAA Finance Corp.’s certificate of incorporation and bylaws provide that indemnification shall be to the fullest extent permitted by the DGCL for all its current or former directors or officers. As permitted by the DGCL, PAA Finance Corp.’s certificate of incorporation provides that PAA Finance Corp. will indemnify its directors against liability to PAA Finance Corp. or its stockholders for monetary damages for breach of fiduciary duty as a director, except (1) for any breach of the director’s duty of loyalty to PAA Finance Corp. or its stockholders, (2) for acts or omissions not in good faith or which involve intentional misconduct or knowing violation of law, (3) under Section 174 of the DGCL or (4) for any transaction from which a director derived an improper personal benefit.</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2" w:name="page53"/>
    <w:bookmarkEnd w:id="52"/>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right="1299" w:firstLine="282"/>
        <w:spacing w:after="0" w:line="261" w:lineRule="auto"/>
        <w:rPr>
          <w:sz w:val="20"/>
          <w:szCs w:val="20"/>
          <w:color w:val="auto"/>
        </w:rPr>
      </w:pPr>
      <w:r>
        <w:rPr>
          <w:rFonts w:ascii="Times New Roman" w:cs="Times New Roman" w:eastAsia="Times New Roman" w:hAnsi="Times New Roman"/>
          <w:sz w:val="14"/>
          <w:szCs w:val="14"/>
          <w:color w:val="auto"/>
        </w:rPr>
        <w:t>The underwriting agreements that we may enter into with respect to the offer and sale of securities covered by this registration statement will contain certain provisions for the indemnification of directors and officers and the underwriters or sales agent, as applicable, against civil liabilities under the Securities Act.</w:t>
      </w:r>
    </w:p>
    <w:p>
      <w:pPr>
        <w:spacing w:after="0" w:line="12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Item 16. Exhibits and Financial Statement Schedules</w:t>
      </w:r>
    </w:p>
    <w:p>
      <w:pPr>
        <w:spacing w:after="0" w:line="127" w:lineRule="exact"/>
        <w:rPr>
          <w:sz w:val="20"/>
          <w:szCs w:val="20"/>
          <w:color w:val="auto"/>
        </w:rPr>
      </w:pPr>
    </w:p>
    <w:p>
      <w:pPr>
        <w:ind w:left="1560"/>
        <w:spacing w:after="0"/>
        <w:tabs>
          <w:tab w:leader="none" w:pos="1820" w:val="left"/>
        </w:tabs>
        <w:rPr>
          <w:sz w:val="20"/>
          <w:szCs w:val="20"/>
          <w:color w:val="auto"/>
        </w:rPr>
      </w:pPr>
      <w:r>
        <w:rPr>
          <w:rFonts w:ascii="Times New Roman" w:cs="Times New Roman" w:eastAsia="Times New Roman" w:hAnsi="Times New Roman"/>
          <w:sz w:val="14"/>
          <w:szCs w:val="14"/>
          <w:color w:val="auto"/>
        </w:rPr>
        <w:t>(a)</w:t>
        <w:tab/>
        <w:t>Exhibits</w:t>
      </w:r>
    </w:p>
    <w:p>
      <w:pPr>
        <w:spacing w:after="0" w:line="125" w:lineRule="exact"/>
        <w:rPr>
          <w:sz w:val="20"/>
          <w:szCs w:val="20"/>
          <w:color w:val="auto"/>
        </w:rPr>
      </w:pPr>
    </w:p>
    <w:p>
      <w:pPr>
        <w:ind w:left="1280" w:right="1379" w:firstLine="282"/>
        <w:spacing w:after="0" w:line="270" w:lineRule="auto"/>
        <w:rPr>
          <w:sz w:val="20"/>
          <w:szCs w:val="20"/>
          <w:color w:val="auto"/>
        </w:rPr>
      </w:pPr>
      <w:r>
        <w:rPr>
          <w:rFonts w:ascii="Times New Roman" w:cs="Times New Roman" w:eastAsia="Times New Roman" w:hAnsi="Times New Roman"/>
          <w:sz w:val="14"/>
          <w:szCs w:val="14"/>
          <w:color w:val="auto"/>
        </w:rPr>
        <w:t>The exhibits listed on the accompanying Exhibit Index are filed or incorporated by reference as part of this Registration Statement, and such Exhibit Index is incorporated herein by reference.</w:t>
      </w:r>
    </w:p>
    <w:p>
      <w:pPr>
        <w:spacing w:after="0" w:line="1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27" w:lineRule="exact"/>
        <w:rPr>
          <w:sz w:val="20"/>
          <w:szCs w:val="20"/>
          <w:color w:val="auto"/>
        </w:rPr>
      </w:pPr>
    </w:p>
    <w:p>
      <w:pPr>
        <w:ind w:left="1840" w:hanging="273"/>
        <w:spacing w:after="0"/>
        <w:tabs>
          <w:tab w:leader="none" w:pos="18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undersigned registrants hereby undertakes:</w:t>
      </w:r>
    </w:p>
    <w:p>
      <w:pPr>
        <w:spacing w:after="0" w:line="114" w:lineRule="exact"/>
        <w:rPr>
          <w:rFonts w:ascii="Times New Roman" w:cs="Times New Roman" w:eastAsia="Times New Roman" w:hAnsi="Times New Roman"/>
          <w:sz w:val="14"/>
          <w:szCs w:val="14"/>
          <w:color w:val="auto"/>
        </w:rPr>
      </w:pPr>
    </w:p>
    <w:p>
      <w:pPr>
        <w:ind w:left="2140" w:right="2019" w:hanging="290"/>
        <w:spacing w:after="0" w:line="286" w:lineRule="auto"/>
        <w:tabs>
          <w:tab w:leader="none" w:pos="214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71" w:lineRule="exact"/>
        <w:rPr>
          <w:rFonts w:ascii="Times New Roman" w:cs="Times New Roman" w:eastAsia="Times New Roman" w:hAnsi="Times New Roman"/>
          <w:sz w:val="14"/>
          <w:szCs w:val="14"/>
          <w:color w:val="auto"/>
        </w:rPr>
      </w:pPr>
    </w:p>
    <w:p>
      <w:pPr>
        <w:ind w:left="2420" w:hanging="288"/>
        <w:spacing w:after="0"/>
        <w:tabs>
          <w:tab w:leader="none" w:pos="2420" w:val="left"/>
        </w:tabs>
        <w:numPr>
          <w:ilvl w:val="2"/>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124" w:lineRule="exact"/>
        <w:rPr>
          <w:rFonts w:ascii="Times New Roman" w:cs="Times New Roman" w:eastAsia="Times New Roman" w:hAnsi="Times New Roman"/>
          <w:sz w:val="14"/>
          <w:szCs w:val="14"/>
          <w:color w:val="auto"/>
        </w:rPr>
      </w:pPr>
    </w:p>
    <w:p>
      <w:pPr>
        <w:ind w:left="2420" w:right="1339" w:hanging="288"/>
        <w:spacing w:after="0" w:line="256" w:lineRule="auto"/>
        <w:tabs>
          <w:tab w:leader="none" w:pos="2420" w:val="left"/>
        </w:tabs>
        <w:numPr>
          <w:ilvl w:val="2"/>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the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52" w:lineRule="exact"/>
        <w:rPr>
          <w:rFonts w:ascii="Times New Roman" w:cs="Times New Roman" w:eastAsia="Times New Roman" w:hAnsi="Times New Roman"/>
          <w:sz w:val="14"/>
          <w:szCs w:val="14"/>
          <w:color w:val="auto"/>
        </w:rPr>
      </w:pPr>
    </w:p>
    <w:p>
      <w:pPr>
        <w:jc w:val="both"/>
        <w:ind w:left="2420" w:right="1899" w:hanging="288"/>
        <w:spacing w:after="0" w:line="269" w:lineRule="auto"/>
        <w:tabs>
          <w:tab w:leader="none" w:pos="2420" w:val="left"/>
        </w:tabs>
        <w:numPr>
          <w:ilvl w:val="2"/>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this registration statement or any material change to the information in this registration statement;</w:t>
      </w:r>
    </w:p>
    <w:p>
      <w:pPr>
        <w:spacing w:after="0" w:line="82" w:lineRule="exact"/>
        <w:rPr>
          <w:sz w:val="20"/>
          <w:szCs w:val="20"/>
          <w:color w:val="auto"/>
        </w:rPr>
      </w:pPr>
    </w:p>
    <w:p>
      <w:pPr>
        <w:ind w:left="1560" w:right="1379"/>
        <w:spacing w:after="0" w:line="250" w:lineRule="auto"/>
        <w:rPr>
          <w:sz w:val="20"/>
          <w:szCs w:val="20"/>
          <w:color w:val="auto"/>
        </w:rPr>
      </w:pP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paragraphs (l)(a), (l)(b) and (1)(c) above do not apply if the information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required to be included in a post -effective amendment by those paragraphs is contained in reports filed with or furnished to the SEC by the registrant pursuant to Section 13 or Section 15(d) of the Exchange Act that are incorporated by reference in this registration statement, or is contained in a form of prospectus filed pursuant to Rule 424(b) that is part of the registration statement.</w:t>
      </w:r>
    </w:p>
    <w:p>
      <w:pPr>
        <w:spacing w:after="0" w:line="85" w:lineRule="exact"/>
        <w:rPr>
          <w:sz w:val="20"/>
          <w:szCs w:val="20"/>
          <w:color w:val="auto"/>
        </w:rPr>
      </w:pPr>
    </w:p>
    <w:p>
      <w:pPr>
        <w:ind w:left="2140" w:right="1379" w:hanging="290"/>
        <w:spacing w:after="0" w:line="263" w:lineRule="auto"/>
        <w:tabs>
          <w:tab w:leader="none" w:pos="21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the securities at that time shall be deemed to be the initial bona fide offering thereof.</w:t>
      </w:r>
    </w:p>
    <w:p>
      <w:pPr>
        <w:spacing w:after="0" w:line="88" w:lineRule="exact"/>
        <w:rPr>
          <w:rFonts w:ascii="Times New Roman" w:cs="Times New Roman" w:eastAsia="Times New Roman" w:hAnsi="Times New Roman"/>
          <w:sz w:val="14"/>
          <w:szCs w:val="14"/>
          <w:color w:val="auto"/>
        </w:rPr>
      </w:pPr>
    </w:p>
    <w:p>
      <w:pPr>
        <w:ind w:left="2140" w:right="1559" w:hanging="290"/>
        <w:spacing w:after="0" w:line="286" w:lineRule="auto"/>
        <w:tabs>
          <w:tab w:leader="none" w:pos="21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61" w:lineRule="exact"/>
        <w:rPr>
          <w:rFonts w:ascii="Times New Roman" w:cs="Times New Roman" w:eastAsia="Times New Roman" w:hAnsi="Times New Roman"/>
          <w:sz w:val="14"/>
          <w:szCs w:val="14"/>
          <w:color w:val="auto"/>
        </w:rPr>
      </w:pPr>
    </w:p>
    <w:p>
      <w:pPr>
        <w:ind w:left="2140" w:hanging="290"/>
        <w:spacing w:after="0"/>
        <w:tabs>
          <w:tab w:leader="none" w:pos="21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24" w:lineRule="exact"/>
        <w:rPr>
          <w:rFonts w:ascii="Times New Roman" w:cs="Times New Roman" w:eastAsia="Times New Roman" w:hAnsi="Times New Roman"/>
          <w:sz w:val="14"/>
          <w:szCs w:val="14"/>
          <w:color w:val="auto"/>
        </w:rPr>
      </w:pPr>
    </w:p>
    <w:p>
      <w:pPr>
        <w:ind w:left="2420" w:right="1379" w:hanging="288"/>
        <w:spacing w:after="0" w:line="269" w:lineRule="auto"/>
        <w:tabs>
          <w:tab w:leader="none" w:pos="242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83" w:lineRule="exact"/>
        <w:rPr>
          <w:rFonts w:ascii="Times New Roman" w:cs="Times New Roman" w:eastAsia="Times New Roman" w:hAnsi="Times New Roman"/>
          <w:sz w:val="14"/>
          <w:szCs w:val="14"/>
          <w:color w:val="auto"/>
        </w:rPr>
      </w:pPr>
    </w:p>
    <w:p>
      <w:pPr>
        <w:ind w:left="2420" w:right="1299" w:hanging="288"/>
        <w:spacing w:after="0" w:line="263" w:lineRule="auto"/>
        <w:tabs>
          <w:tab w:leader="none" w:pos="242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3" w:name="page54"/>
    <w:bookmarkEnd w:id="53"/>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420" w:right="1299"/>
        <w:spacing w:after="0" w:line="255" w:lineRule="auto"/>
        <w:rPr>
          <w:sz w:val="20"/>
          <w:szCs w:val="20"/>
          <w:color w:val="auto"/>
        </w:rPr>
      </w:pPr>
      <w:r>
        <w:rPr>
          <w:rFonts w:ascii="Times New Roman" w:cs="Times New Roman" w:eastAsia="Times New Roman" w:hAnsi="Times New Roman"/>
          <w:sz w:val="14"/>
          <w:szCs w:val="14"/>
          <w:color w:val="auto"/>
        </w:rPr>
        <w:t>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65" w:lineRule="exact"/>
        <w:rPr>
          <w:sz w:val="20"/>
          <w:szCs w:val="20"/>
          <w:color w:val="auto"/>
        </w:rPr>
      </w:pPr>
    </w:p>
    <w:p>
      <w:pPr>
        <w:ind w:left="2140" w:right="1299" w:hanging="290"/>
        <w:spacing w:after="0" w:line="258" w:lineRule="auto"/>
        <w:tabs>
          <w:tab w:leader="none" w:pos="214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1" w:lineRule="exact"/>
        <w:rPr>
          <w:rFonts w:ascii="Times New Roman" w:cs="Times New Roman" w:eastAsia="Times New Roman" w:hAnsi="Times New Roman"/>
          <w:sz w:val="14"/>
          <w:szCs w:val="14"/>
          <w:color w:val="auto"/>
        </w:rPr>
      </w:pPr>
    </w:p>
    <w:p>
      <w:pPr>
        <w:ind w:left="2420" w:right="1519" w:hanging="288"/>
        <w:spacing w:after="0" w:line="286" w:lineRule="auto"/>
        <w:tabs>
          <w:tab w:leader="none" w:pos="2420" w:val="left"/>
        </w:tabs>
        <w:numPr>
          <w:ilvl w:val="2"/>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61" w:lineRule="exact"/>
        <w:rPr>
          <w:rFonts w:ascii="Times New Roman" w:cs="Times New Roman" w:eastAsia="Times New Roman" w:hAnsi="Times New Roman"/>
          <w:sz w:val="14"/>
          <w:szCs w:val="14"/>
          <w:color w:val="auto"/>
        </w:rPr>
      </w:pPr>
    </w:p>
    <w:p>
      <w:pPr>
        <w:ind w:left="2420" w:right="1699" w:hanging="288"/>
        <w:spacing w:after="0" w:line="286" w:lineRule="auto"/>
        <w:tabs>
          <w:tab w:leader="none" w:pos="2420" w:val="left"/>
        </w:tabs>
        <w:numPr>
          <w:ilvl w:val="2"/>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71" w:lineRule="exact"/>
        <w:rPr>
          <w:rFonts w:ascii="Times New Roman" w:cs="Times New Roman" w:eastAsia="Times New Roman" w:hAnsi="Times New Roman"/>
          <w:sz w:val="14"/>
          <w:szCs w:val="14"/>
          <w:color w:val="auto"/>
        </w:rPr>
      </w:pPr>
    </w:p>
    <w:p>
      <w:pPr>
        <w:ind w:left="2420" w:right="1419" w:hanging="288"/>
        <w:spacing w:after="0" w:line="269" w:lineRule="auto"/>
        <w:tabs>
          <w:tab w:leader="none" w:pos="2420" w:val="left"/>
        </w:tabs>
        <w:numPr>
          <w:ilvl w:val="2"/>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83" w:lineRule="exact"/>
        <w:rPr>
          <w:rFonts w:ascii="Times New Roman" w:cs="Times New Roman" w:eastAsia="Times New Roman" w:hAnsi="Times New Roman"/>
          <w:sz w:val="14"/>
          <w:szCs w:val="14"/>
          <w:color w:val="auto"/>
        </w:rPr>
      </w:pPr>
    </w:p>
    <w:p>
      <w:pPr>
        <w:ind w:left="2420" w:right="1759" w:hanging="288"/>
        <w:spacing w:after="0" w:line="286" w:lineRule="auto"/>
        <w:tabs>
          <w:tab w:leader="none" w:pos="2420" w:val="left"/>
        </w:tabs>
        <w:numPr>
          <w:ilvl w:val="2"/>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61" w:lineRule="exact"/>
        <w:rPr>
          <w:rFonts w:ascii="Times New Roman" w:cs="Times New Roman" w:eastAsia="Times New Roman" w:hAnsi="Times New Roman"/>
          <w:sz w:val="14"/>
          <w:szCs w:val="14"/>
          <w:color w:val="auto"/>
        </w:rPr>
      </w:pPr>
    </w:p>
    <w:p>
      <w:pPr>
        <w:ind w:left="1840" w:right="1339" w:hanging="273"/>
        <w:spacing w:after="0" w:line="258" w:lineRule="auto"/>
        <w:tabs>
          <w:tab w:leader="none" w:pos="18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undersigned registrants hereby undertakes that, for purposes of determining any liability under the Securities Act, each filing of Plains All American Pipeline, L.P.’s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the securities at that time shall be deemed to be the initial bona fide offering thereof.</w:t>
      </w:r>
    </w:p>
    <w:p>
      <w:pPr>
        <w:spacing w:after="0" w:line="91" w:lineRule="exact"/>
        <w:rPr>
          <w:rFonts w:ascii="Times New Roman" w:cs="Times New Roman" w:eastAsia="Times New Roman" w:hAnsi="Times New Roman"/>
          <w:sz w:val="14"/>
          <w:szCs w:val="14"/>
          <w:color w:val="auto"/>
        </w:rPr>
      </w:pPr>
    </w:p>
    <w:p>
      <w:pPr>
        <w:ind w:left="1840" w:right="1339" w:hanging="273"/>
        <w:spacing w:after="0" w:line="255" w:lineRule="auto"/>
        <w:tabs>
          <w:tab w:leader="none" w:pos="18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provisions described in Item 15 above,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the registrant will, unless in the opinion of its counsel the matter has been settled by controlling precedent, submit to a court of appropriate jurisdiction the question whether indemnification by it is against public policy as expressed in the Securities Act and will be governed by the final adjudication of the issue.</w:t>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4" w:name="page55"/>
    <w:bookmarkEnd w:id="54"/>
    <w:p>
      <w:pPr>
        <w:spacing w:after="0" w:line="187" w:lineRule="auto"/>
        <w:framePr w:w="200" w:h="126" w:wrap="auto" w:vAnchor="page" w:hAnchor="page" w:x="3120" w:y="1507"/>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w:t>
      </w:r>
    </w:p>
    <w:p>
      <w:pPr>
        <w:spacing w:after="0" w:line="187" w:lineRule="auto"/>
        <w:framePr w:w="200" w:h="126" w:wrap="auto" w:vAnchor="page" w:hAnchor="page" w:x="3120" w:y="1719"/>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w:t>
      </w:r>
    </w:p>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54"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INDEX TO EXHIBITS</w:t>
      </w:r>
    </w:p>
    <w:p>
      <w:pPr>
        <w:spacing w:after="0" w:line="154" w:lineRule="exact"/>
        <w:rPr>
          <w:rFonts w:ascii="Times New Roman" w:cs="Times New Roman" w:eastAsia="Times New Roman" w:hAnsi="Times New Roman"/>
          <w:sz w:val="14"/>
          <w:szCs w:val="14"/>
          <w:color w:val="auto"/>
        </w:rPr>
      </w:pPr>
    </w:p>
    <w:p>
      <w:pPr>
        <w:ind w:left="1320"/>
        <w:spacing w:after="0"/>
        <w:rPr>
          <w:sz w:val="20"/>
          <w:szCs w:val="20"/>
          <w:color w:val="auto"/>
        </w:rPr>
      </w:pPr>
      <w:r>
        <w:rPr>
          <w:rFonts w:ascii="Times New Roman" w:cs="Times New Roman" w:eastAsia="Times New Roman" w:hAnsi="Times New Roman"/>
          <w:sz w:val="11"/>
          <w:szCs w:val="11"/>
          <w:b w:val="1"/>
          <w:bCs w:val="1"/>
          <w:color w:val="auto"/>
        </w:rPr>
        <w:t>Exhibit</w:t>
      </w:r>
    </w:p>
    <w:p>
      <w:pPr>
        <w:jc w:val="right"/>
        <w:ind w:right="1279"/>
        <w:spacing w:after="0" w:line="183" w:lineRule="auto"/>
        <w:tabs>
          <w:tab w:leader="none" w:pos="3180" w:val="left"/>
        </w:tabs>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9"/>
          <w:szCs w:val="9"/>
          <w:b w:val="1"/>
          <w:bCs w:val="1"/>
          <w:color w:val="auto"/>
        </w:rPr>
        <w:t xml:space="preserve">Number </w:t>
      </w:r>
      <w:r>
        <w:rPr>
          <w:rFonts w:ascii="Times New Roman" w:cs="Times New Roman" w:eastAsia="Times New Roman" w:hAnsi="Times New Roman"/>
          <w:sz w:val="17"/>
          <w:szCs w:val="17"/>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Description</w:t>
      </w:r>
      <w:r>
        <w:rPr>
          <w:sz w:val="20"/>
          <w:szCs w:val="20"/>
          <w:color w:val="auto"/>
        </w:rPr>
        <w:t xml:space="preserve"> </w:t>
      </w:r>
      <w:r>
        <w:rPr>
          <w:rFonts w:ascii="Times New Roman" w:cs="Times New Roman" w:eastAsia="Times New Roman" w:hAnsi="Times New Roman"/>
          <w:sz w:val="17"/>
          <w:szCs w:val="17"/>
          <w:b w:val="1"/>
          <w:bCs w:val="1"/>
          <w:color w:val="auto"/>
          <w:vertAlign w:val="subscript"/>
        </w:rPr>
        <w:t>​</w:t>
      </w:r>
    </w:p>
    <w:p>
      <w:pPr>
        <w:sectPr>
          <w:pgSz w:w="11900" w:h="16838" w:orient="portrait"/>
          <w:cols w:equalWidth="0" w:num="1">
            <w:col w:w="9019"/>
          </w:cols>
          <w:pgMar w:left="1440" w:top="107" w:right="1440" w:bottom="1440" w:gutter="0" w:footer="0" w:header="0"/>
        </w:sectPr>
      </w:pPr>
    </w:p>
    <w:p>
      <w:pPr>
        <w:spacing w:after="0" w:line="166" w:lineRule="exact"/>
        <w:rPr>
          <w:rFonts w:ascii="Times New Roman" w:cs="Times New Roman" w:eastAsia="Times New Roman" w:hAnsi="Times New Roman"/>
          <w:sz w:val="14"/>
          <w:szCs w:val="14"/>
          <w:color w:val="auto"/>
        </w:rPr>
      </w:pPr>
    </w:p>
    <w:p>
      <w:pPr>
        <w:ind w:left="1280"/>
        <w:spacing w:after="0" w:line="192" w:lineRule="auto"/>
        <w:tabs>
          <w:tab w:leader="none" w:pos="1880" w:val="left"/>
        </w:tabs>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 xml:space="preserve"> 1.1**</w:t>
      </w:r>
      <w:r>
        <w:rPr>
          <w:sz w:val="20"/>
          <w:szCs w:val="20"/>
          <w:color w:val="auto"/>
        </w:rPr>
        <w:tab/>
      </w:r>
      <w:r>
        <w:rPr>
          <w:rFonts w:ascii="Times New Roman" w:cs="Times New Roman" w:eastAsia="Times New Roman" w:hAnsi="Times New Roman"/>
          <w:sz w:val="5"/>
          <w:szCs w:val="5"/>
          <w:color w:val="auto"/>
        </w:rPr>
        <w:t>Form of Underwriting Agreement</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819150</wp:posOffset>
            </wp:positionH>
            <wp:positionV relativeFrom="paragraph">
              <wp:posOffset>-121920</wp:posOffset>
            </wp:positionV>
            <wp:extent cx="408178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4081780" cy="6985"/>
                    </a:xfrm>
                    <a:prstGeom prst="rect">
                      <a:avLst/>
                    </a:prstGeom>
                    <a:noFill/>
                  </pic:spPr>
                </pic:pic>
              </a:graphicData>
            </a:graphic>
          </wp:anchor>
        </w:drawing>
      </w:r>
    </w:p>
    <w:p>
      <w:pPr>
        <w:spacing w:after="0" w:line="146" w:lineRule="exact"/>
        <w:rPr>
          <w:rFonts w:ascii="Times New Roman" w:cs="Times New Roman" w:eastAsia="Times New Roman" w:hAnsi="Times New Roman"/>
          <w:sz w:val="14"/>
          <w:szCs w:val="14"/>
          <w:color w:val="auto"/>
        </w:rPr>
      </w:pPr>
    </w:p>
    <w:p>
      <w:pPr>
        <w:ind w:left="1280"/>
        <w:spacing w:after="0" w:line="180" w:lineRule="auto"/>
        <w:tabs>
          <w:tab w:leader="none" w:pos="1880" w:val="left"/>
        </w:tabs>
        <w:rPr>
          <w:rFonts w:ascii="Times New Roman" w:cs="Times New Roman" w:eastAsia="Times New Roman" w:hAnsi="Times New Roman"/>
          <w:sz w:val="5"/>
          <w:szCs w:val="5"/>
          <w:u w:val="single" w:color="auto"/>
          <w:color w:val="0000EE"/>
        </w:rPr>
      </w:pPr>
      <w:r>
        <w:rPr>
          <w:rFonts w:ascii="Times New Roman" w:cs="Times New Roman" w:eastAsia="Times New Roman" w:hAnsi="Times New Roman"/>
          <w:sz w:val="5"/>
          <w:szCs w:val="5"/>
          <w:color w:val="auto"/>
        </w:rPr>
        <w:t>​ 4.1</w:t>
      </w:r>
      <w:r>
        <w:rPr>
          <w:sz w:val="20"/>
          <w:szCs w:val="20"/>
          <w:color w:val="auto"/>
        </w:rPr>
        <w:tab/>
      </w:r>
      <w:hyperlink r:id="rId82">
        <w:r>
          <w:rPr>
            <w:rFonts w:ascii="Times New Roman" w:cs="Times New Roman" w:eastAsia="Times New Roman" w:hAnsi="Times New Roman"/>
            <w:sz w:val="5"/>
            <w:szCs w:val="5"/>
            <w:u w:val="single" w:color="auto"/>
            <w:color w:val="0000EE"/>
          </w:rPr>
          <w:t>Indenture for Senior Debt Securities dated as of September 25, 2002 among Plains All American</w:t>
        </w:r>
      </w:hyperlink>
    </w:p>
    <w:p>
      <w:pPr>
        <w:jc w:val="both"/>
        <w:ind w:left="1900" w:right="60"/>
        <w:spacing w:after="0" w:line="252" w:lineRule="auto"/>
        <w:rPr>
          <w:rFonts w:ascii="Times New Roman" w:cs="Times New Roman" w:eastAsia="Times New Roman" w:hAnsi="Times New Roman"/>
          <w:sz w:val="14"/>
          <w:szCs w:val="14"/>
          <w:u w:val="single" w:color="auto"/>
          <w:color w:val="0000EE"/>
        </w:rPr>
      </w:pPr>
      <w:hyperlink r:id="rId82">
        <w:r>
          <w:rPr>
            <w:rFonts w:ascii="Times New Roman" w:cs="Times New Roman" w:eastAsia="Times New Roman" w:hAnsi="Times New Roman"/>
            <w:sz w:val="14"/>
            <w:szCs w:val="14"/>
            <w:u w:val="single" w:color="auto"/>
            <w:color w:val="0000EE"/>
          </w:rPr>
          <w:t>Pipeline, L.P., PAA Finance Corp. and Wachovia Bank, National Association, as original trustee</w:t>
        </w:r>
      </w:hyperlink>
      <w:r>
        <w:rPr>
          <w:rFonts w:ascii="Times New Roman" w:cs="Times New Roman" w:eastAsia="Times New Roman" w:hAnsi="Times New Roman"/>
          <w:sz w:val="14"/>
          <w:szCs w:val="14"/>
          <w:u w:val="single" w:color="auto"/>
          <w:color w:val="0000EE"/>
        </w:rPr>
        <w:t xml:space="preserve"> </w:t>
      </w:r>
      <w:hyperlink r:id="rId82">
        <w:r>
          <w:rPr>
            <w:rFonts w:ascii="Times New Roman" w:cs="Times New Roman" w:eastAsia="Times New Roman" w:hAnsi="Times New Roman"/>
            <w:sz w:val="14"/>
            <w:szCs w:val="14"/>
            <w:u w:val="single" w:color="auto"/>
            <w:color w:val="0000EE"/>
          </w:rPr>
          <w:t>(incorporated by reference to Exhibit 4.1 of the Partnership’s Quarterly Report on Form 10-Q for</w:t>
        </w:r>
      </w:hyperlink>
      <w:r>
        <w:rPr>
          <w:rFonts w:ascii="Times New Roman" w:cs="Times New Roman" w:eastAsia="Times New Roman" w:hAnsi="Times New Roman"/>
          <w:sz w:val="14"/>
          <w:szCs w:val="14"/>
          <w:u w:val="single" w:color="auto"/>
          <w:color w:val="0000EE"/>
        </w:rPr>
        <w:t xml:space="preserve"> </w:t>
      </w:r>
      <w:hyperlink r:id="rId82">
        <w:r>
          <w:rPr>
            <w:rFonts w:ascii="Times New Roman" w:cs="Times New Roman" w:eastAsia="Times New Roman" w:hAnsi="Times New Roman"/>
            <w:sz w:val="14"/>
            <w:szCs w:val="14"/>
            <w:u w:val="single" w:color="auto"/>
            <w:color w:val="0000EE"/>
          </w:rPr>
          <w:t>the quarter ended September 30, 2002 (File No. 001-14569)).</w:t>
        </w:r>
      </w:hyperlink>
    </w:p>
    <w:p>
      <w:pPr>
        <w:spacing w:after="0" w:line="1" w:lineRule="exact"/>
        <w:rPr>
          <w:rFonts w:ascii="Times New Roman" w:cs="Times New Roman" w:eastAsia="Times New Roman" w:hAnsi="Times New Roman"/>
          <w:sz w:val="14"/>
          <w:szCs w:val="14"/>
          <w:u w:val="single" w:color="auto"/>
          <w:color w:val="0000EE"/>
        </w:rPr>
      </w:pPr>
    </w:p>
    <w:p>
      <w:pPr>
        <w:ind w:left="1720" w:right="160" w:hanging="613"/>
        <w:spacing w:after="0" w:line="268" w:lineRule="auto"/>
        <w:tabs>
          <w:tab w:leader="none" w:pos="1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4.2</w:t>
        <w:tab/>
        <w:t xml:space="preserve">​ ​ </w:t>
      </w:r>
      <w:hyperlink r:id="rId83">
        <w:r>
          <w:rPr>
            <w:rFonts w:ascii="Times New Roman" w:cs="Times New Roman" w:eastAsia="Times New Roman" w:hAnsi="Times New Roman"/>
            <w:sz w:val="14"/>
            <w:szCs w:val="14"/>
            <w:u w:val="single" w:color="auto"/>
            <w:color w:val="0000EE"/>
          </w:rPr>
          <w:t>Form of Subordinated Indenture for Subordinated Debt Securities (incorporated by reference to</w:t>
        </w:r>
      </w:hyperlink>
      <w:r>
        <w:rPr>
          <w:rFonts w:ascii="Times New Roman" w:cs="Times New Roman" w:eastAsia="Times New Roman" w:hAnsi="Times New Roman"/>
          <w:sz w:val="14"/>
          <w:szCs w:val="14"/>
          <w:color w:val="auto"/>
        </w:rPr>
        <w:t xml:space="preserve"> </w:t>
      </w:r>
      <w:hyperlink r:id="rId83">
        <w:r>
          <w:rPr>
            <w:rFonts w:ascii="Times New Roman" w:cs="Times New Roman" w:eastAsia="Times New Roman" w:hAnsi="Times New Roman"/>
            <w:sz w:val="14"/>
            <w:szCs w:val="14"/>
            <w:u w:val="single" w:color="auto"/>
            <w:color w:val="0000EE"/>
          </w:rPr>
          <w:t>Exhibit 4.2 of the Partnership’s Registration Statement on Form S-3 filed on August 27, 2001</w:t>
        </w:r>
      </w:hyperlink>
      <w:r>
        <w:rPr>
          <w:rFonts w:ascii="Times New Roman" w:cs="Times New Roman" w:eastAsia="Times New Roman" w:hAnsi="Times New Roman"/>
          <w:sz w:val="14"/>
          <w:szCs w:val="14"/>
          <w:u w:val="single" w:color="auto"/>
          <w:color w:val="0000EE"/>
        </w:rPr>
        <w:t xml:space="preserve"> </w:t>
      </w:r>
      <w:hyperlink r:id="rId83">
        <w:r>
          <w:rPr>
            <w:rFonts w:ascii="Times New Roman" w:cs="Times New Roman" w:eastAsia="Times New Roman" w:hAnsi="Times New Roman"/>
            <w:sz w:val="14"/>
            <w:szCs w:val="14"/>
            <w:u w:val="single" w:color="auto"/>
            <w:color w:val="0000EE"/>
          </w:rPr>
          <w:t>(File No. 333-68446))</w:t>
        </w:r>
      </w:hyperlink>
    </w:p>
    <w:p>
      <w:pPr>
        <w:ind w:left="1360" w:hanging="75"/>
        <w:spacing w:after="0" w:line="191" w:lineRule="auto"/>
        <w:tabs>
          <w:tab w:leader="none" w:pos="1360" w:val="left"/>
        </w:tabs>
        <w:numPr>
          <w:ilvl w:val="0"/>
          <w:numId w:val="4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 xml:space="preserve">4.3** </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Form of Senior Debt Securities</w:t>
      </w:r>
    </w:p>
    <w:p>
      <w:pPr>
        <w:ind w:left="1360" w:hanging="75"/>
        <w:spacing w:after="0" w:line="186" w:lineRule="auto"/>
        <w:tabs>
          <w:tab w:leader="none" w:pos="1360" w:val="left"/>
        </w:tabs>
        <w:numPr>
          <w:ilvl w:val="0"/>
          <w:numId w:val="4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 xml:space="preserve">4.4** </w:t>
      </w:r>
      <w:r>
        <w:rPr>
          <w:rFonts w:ascii="Times New Roman" w:cs="Times New Roman" w:eastAsia="Times New Roman" w:hAnsi="Times New Roman"/>
          <w:sz w:val="19"/>
          <w:szCs w:val="19"/>
          <w:color w:val="auto"/>
          <w:vertAlign w:val="superscript"/>
        </w:rPr>
        <w:t>​ ​</w:t>
      </w:r>
      <w:r>
        <w:rPr>
          <w:rFonts w:ascii="Times New Roman" w:cs="Times New Roman" w:eastAsia="Times New Roman" w:hAnsi="Times New Roman"/>
          <w:sz w:val="11"/>
          <w:szCs w:val="11"/>
          <w:color w:val="auto"/>
        </w:rPr>
        <w:t xml:space="preserve"> Form of Subordinated Debt Securities</w:t>
      </w:r>
    </w:p>
    <w:tbl>
      <w:tblPr>
        <w:tblLayout w:type="fixed"/>
        <w:tblInd w:w="1280" w:type="dxa"/>
        <w:tblCellMar>
          <w:top w:w="0" w:type="dxa"/>
          <w:left w:w="0" w:type="dxa"/>
          <w:bottom w:w="0" w:type="dxa"/>
          <w:right w:w="0" w:type="dxa"/>
        </w:tblCellMar>
      </w:tblPr>
      <w:tr>
        <w:trPr>
          <w:trHeight w:val="179"/>
        </w:trPr>
        <w:tc>
          <w:tcPr>
            <w:tcW w:w="400" w:type="dxa"/>
            <w:vAlign w:val="bottom"/>
          </w:tcPr>
          <w:p>
            <w:pPr>
              <w:spacing w:after="0" w:line="179"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1"/>
                <w:szCs w:val="11"/>
                <w:color w:val="auto"/>
              </w:rPr>
              <w:t xml:space="preserve"> 5.1*</w:t>
            </w:r>
          </w:p>
        </w:tc>
        <w:tc>
          <w:tcPr>
            <w:tcW w:w="5940" w:type="dxa"/>
            <w:vAlign w:val="bottom"/>
            <w:gridSpan w:val="12"/>
          </w:tcPr>
          <w:p>
            <w:pPr>
              <w:ind w:left="40"/>
              <w:spacing w:after="0" w:line="179" w:lineRule="exact"/>
              <w:rPr>
                <w:sz w:val="20"/>
                <w:szCs w:val="20"/>
                <w:color w:val="auto"/>
              </w:rPr>
            </w:pPr>
            <w:r>
              <w:rPr>
                <w:rFonts w:ascii="Times New Roman" w:cs="Times New Roman" w:eastAsia="Times New Roman" w:hAnsi="Times New Roman"/>
                <w:sz w:val="20"/>
                <w:szCs w:val="20"/>
                <w:color w:val="000000"/>
                <w:vertAlign w:val="superscript"/>
              </w:rPr>
              <w:t>​ ​</w:t>
            </w:r>
            <w:r>
              <w:rPr>
                <w:rFonts w:ascii="Times New Roman" w:cs="Times New Roman" w:eastAsia="Times New Roman" w:hAnsi="Times New Roman"/>
                <w:sz w:val="11"/>
                <w:szCs w:val="11"/>
                <w:color w:val="0000EE"/>
              </w:rPr>
              <w:t xml:space="preserve"> Opinion of Vinson &amp; Elkins L.L.P. as to the legality of the securities being registered</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0" w:type="dxa"/>
            <w:vAlign w:val="bottom"/>
          </w:tcPr>
          <w:p>
            <w:pPr>
              <w:spacing w:after="0" w:line="191"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 xml:space="preserve"> 8.1*</w:t>
            </w:r>
          </w:p>
        </w:tc>
        <w:tc>
          <w:tcPr>
            <w:tcW w:w="5940" w:type="dxa"/>
            <w:vAlign w:val="bottom"/>
            <w:gridSpan w:val="12"/>
          </w:tcPr>
          <w:p>
            <w:pPr>
              <w:ind w:left="40"/>
              <w:spacing w:after="0" w:line="191" w:lineRule="exact"/>
              <w:rPr>
                <w:sz w:val="20"/>
                <w:szCs w:val="20"/>
                <w:color w:val="auto"/>
              </w:rPr>
            </w:pPr>
            <w:r>
              <w:rPr>
                <w:rFonts w:ascii="Times New Roman" w:cs="Times New Roman" w:eastAsia="Times New Roman" w:hAnsi="Times New Roman"/>
                <w:sz w:val="22"/>
                <w:szCs w:val="22"/>
                <w:color w:val="000000"/>
                <w:vertAlign w:val="superscript"/>
              </w:rPr>
              <w:t>​ ​</w:t>
            </w:r>
            <w:r>
              <w:rPr>
                <w:rFonts w:ascii="Times New Roman" w:cs="Times New Roman" w:eastAsia="Times New Roman" w:hAnsi="Times New Roman"/>
                <w:sz w:val="12"/>
                <w:szCs w:val="12"/>
                <w:color w:val="0000EE"/>
              </w:rPr>
              <w:t xml:space="preserve"> Opinion of Vinson &amp; Elkins L.L.P. relating to tax matters</w:t>
            </w:r>
          </w:p>
        </w:tc>
        <w:tc>
          <w:tcPr>
            <w:tcW w:w="0" w:type="dxa"/>
            <w:vAlign w:val="bottom"/>
          </w:tcPr>
          <w:p>
            <w:pPr>
              <w:spacing w:after="0"/>
              <w:rPr>
                <w:sz w:val="1"/>
                <w:szCs w:val="1"/>
                <w:color w:val="auto"/>
              </w:rPr>
            </w:pPr>
          </w:p>
        </w:tc>
      </w:tr>
      <w:tr>
        <w:trPr>
          <w:trHeight w:val="139"/>
        </w:trPr>
        <w:tc>
          <w:tcPr>
            <w:tcW w:w="4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40"/>
              <w:spacing w:after="0" w:line="139" w:lineRule="exact"/>
              <w:rPr>
                <w:sz w:val="20"/>
                <w:szCs w:val="20"/>
                <w:color w:val="auto"/>
              </w:rPr>
            </w:pPr>
            <w:r>
              <w:rPr>
                <w:rFonts w:ascii="Times New Roman" w:cs="Times New Roman" w:eastAsia="Times New Roman" w:hAnsi="Times New Roman"/>
                <w:sz w:val="14"/>
                <w:szCs w:val="14"/>
                <w:color w:val="auto"/>
              </w:rPr>
              <w:t>​ ​</w:t>
            </w:r>
          </w:p>
        </w:tc>
        <w:tc>
          <w:tcPr>
            <w:tcW w:w="3400" w:type="dxa"/>
            <w:vAlign w:val="bottom"/>
            <w:tcBorders>
              <w:top w:val="single" w:sz="8" w:color="0000EE"/>
            </w:tcBorders>
            <w:gridSpan w:val="4"/>
            <w:vMerge w:val="restart"/>
          </w:tcPr>
          <w:p>
            <w:pPr>
              <w:spacing w:after="0"/>
              <w:rPr>
                <w:sz w:val="20"/>
                <w:szCs w:val="20"/>
                <w:color w:val="auto"/>
              </w:rPr>
            </w:pPr>
            <w:r>
              <w:rPr>
                <w:rFonts w:ascii="Times New Roman" w:cs="Times New Roman" w:eastAsia="Times New Roman" w:hAnsi="Times New Roman"/>
                <w:sz w:val="14"/>
                <w:szCs w:val="14"/>
                <w:color w:val="0000EE"/>
              </w:rPr>
              <w:t>Consent of PricewaterhouseCoopers LLP</w:t>
            </w:r>
          </w:p>
        </w:tc>
        <w:tc>
          <w:tcPr>
            <w:tcW w:w="2320" w:type="dxa"/>
            <w:vAlign w:val="bottom"/>
            <w:gridSpan w:val="7"/>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400" w:type="dxa"/>
            <w:vAlign w:val="bottom"/>
          </w:tcPr>
          <w:p>
            <w:pPr>
              <w:spacing w:after="0" w:line="53" w:lineRule="exact"/>
              <w:rPr>
                <w:sz w:val="20"/>
                <w:szCs w:val="20"/>
                <w:color w:val="auto"/>
              </w:rPr>
            </w:pPr>
            <w:r>
              <w:rPr>
                <w:rFonts w:ascii="Times New Roman" w:cs="Times New Roman" w:eastAsia="Times New Roman" w:hAnsi="Times New Roman"/>
                <w:sz w:val="6"/>
                <w:szCs w:val="6"/>
                <w:color w:val="auto"/>
              </w:rPr>
              <w:t>23.1*</w:t>
            </w:r>
          </w:p>
        </w:tc>
        <w:tc>
          <w:tcPr>
            <w:tcW w:w="220" w:type="dxa"/>
            <w:vAlign w:val="bottom"/>
          </w:tcPr>
          <w:p>
            <w:pPr>
              <w:spacing w:after="0"/>
              <w:rPr>
                <w:sz w:val="4"/>
                <w:szCs w:val="4"/>
                <w:color w:val="auto"/>
              </w:rPr>
            </w:pPr>
          </w:p>
        </w:tc>
        <w:tc>
          <w:tcPr>
            <w:tcW w:w="3400" w:type="dxa"/>
            <w:vAlign w:val="bottom"/>
            <w:gridSpan w:val="4"/>
            <w:vMerge w:val="continue"/>
          </w:tcPr>
          <w:p>
            <w:pPr>
              <w:spacing w:after="0"/>
              <w:rPr>
                <w:sz w:val="4"/>
                <w:szCs w:val="4"/>
                <w:color w:val="auto"/>
              </w:rPr>
            </w:pPr>
          </w:p>
        </w:tc>
        <w:tc>
          <w:tcPr>
            <w:tcW w:w="232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00" w:type="dxa"/>
            <w:vAlign w:val="bottom"/>
            <w:vMerge w:val="restart"/>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ind w:left="40"/>
              <w:spacing w:after="0" w:line="15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0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720" w:type="dxa"/>
            <w:vAlign w:val="bottom"/>
            <w:gridSpan w:val="11"/>
            <w:vMerge w:val="restart"/>
          </w:tcPr>
          <w:p>
            <w:pPr>
              <w:spacing w:after="0"/>
              <w:rPr>
                <w:sz w:val="20"/>
                <w:szCs w:val="20"/>
                <w:color w:val="auto"/>
              </w:rPr>
            </w:pPr>
            <w:r>
              <w:rPr>
                <w:rFonts w:ascii="Times New Roman" w:cs="Times New Roman" w:eastAsia="Times New Roman" w:hAnsi="Times New Roman"/>
                <w:sz w:val="14"/>
                <w:szCs w:val="14"/>
                <w:color w:val="auto"/>
              </w:rPr>
              <w:t xml:space="preserve">Consent of Vinson &amp; Elkins L.L.P. (contained in Exhibits </w:t>
            </w:r>
            <w:r>
              <w:rPr>
                <w:rFonts w:ascii="Times New Roman" w:cs="Times New Roman" w:eastAsia="Times New Roman" w:hAnsi="Times New Roman"/>
                <w:sz w:val="14"/>
                <w:szCs w:val="14"/>
                <w:color w:val="0000EE"/>
              </w:rPr>
              <w:t>5.1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color w:val="0000EE"/>
              </w:rPr>
              <w:t>8.1</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3"/>
        </w:trPr>
        <w:tc>
          <w:tcPr>
            <w:tcW w:w="400" w:type="dxa"/>
            <w:vAlign w:val="bottom"/>
          </w:tcPr>
          <w:p>
            <w:pPr>
              <w:spacing w:after="0" w:line="53" w:lineRule="exact"/>
              <w:rPr>
                <w:sz w:val="20"/>
                <w:szCs w:val="20"/>
                <w:color w:val="auto"/>
              </w:rPr>
            </w:pPr>
            <w:r>
              <w:rPr>
                <w:rFonts w:ascii="Times New Roman" w:cs="Times New Roman" w:eastAsia="Times New Roman" w:hAnsi="Times New Roman"/>
                <w:sz w:val="6"/>
                <w:szCs w:val="6"/>
                <w:color w:val="auto"/>
              </w:rPr>
              <w:t>23.2*</w:t>
            </w:r>
          </w:p>
        </w:tc>
        <w:tc>
          <w:tcPr>
            <w:tcW w:w="220" w:type="dxa"/>
            <w:vAlign w:val="bottom"/>
          </w:tcPr>
          <w:p>
            <w:pPr>
              <w:spacing w:after="0"/>
              <w:rPr>
                <w:sz w:val="4"/>
                <w:szCs w:val="4"/>
                <w:color w:val="auto"/>
              </w:rPr>
            </w:pPr>
          </w:p>
        </w:tc>
        <w:tc>
          <w:tcPr>
            <w:tcW w:w="5720" w:type="dxa"/>
            <w:vAlign w:val="bottom"/>
            <w:gridSpan w:val="1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00" w:type="dxa"/>
            <w:vAlign w:val="bottom"/>
            <w:vMerge w:val="restart"/>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ind w:left="40"/>
              <w:spacing w:after="0" w:line="15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0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4840" w:type="dxa"/>
            <w:vAlign w:val="bottom"/>
            <w:gridSpan w:val="9"/>
            <w:vMerge w:val="restart"/>
          </w:tcPr>
          <w:p>
            <w:pPr>
              <w:spacing w:after="0"/>
              <w:rPr>
                <w:sz w:val="20"/>
                <w:szCs w:val="20"/>
                <w:color w:val="auto"/>
              </w:rPr>
            </w:pPr>
            <w:r>
              <w:rPr>
                <w:rFonts w:ascii="Times New Roman" w:cs="Times New Roman" w:eastAsia="Times New Roman" w:hAnsi="Times New Roman"/>
                <w:sz w:val="14"/>
                <w:szCs w:val="14"/>
                <w:color w:val="0000EE"/>
              </w:rPr>
              <w:t>Powers of Attorney (included on the signature page of this registration statement)</w:t>
            </w:r>
          </w:p>
        </w:tc>
        <w:tc>
          <w:tcPr>
            <w:tcW w:w="88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400" w:type="dxa"/>
            <w:vAlign w:val="bottom"/>
          </w:tcPr>
          <w:p>
            <w:pPr>
              <w:spacing w:after="0" w:line="53" w:lineRule="exact"/>
              <w:rPr>
                <w:sz w:val="20"/>
                <w:szCs w:val="20"/>
                <w:color w:val="auto"/>
              </w:rPr>
            </w:pPr>
            <w:r>
              <w:rPr>
                <w:rFonts w:ascii="Times New Roman" w:cs="Times New Roman" w:eastAsia="Times New Roman" w:hAnsi="Times New Roman"/>
                <w:sz w:val="6"/>
                <w:szCs w:val="6"/>
                <w:color w:val="auto"/>
              </w:rPr>
              <w:t>24.1*</w:t>
            </w:r>
          </w:p>
        </w:tc>
        <w:tc>
          <w:tcPr>
            <w:tcW w:w="220" w:type="dxa"/>
            <w:vAlign w:val="bottom"/>
          </w:tcPr>
          <w:p>
            <w:pPr>
              <w:spacing w:after="0"/>
              <w:rPr>
                <w:sz w:val="4"/>
                <w:szCs w:val="4"/>
                <w:color w:val="auto"/>
              </w:rPr>
            </w:pPr>
          </w:p>
        </w:tc>
        <w:tc>
          <w:tcPr>
            <w:tcW w:w="4840" w:type="dxa"/>
            <w:vAlign w:val="bottom"/>
            <w:tcBorders>
              <w:bottom w:val="single" w:sz="8" w:color="0000EE"/>
            </w:tcBorders>
            <w:gridSpan w:val="9"/>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720" w:type="dxa"/>
            <w:vAlign w:val="bottom"/>
            <w:gridSpan w:val="11"/>
            <w:vMerge w:val="restart"/>
          </w:tcPr>
          <w:p>
            <w:pPr>
              <w:spacing w:after="0"/>
              <w:rPr>
                <w:sz w:val="20"/>
                <w:szCs w:val="20"/>
                <w:color w:val="auto"/>
              </w:rPr>
            </w:pPr>
            <w:r>
              <w:rPr>
                <w:rFonts w:ascii="Times New Roman" w:cs="Times New Roman" w:eastAsia="Times New Roman" w:hAnsi="Times New Roman"/>
                <w:sz w:val="14"/>
                <w:szCs w:val="14"/>
                <w:color w:val="0000EE"/>
              </w:rPr>
              <w:t>Form T-1 Statement of Eligibility and Qualification under the Trust Indenture Act of 1939 of the</w:t>
            </w:r>
          </w:p>
        </w:tc>
        <w:tc>
          <w:tcPr>
            <w:tcW w:w="0" w:type="dxa"/>
            <w:vAlign w:val="bottom"/>
          </w:tcPr>
          <w:p>
            <w:pPr>
              <w:spacing w:after="0"/>
              <w:rPr>
                <w:sz w:val="1"/>
                <w:szCs w:val="1"/>
                <w:color w:val="auto"/>
              </w:rPr>
            </w:pPr>
          </w:p>
        </w:tc>
      </w:tr>
      <w:tr>
        <w:trPr>
          <w:trHeight w:val="37"/>
        </w:trPr>
        <w:tc>
          <w:tcPr>
            <w:tcW w:w="400" w:type="dxa"/>
            <w:vAlign w:val="bottom"/>
          </w:tcPr>
          <w:p>
            <w:pPr>
              <w:spacing w:after="0" w:line="32" w:lineRule="exact"/>
              <w:rPr>
                <w:sz w:val="20"/>
                <w:szCs w:val="20"/>
                <w:color w:val="auto"/>
              </w:rPr>
            </w:pPr>
            <w:r>
              <w:rPr>
                <w:rFonts w:ascii="Times New Roman" w:cs="Times New Roman" w:eastAsia="Times New Roman" w:hAnsi="Times New Roman"/>
                <w:sz w:val="3"/>
                <w:szCs w:val="3"/>
                <w:color w:val="auto"/>
              </w:rPr>
              <w:t>25.1*</w:t>
            </w:r>
          </w:p>
        </w:tc>
        <w:tc>
          <w:tcPr>
            <w:tcW w:w="220" w:type="dxa"/>
            <w:vAlign w:val="bottom"/>
          </w:tcPr>
          <w:p>
            <w:pPr>
              <w:spacing w:after="0"/>
              <w:rPr>
                <w:sz w:val="2"/>
                <w:szCs w:val="2"/>
                <w:color w:val="auto"/>
              </w:rPr>
            </w:pPr>
          </w:p>
        </w:tc>
        <w:tc>
          <w:tcPr>
            <w:tcW w:w="5720" w:type="dxa"/>
            <w:vAlign w:val="bottom"/>
            <w:tcBorders>
              <w:bottom w:val="single" w:sz="8" w:color="0000EE"/>
            </w:tcBorders>
            <w:gridSpan w:val="11"/>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Borders>
              <w:bottom w:val="single" w:sz="8" w:color="0000EE"/>
            </w:tcBorders>
            <w:gridSpan w:val="2"/>
          </w:tcPr>
          <w:p>
            <w:pPr>
              <w:spacing w:after="0" w:line="149" w:lineRule="exact"/>
              <w:rPr>
                <w:sz w:val="20"/>
                <w:szCs w:val="20"/>
                <w:color w:val="auto"/>
              </w:rPr>
            </w:pPr>
            <w:r>
              <w:rPr>
                <w:rFonts w:ascii="Times New Roman" w:cs="Times New Roman" w:eastAsia="Times New Roman" w:hAnsi="Times New Roman"/>
                <w:sz w:val="14"/>
                <w:szCs w:val="14"/>
                <w:color w:val="0000EE"/>
              </w:rPr>
              <w:t>trustee under the Senior Indenture</w:t>
            </w:r>
          </w:p>
        </w:tc>
        <w:tc>
          <w:tcPr>
            <w:tcW w:w="370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5720" w:type="dxa"/>
            <w:vAlign w:val="bottom"/>
            <w:gridSpan w:val="11"/>
            <w:vMerge w:val="restart"/>
          </w:tcPr>
          <w:p>
            <w:pPr>
              <w:spacing w:after="0"/>
              <w:rPr>
                <w:sz w:val="20"/>
                <w:szCs w:val="20"/>
                <w:color w:val="auto"/>
              </w:rPr>
            </w:pPr>
            <w:r>
              <w:rPr>
                <w:rFonts w:ascii="Times New Roman" w:cs="Times New Roman" w:eastAsia="Times New Roman" w:hAnsi="Times New Roman"/>
                <w:sz w:val="14"/>
                <w:szCs w:val="14"/>
                <w:color w:val="0000EE"/>
              </w:rPr>
              <w:t>Form T-1 Statement of Eligibility and Qualification under the Trust Indenture Act of 1939 of the</w:t>
            </w:r>
          </w:p>
        </w:tc>
        <w:tc>
          <w:tcPr>
            <w:tcW w:w="0" w:type="dxa"/>
            <w:vAlign w:val="bottom"/>
          </w:tcPr>
          <w:p>
            <w:pPr>
              <w:spacing w:after="0"/>
              <w:rPr>
                <w:sz w:val="1"/>
                <w:szCs w:val="1"/>
                <w:color w:val="auto"/>
              </w:rPr>
            </w:pPr>
          </w:p>
        </w:tc>
      </w:tr>
      <w:tr>
        <w:trPr>
          <w:trHeight w:val="37"/>
        </w:trPr>
        <w:tc>
          <w:tcPr>
            <w:tcW w:w="400" w:type="dxa"/>
            <w:vAlign w:val="bottom"/>
          </w:tcPr>
          <w:p>
            <w:pPr>
              <w:spacing w:after="0" w:line="32" w:lineRule="exact"/>
              <w:rPr>
                <w:sz w:val="20"/>
                <w:szCs w:val="20"/>
                <w:color w:val="auto"/>
              </w:rPr>
            </w:pPr>
            <w:r>
              <w:rPr>
                <w:rFonts w:ascii="Times New Roman" w:cs="Times New Roman" w:eastAsia="Times New Roman" w:hAnsi="Times New Roman"/>
                <w:sz w:val="3"/>
                <w:szCs w:val="3"/>
                <w:color w:val="auto"/>
              </w:rPr>
              <w:t>25.2*</w:t>
            </w:r>
          </w:p>
        </w:tc>
        <w:tc>
          <w:tcPr>
            <w:tcW w:w="220" w:type="dxa"/>
            <w:vAlign w:val="bottom"/>
          </w:tcPr>
          <w:p>
            <w:pPr>
              <w:spacing w:after="0"/>
              <w:rPr>
                <w:sz w:val="2"/>
                <w:szCs w:val="2"/>
                <w:color w:val="auto"/>
              </w:rPr>
            </w:pPr>
          </w:p>
        </w:tc>
        <w:tc>
          <w:tcPr>
            <w:tcW w:w="5720" w:type="dxa"/>
            <w:vAlign w:val="bottom"/>
            <w:tcBorders>
              <w:bottom w:val="single" w:sz="8" w:color="0000EE"/>
            </w:tcBorders>
            <w:gridSpan w:val="11"/>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440" w:type="dxa"/>
            <w:vAlign w:val="bottom"/>
            <w:tcBorders>
              <w:bottom w:val="single" w:sz="8" w:color="0000EE"/>
            </w:tcBorders>
            <w:gridSpan w:val="3"/>
          </w:tcPr>
          <w:p>
            <w:pPr>
              <w:spacing w:after="0" w:line="149" w:lineRule="exact"/>
              <w:rPr>
                <w:sz w:val="20"/>
                <w:szCs w:val="20"/>
                <w:color w:val="auto"/>
              </w:rPr>
            </w:pPr>
            <w:r>
              <w:rPr>
                <w:rFonts w:ascii="Times New Roman" w:cs="Times New Roman" w:eastAsia="Times New Roman" w:hAnsi="Times New Roman"/>
                <w:sz w:val="14"/>
                <w:szCs w:val="14"/>
                <w:color w:val="0000EE"/>
              </w:rPr>
              <w:t>trustee under the Subordinated Indenture</w:t>
            </w:r>
          </w:p>
        </w:tc>
        <w:tc>
          <w:tcPr>
            <w:tcW w:w="328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720" w:type="dxa"/>
            <w:vAlign w:val="bottom"/>
            <w:gridSpan w:val="11"/>
            <w:vMerge w:val="restart"/>
          </w:tcPr>
          <w:p>
            <w:pPr>
              <w:spacing w:after="0"/>
              <w:rPr>
                <w:sz w:val="20"/>
                <w:szCs w:val="20"/>
                <w:color w:val="auto"/>
              </w:rPr>
            </w:pPr>
            <w:r>
              <w:rPr>
                <w:rFonts w:ascii="Times New Roman" w:cs="Times New Roman" w:eastAsia="Times New Roman" w:hAnsi="Times New Roman"/>
                <w:sz w:val="14"/>
                <w:szCs w:val="14"/>
                <w:color w:val="0000EE"/>
              </w:rPr>
              <w:t>Filing Fee Table</w:t>
            </w:r>
          </w:p>
        </w:tc>
        <w:tc>
          <w:tcPr>
            <w:tcW w:w="0" w:type="dxa"/>
            <w:vAlign w:val="bottom"/>
          </w:tcPr>
          <w:p>
            <w:pPr>
              <w:spacing w:after="0"/>
              <w:rPr>
                <w:sz w:val="1"/>
                <w:szCs w:val="1"/>
                <w:color w:val="auto"/>
              </w:rPr>
            </w:pPr>
          </w:p>
        </w:tc>
      </w:tr>
      <w:tr>
        <w:trPr>
          <w:trHeight w:val="53"/>
        </w:trPr>
        <w:tc>
          <w:tcPr>
            <w:tcW w:w="400" w:type="dxa"/>
            <w:vAlign w:val="bottom"/>
          </w:tcPr>
          <w:p>
            <w:pPr>
              <w:spacing w:after="0" w:line="53" w:lineRule="exact"/>
              <w:rPr>
                <w:sz w:val="20"/>
                <w:szCs w:val="20"/>
                <w:color w:val="auto"/>
              </w:rPr>
            </w:pPr>
            <w:r>
              <w:rPr>
                <w:rFonts w:ascii="Times New Roman" w:cs="Times New Roman" w:eastAsia="Times New Roman" w:hAnsi="Times New Roman"/>
                <w:sz w:val="6"/>
                <w:szCs w:val="6"/>
                <w:color w:val="auto"/>
              </w:rPr>
              <w:t>107*</w:t>
            </w:r>
          </w:p>
        </w:tc>
        <w:tc>
          <w:tcPr>
            <w:tcW w:w="220" w:type="dxa"/>
            <w:vAlign w:val="bottom"/>
          </w:tcPr>
          <w:p>
            <w:pPr>
              <w:spacing w:after="0"/>
              <w:rPr>
                <w:sz w:val="4"/>
                <w:szCs w:val="4"/>
                <w:color w:val="auto"/>
              </w:rPr>
            </w:pPr>
          </w:p>
        </w:tc>
        <w:tc>
          <w:tcPr>
            <w:tcW w:w="5720" w:type="dxa"/>
            <w:vAlign w:val="bottom"/>
            <w:gridSpan w:val="1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819150</wp:posOffset>
            </wp:positionH>
            <wp:positionV relativeFrom="paragraph">
              <wp:posOffset>127635</wp:posOffset>
            </wp:positionV>
            <wp:extent cx="96837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968375" cy="6985"/>
                    </a:xfrm>
                    <a:prstGeom prst="rect">
                      <a:avLst/>
                    </a:prstGeom>
                    <a:noFill/>
                  </pic:spPr>
                </pic:pic>
              </a:graphicData>
            </a:graphic>
          </wp:anchor>
        </w:drawing>
      </w:r>
    </w:p>
    <w:p>
      <w:pPr>
        <w:spacing w:after="0" w:line="283" w:lineRule="exact"/>
        <w:rPr>
          <w:rFonts w:ascii="Times New Roman" w:cs="Times New Roman" w:eastAsia="Times New Roman" w:hAnsi="Times New Roman"/>
          <w:sz w:val="14"/>
          <w:szCs w:val="14"/>
          <w:color w:val="auto"/>
        </w:rPr>
      </w:pPr>
    </w:p>
    <w:p>
      <w:pPr>
        <w:ind w:left="1560" w:hanging="275"/>
        <w:spacing w:after="0"/>
        <w:tabs>
          <w:tab w:leader="none" w:pos="15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72" w:lineRule="exact"/>
        <w:rPr>
          <w:rFonts w:ascii="Times New Roman" w:cs="Times New Roman" w:eastAsia="Times New Roman" w:hAnsi="Times New Roman"/>
          <w:sz w:val="14"/>
          <w:szCs w:val="14"/>
          <w:color w:val="auto"/>
        </w:rPr>
      </w:pPr>
    </w:p>
    <w:p>
      <w:pPr>
        <w:ind w:left="1560" w:hanging="275"/>
        <w:spacing w:after="0" w:line="286" w:lineRule="auto"/>
        <w:tabs>
          <w:tab w:leader="none" w:pos="15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as an exhibit to a report pursuant to Section 13(a) or 15(d) of the Exchange Act or in a post-effective amendment to this registration statement.</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25" w:lineRule="exact"/>
        <w:rPr>
          <w:rFonts w:ascii="Times New Roman" w:cs="Times New Roman" w:eastAsia="Times New Roman" w:hAnsi="Times New Roman"/>
          <w:sz w:val="14"/>
          <w:szCs w:val="14"/>
          <w:color w:val="auto"/>
        </w:rPr>
      </w:pPr>
    </w:p>
    <w:p>
      <w:pPr>
        <w:ind w:left="4380"/>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51"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rFonts w:ascii="Times New Roman" w:cs="Times New Roman" w:eastAsia="Times New Roman" w:hAnsi="Times New Roman"/>
          <w:sz w:val="14"/>
          <w:szCs w:val="14"/>
          <w:color w:val="auto"/>
        </w:rPr>
      </w:pPr>
    </w:p>
    <w:p>
      <w:pPr>
        <w:spacing w:after="0" w:line="349"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69"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51"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51"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51"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51"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51"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51"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61"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20"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10"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2">
            <w:col w:w="7700" w:space="20"/>
            <w:col w:w="1299"/>
          </w:cols>
          <w:pgMar w:left="1440" w:top="107" w:right="1440" w:bottom="1440" w:gutter="0" w:footer="0" w:header="0"/>
          <w:type w:val="continuous"/>
        </w:sectPr>
      </w:pPr>
    </w:p>
    <w:bookmarkStart w:id="55" w:name="page56"/>
    <w:bookmarkEnd w:id="55"/>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7" w:lineRule="exact"/>
        <w:rPr>
          <w:sz w:val="20"/>
          <w:szCs w:val="20"/>
          <w:color w:val="auto"/>
        </w:rPr>
      </w:pPr>
    </w:p>
    <w:p>
      <w:pPr>
        <w:ind w:left="1280" w:right="1359" w:firstLine="282"/>
        <w:spacing w:after="0" w:line="26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September 6, 2024.</w:t>
      </w:r>
    </w:p>
    <w:p>
      <w:pPr>
        <w:spacing w:after="0" w:line="21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PLAINS ALL AMERICAN PIPELINE, L.P.</w:t>
      </w:r>
    </w:p>
    <w:p>
      <w:pPr>
        <w:spacing w:after="0" w:line="18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PAA GP LLC, its general partner</w:t>
      </w:r>
    </w:p>
    <w:p>
      <w:pPr>
        <w:spacing w:after="0" w:line="17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Plains AAP, L.P., its sole member</w:t>
      </w:r>
    </w:p>
    <w:p>
      <w:pPr>
        <w:spacing w:after="0" w:line="17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Plains All American GP LLC, its general partner</w:t>
      </w:r>
    </w:p>
    <w:p>
      <w:pPr>
        <w:spacing w:after="0" w:line="17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Plains GP Holdings, L.P., its sole member</w:t>
      </w:r>
    </w:p>
    <w:p>
      <w:pPr>
        <w:spacing w:after="0" w:line="17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PAA GP Holdings LLC, its general partner</w:t>
      </w:r>
    </w:p>
    <w:p>
      <w:pPr>
        <w:spacing w:after="0" w:line="17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34925</wp:posOffset>
            </wp:positionV>
            <wp:extent cx="193675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936750" cy="6985"/>
                    </a:xfrm>
                    <a:prstGeom prst="rect">
                      <a:avLst/>
                    </a:prstGeom>
                    <a:noFill/>
                  </pic:spPr>
                </pic:pic>
              </a:graphicData>
            </a:graphic>
          </wp:anchor>
        </w:drawing>
      </w:r>
    </w:p>
    <w:p>
      <w:pPr>
        <w:spacing w:after="0" w:line="6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Name:  Richard K. McGee</w:t>
      </w:r>
    </w:p>
    <w:p>
      <w:pPr>
        <w:spacing w:after="0" w:line="23" w:lineRule="exact"/>
        <w:rPr>
          <w:sz w:val="20"/>
          <w:szCs w:val="20"/>
          <w:color w:val="auto"/>
        </w:rPr>
      </w:pPr>
    </w:p>
    <w:p>
      <w:pPr>
        <w:jc w:val="both"/>
        <w:ind w:left="4680"/>
        <w:spacing w:after="0"/>
        <w:tabs>
          <w:tab w:leader="none" w:pos="514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i w:val="1"/>
          <w:iCs w:val="1"/>
          <w:color w:val="auto"/>
        </w:rPr>
        <w:t>Executive Vice President, General Counsel</w:t>
      </w:r>
    </w:p>
    <w:p>
      <w:pPr>
        <w:spacing w:after="0" w:line="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i w:val="1"/>
          <w:iCs w:val="1"/>
          <w:color w:val="auto"/>
        </w:rPr>
        <w:t>and Secretary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27" w:lineRule="exact"/>
        <w:rPr>
          <w:sz w:val="20"/>
          <w:szCs w:val="20"/>
          <w:color w:val="auto"/>
        </w:rPr>
      </w:pPr>
    </w:p>
    <w:p>
      <w:pPr>
        <w:ind w:left="1280" w:right="1319" w:firstLine="282"/>
        <w:spacing w:after="0" w:line="256" w:lineRule="auto"/>
        <w:rPr>
          <w:sz w:val="20"/>
          <w:szCs w:val="20"/>
          <w:color w:val="auto"/>
        </w:rPr>
      </w:pPr>
      <w:r>
        <w:rPr>
          <w:rFonts w:ascii="Times New Roman" w:cs="Times New Roman" w:eastAsia="Times New Roman" w:hAnsi="Times New Roman"/>
          <w:sz w:val="14"/>
          <w:szCs w:val="14"/>
          <w:color w:val="auto"/>
        </w:rPr>
        <w:t>All those persons whose signatures appear below do hereby constitute and appoint Al Swanson and Richard McGee, and each of them, our true and lawful attorney-in-fact and agent, to do any and all acts and things in our names and on our behalf in our capacities as directors and officers and to execute any and all instruments for us and in our name in the capacities indicated below, which said attorney and agent may deem necessary or advisable to enable said registrant to comply with the Securities Act of 1933 and any rules, regulations and requirements of the Securities and Exchange Commission, in connection with the registration statements, or any registration statement for this offering that is to be effective upon filing pursuant to Rule 462 under the Securities Act of 1933, as amended, including specifically, but without limitation, power and authority to sign for us or any of us in our names in the capacities indicated below, any and all amendments (including post-effective amendments) hereof; and we do hereby ratify and confirm all that said attorneys and agents shall do or cause to be done by virtue thereof.</w:t>
      </w:r>
    </w:p>
    <w:p>
      <w:pPr>
        <w:spacing w:after="0" w:line="81" w:lineRule="exact"/>
        <w:rPr>
          <w:sz w:val="20"/>
          <w:szCs w:val="20"/>
          <w:color w:val="auto"/>
        </w:rPr>
      </w:pPr>
    </w:p>
    <w:p>
      <w:pPr>
        <w:ind w:left="1280" w:right="1399" w:firstLine="282"/>
        <w:spacing w:after="0" w:line="286"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persons in the capacities and on the dates indicated below.</w:t>
      </w:r>
    </w:p>
    <w:p>
      <w:pPr>
        <w:spacing w:after="0" w:line="70" w:lineRule="exact"/>
        <w:rPr>
          <w:sz w:val="20"/>
          <w:szCs w:val="20"/>
          <w:color w:val="auto"/>
        </w:rPr>
      </w:pPr>
    </w:p>
    <w:p>
      <w:pPr>
        <w:ind w:left="1280" w:right="1359" w:firstLine="282"/>
        <w:spacing w:after="0" w:line="264" w:lineRule="auto"/>
        <w:rPr>
          <w:sz w:val="20"/>
          <w:szCs w:val="20"/>
          <w:color w:val="auto"/>
        </w:rPr>
      </w:pPr>
      <w:r>
        <w:rPr>
          <w:rFonts w:ascii="Times New Roman" w:cs="Times New Roman" w:eastAsia="Times New Roman" w:hAnsi="Times New Roman"/>
          <w:sz w:val="14"/>
          <w:szCs w:val="14"/>
          <w:b w:val="1"/>
          <w:bCs w:val="1"/>
          <w:color w:val="auto"/>
        </w:rPr>
        <w:t>PAA GP HOLDINGS LLC, for itself and as the general partner of PLAINS GP HOLDINGS, L.P., which is the sole member of PLAINS ALL AMERICAN GP LLC, which is the general partner of PLAINS AAP, L.P., which is the sole member of PAA GP LLC, which is the general partner of PLAINS ALL AMERICAN PIPELINE, L.P.</w:t>
      </w:r>
    </w:p>
    <w:p>
      <w:pPr>
        <w:spacing w:after="0" w:line="94" w:lineRule="exact"/>
        <w:rPr>
          <w:sz w:val="20"/>
          <w:szCs w:val="20"/>
          <w:color w:val="auto"/>
        </w:rPr>
      </w:pPr>
    </w:p>
    <w:tbl>
      <w:tblPr>
        <w:tblLayout w:type="fixed"/>
        <w:tblInd w:w="1280" w:type="dxa"/>
        <w:tblCellMar>
          <w:top w:w="0" w:type="dxa"/>
          <w:left w:w="0" w:type="dxa"/>
          <w:bottom w:w="0" w:type="dxa"/>
          <w:right w:w="0" w:type="dxa"/>
        </w:tblCellMar>
      </w:tblPr>
      <w:tr>
        <w:trPr>
          <w:trHeight w:val="178"/>
        </w:trPr>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5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1"/>
                <w:szCs w:val="11"/>
                <w:b w:val="1"/>
                <w:bCs w:val="1"/>
                <w:color w:val="auto"/>
              </w:rPr>
              <w:t>Name</w:t>
            </w:r>
          </w:p>
        </w:tc>
        <w:tc>
          <w:tcPr>
            <w:tcW w:w="20" w:type="dxa"/>
            <w:vAlign w:val="bottom"/>
            <w:tcBorders>
              <w:bottom w:val="single" w:sz="8" w:color="auto"/>
            </w:tcBorders>
          </w:tcPr>
          <w:p>
            <w:pPr>
              <w:spacing w:after="0"/>
              <w:rPr>
                <w:sz w:val="15"/>
                <w:szCs w:val="15"/>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1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11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1"/>
                <w:szCs w:val="11"/>
                <w:b w:val="1"/>
                <w:bCs w:val="1"/>
                <w:color w:val="auto"/>
              </w:rPr>
              <w:t>Date</w:t>
            </w:r>
          </w:p>
        </w:tc>
        <w:tc>
          <w:tcPr>
            <w:tcW w:w="20" w:type="dxa"/>
            <w:vAlign w:val="bottom"/>
            <w:tcBorders>
              <w:bottom w:val="single" w:sz="8" w:color="auto"/>
            </w:tcBorders>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425"/>
        </w:trPr>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center"/>
              <w:ind w:right="72"/>
              <w:spacing w:after="0"/>
              <w:rPr>
                <w:sz w:val="20"/>
                <w:szCs w:val="20"/>
                <w:color w:val="auto"/>
              </w:rPr>
            </w:pPr>
            <w:r>
              <w:rPr>
                <w:rFonts w:ascii="Times New Roman" w:cs="Times New Roman" w:eastAsia="Times New Roman" w:hAnsi="Times New Roman"/>
                <w:sz w:val="14"/>
                <w:szCs w:val="14"/>
                <w:color w:val="auto"/>
              </w:rPr>
              <w:t>/s/ Willie C. Chiang</w:t>
            </w:r>
          </w:p>
        </w:tc>
        <w:tc>
          <w:tcPr>
            <w:tcW w:w="20" w:type="dxa"/>
            <w:vAlign w:val="bottom"/>
          </w:tcPr>
          <w:p>
            <w:pPr>
              <w:spacing w:after="0"/>
              <w:rPr>
                <w:sz w:val="24"/>
                <w:szCs w:val="24"/>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Chairman of the Board and Chief</w:t>
            </w: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September 6, 2024</w:t>
            </w:r>
          </w:p>
        </w:tc>
        <w:tc>
          <w:tcPr>
            <w:tcW w:w="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5"/>
        </w:trPr>
        <w:tc>
          <w:tcPr>
            <w:tcW w:w="160" w:type="dxa"/>
            <w:vAlign w:val="bottom"/>
            <w:tcBorders>
              <w:bottom w:val="single" w:sz="8" w:color="auto"/>
            </w:tcBorders>
            <w:vMerge w:val="continue"/>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3200" w:type="dxa"/>
            <w:vAlign w:val="bottom"/>
            <w:vMerge w:val="restart"/>
          </w:tcPr>
          <w:p>
            <w:pPr>
              <w:jc w:val="center"/>
              <w:spacing w:after="0" w:line="155" w:lineRule="exact"/>
              <w:rPr>
                <w:sz w:val="20"/>
                <w:szCs w:val="20"/>
                <w:color w:val="auto"/>
              </w:rPr>
            </w:pPr>
            <w:r>
              <w:rPr>
                <w:rFonts w:ascii="Times New Roman" w:cs="Times New Roman" w:eastAsia="Times New Roman" w:hAnsi="Times New Roman"/>
                <w:sz w:val="14"/>
                <w:szCs w:val="14"/>
                <w:color w:val="auto"/>
              </w:rPr>
              <w:t>Executive Officer</w:t>
            </w:r>
          </w:p>
        </w:tc>
        <w:tc>
          <w:tcPr>
            <w:tcW w:w="1340" w:type="dxa"/>
            <w:vAlign w:val="bottom"/>
            <w:gridSpan w:val="2"/>
            <w:vMerge w:val="continue"/>
          </w:tcPr>
          <w:p>
            <w:pPr>
              <w:spacing w:after="0"/>
              <w:rPr>
                <w:sz w:val="7"/>
                <w:szCs w:val="7"/>
                <w:color w:val="auto"/>
              </w:rPr>
            </w:pPr>
          </w:p>
        </w:tc>
        <w:tc>
          <w:tcPr>
            <w:tcW w:w="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160" w:type="dxa"/>
            <w:vAlign w:val="bottom"/>
          </w:tcPr>
          <w:p>
            <w:pPr>
              <w:spacing w:after="0"/>
              <w:rPr>
                <w:sz w:val="4"/>
                <w:szCs w:val="4"/>
                <w:color w:val="auto"/>
              </w:rPr>
            </w:pPr>
          </w:p>
        </w:tc>
        <w:tc>
          <w:tcPr>
            <w:tcW w:w="1540" w:type="dxa"/>
            <w:vAlign w:val="bottom"/>
            <w:vMerge w:val="restart"/>
          </w:tcPr>
          <w:p>
            <w:pPr>
              <w:jc w:val="center"/>
              <w:ind w:right="72"/>
              <w:spacing w:after="0"/>
              <w:rPr>
                <w:sz w:val="20"/>
                <w:szCs w:val="20"/>
                <w:color w:val="auto"/>
              </w:rPr>
            </w:pPr>
            <w:r>
              <w:rPr>
                <w:rFonts w:ascii="Times New Roman" w:cs="Times New Roman" w:eastAsia="Times New Roman" w:hAnsi="Times New Roman"/>
                <w:sz w:val="14"/>
                <w:szCs w:val="14"/>
                <w:color w:val="auto"/>
              </w:rPr>
              <w:t>Willie C. Chiang</w:t>
            </w: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0" w:type="dxa"/>
            <w:vAlign w:val="bottom"/>
            <w:vMerge w:val="continue"/>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center"/>
              <w:ind w:right="72"/>
              <w:spacing w:after="0"/>
              <w:rPr>
                <w:sz w:val="20"/>
                <w:szCs w:val="20"/>
                <w:color w:val="auto"/>
              </w:rPr>
            </w:pPr>
            <w:r>
              <w:rPr>
                <w:rFonts w:ascii="Times New Roman" w:cs="Times New Roman" w:eastAsia="Times New Roman" w:hAnsi="Times New Roman"/>
                <w:sz w:val="14"/>
                <w:szCs w:val="14"/>
                <w:color w:val="auto"/>
              </w:rPr>
              <w:t>/s/ Harry N. Pefanis</w:t>
            </w:r>
          </w:p>
        </w:tc>
        <w:tc>
          <w:tcPr>
            <w:tcW w:w="20" w:type="dxa"/>
            <w:vAlign w:val="bottom"/>
          </w:tcPr>
          <w:p>
            <w:pPr>
              <w:spacing w:after="0"/>
              <w:rPr>
                <w:sz w:val="24"/>
                <w:szCs w:val="24"/>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President and Director</w:t>
            </w: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 September 6, 2024</w:t>
            </w:r>
          </w:p>
        </w:tc>
        <w:tc>
          <w:tcPr>
            <w:tcW w:w="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7"/>
        </w:trPr>
        <w:tc>
          <w:tcPr>
            <w:tcW w:w="160" w:type="dxa"/>
            <w:vAlign w:val="bottom"/>
            <w:vMerge w:val="continue"/>
          </w:tcPr>
          <w:p>
            <w:pPr>
              <w:spacing w:after="0"/>
              <w:rPr>
                <w:sz w:val="11"/>
                <w:szCs w:val="11"/>
                <w:color w:val="auto"/>
              </w:rPr>
            </w:pPr>
          </w:p>
        </w:tc>
        <w:tc>
          <w:tcPr>
            <w:tcW w:w="1540" w:type="dxa"/>
            <w:vAlign w:val="bottom"/>
            <w:vMerge w:val="restart"/>
          </w:tcPr>
          <w:p>
            <w:pPr>
              <w:jc w:val="center"/>
              <w:ind w:right="72"/>
              <w:spacing w:after="0"/>
              <w:rPr>
                <w:sz w:val="20"/>
                <w:szCs w:val="20"/>
                <w:color w:val="auto"/>
              </w:rPr>
            </w:pPr>
            <w:r>
              <w:rPr>
                <w:rFonts w:ascii="Times New Roman" w:cs="Times New Roman" w:eastAsia="Times New Roman" w:hAnsi="Times New Roman"/>
                <w:sz w:val="14"/>
                <w:szCs w:val="14"/>
                <w:color w:val="auto"/>
              </w:rPr>
              <w:t>Harry N. Pefanis</w:t>
            </w:r>
          </w:p>
        </w:tc>
        <w:tc>
          <w:tcPr>
            <w:tcW w:w="2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3200" w:type="dxa"/>
            <w:vAlign w:val="bottom"/>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6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-133350</wp:posOffset>
            </wp:positionV>
            <wp:extent cx="107569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075690" cy="6985"/>
                    </a:xfrm>
                    <a:prstGeom prst="rect">
                      <a:avLst/>
                    </a:prstGeom>
                    <a:noFill/>
                  </pic:spPr>
                </pic:pic>
              </a:graphicData>
            </a:graphic>
          </wp:anchor>
        </w:drawing>
      </w: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6" w:name="page57"/>
    <w:bookmarkEnd w:id="56"/>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1280" w:type="dxa"/>
        <w:tblCellMar>
          <w:top w:w="0" w:type="dxa"/>
          <w:left w:w="0" w:type="dxa"/>
          <w:bottom w:w="0" w:type="dxa"/>
          <w:right w:w="0" w:type="dxa"/>
        </w:tblCellMar>
      </w:tblPr>
      <w:tr>
        <w:trPr>
          <w:trHeight w:val="178"/>
        </w:trPr>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Name</w:t>
            </w:r>
          </w:p>
        </w:tc>
        <w:tc>
          <w:tcPr>
            <w:tcW w:w="20" w:type="dxa"/>
            <w:vAlign w:val="bottom"/>
            <w:tcBorders>
              <w:bottom w:val="single" w:sz="8" w:color="auto"/>
            </w:tcBorders>
          </w:tcPr>
          <w:p>
            <w:pPr>
              <w:spacing w:after="0"/>
              <w:rPr>
                <w:sz w:val="15"/>
                <w:szCs w:val="15"/>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320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9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1"/>
                <w:szCs w:val="11"/>
                <w:b w:val="1"/>
                <w:bCs w:val="1"/>
                <w:color w:val="auto"/>
              </w:rPr>
              <w:t>Date</w:t>
            </w:r>
          </w:p>
        </w:tc>
        <w:tc>
          <w:tcPr>
            <w:tcW w:w="240" w:type="dxa"/>
            <w:vAlign w:val="bottom"/>
            <w:tcBorders>
              <w:bottom w:val="single" w:sz="8" w:color="auto"/>
            </w:tcBorders>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425"/>
        </w:trPr>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Al Swanson</w:t>
            </w:r>
          </w:p>
        </w:tc>
        <w:tc>
          <w:tcPr>
            <w:tcW w:w="20" w:type="dxa"/>
            <w:vAlign w:val="bottom"/>
          </w:tcPr>
          <w:p>
            <w:pPr>
              <w:spacing w:after="0"/>
              <w:rPr>
                <w:sz w:val="24"/>
                <w:szCs w:val="24"/>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Executive Vice President and Chief</w:t>
            </w:r>
          </w:p>
        </w:tc>
        <w:tc>
          <w:tcPr>
            <w:tcW w:w="1400" w:type="dxa"/>
            <w:vAlign w:val="bottom"/>
            <w:gridSpan w:val="4"/>
            <w:vMerge w:val="restart"/>
          </w:tcPr>
          <w:p>
            <w:pPr>
              <w:ind w:left="20"/>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September 6, 2024 </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85"/>
        </w:trPr>
        <w:tc>
          <w:tcPr>
            <w:tcW w:w="80" w:type="dxa"/>
            <w:vAlign w:val="bottom"/>
            <w:tcBorders>
              <w:bottom w:val="single" w:sz="8" w:color="auto"/>
            </w:tcBorders>
            <w:vMerge w:val="continue"/>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3200" w:type="dxa"/>
            <w:vAlign w:val="bottom"/>
            <w:vMerge w:val="restart"/>
          </w:tcPr>
          <w:p>
            <w:pPr>
              <w:jc w:val="center"/>
              <w:spacing w:after="0" w:line="155" w:lineRule="exact"/>
              <w:rPr>
                <w:sz w:val="20"/>
                <w:szCs w:val="20"/>
                <w:color w:val="auto"/>
              </w:rPr>
            </w:pPr>
            <w:r>
              <w:rPr>
                <w:rFonts w:ascii="Times New Roman" w:cs="Times New Roman" w:eastAsia="Times New Roman" w:hAnsi="Times New Roman"/>
                <w:sz w:val="14"/>
                <w:szCs w:val="14"/>
                <w:color w:val="auto"/>
              </w:rPr>
              <w:t>Financial Officer</w:t>
            </w:r>
          </w:p>
        </w:tc>
        <w:tc>
          <w:tcPr>
            <w:tcW w:w="14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80" w:type="dxa"/>
            <w:vAlign w:val="bottom"/>
          </w:tcPr>
          <w:p>
            <w:pPr>
              <w:spacing w:after="0"/>
              <w:rPr>
                <w:sz w:val="4"/>
                <w:szCs w:val="4"/>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Al Swanson</w:t>
            </w: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0" w:type="dxa"/>
            <w:vAlign w:val="bottom"/>
            <w:vMerge w:val="continue"/>
          </w:tcPr>
          <w:p>
            <w:pPr>
              <w:spacing w:after="0"/>
              <w:rPr>
                <w:sz w:val="4"/>
                <w:szCs w:val="4"/>
                <w:color w:val="auto"/>
              </w:rPr>
            </w:pPr>
          </w:p>
        </w:tc>
        <w:tc>
          <w:tcPr>
            <w:tcW w:w="14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9"/>
        </w:trPr>
        <w:tc>
          <w:tcPr>
            <w:tcW w:w="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Chris Herbold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rPr>
              <w:t>Senior Vice President, Finance and Chief</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Chris Herbold</w:t>
            </w:r>
          </w:p>
        </w:tc>
        <w:tc>
          <w:tcPr>
            <w:tcW w:w="20" w:type="dxa"/>
            <w:vAlign w:val="bottom"/>
          </w:tcPr>
          <w:p>
            <w:pPr>
              <w:spacing w:after="0"/>
              <w:rPr>
                <w:sz w:val="13"/>
                <w:szCs w:val="13"/>
                <w:color w:val="auto"/>
              </w:rPr>
            </w:pPr>
          </w:p>
        </w:tc>
        <w:tc>
          <w:tcPr>
            <w:tcW w:w="160" w:type="dxa"/>
            <w:vAlign w:val="bottom"/>
          </w:tcPr>
          <w:p>
            <w:pPr>
              <w:ind w:left="40"/>
              <w:spacing w:after="0" w:line="155" w:lineRule="exact"/>
              <w:rPr>
                <w:sz w:val="20"/>
                <w:szCs w:val="20"/>
                <w:color w:val="auto"/>
              </w:rPr>
            </w:pPr>
            <w:r>
              <w:rPr>
                <w:rFonts w:ascii="Times New Roman" w:cs="Times New Roman" w:eastAsia="Times New Roman" w:hAnsi="Times New Roman"/>
                <w:sz w:val="14"/>
                <w:szCs w:val="14"/>
                <w:color w:val="auto"/>
              </w:rPr>
              <w:t>​ ​</w:t>
            </w:r>
          </w:p>
        </w:tc>
        <w:tc>
          <w:tcPr>
            <w:tcW w:w="32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Accounting Officer</w:t>
            </w:r>
          </w:p>
        </w:tc>
        <w:tc>
          <w:tcPr>
            <w:tcW w:w="1400" w:type="dxa"/>
            <w:vAlign w:val="bottom"/>
            <w:gridSpan w:val="4"/>
          </w:tcPr>
          <w:p>
            <w:pPr>
              <w:ind w:left="20"/>
              <w:spacing w:after="0" w:line="155" w:lineRule="exact"/>
              <w:rPr>
                <w:sz w:val="20"/>
                <w:szCs w:val="20"/>
                <w:color w:val="auto"/>
              </w:rPr>
            </w:pPr>
            <w:r>
              <w:rPr>
                <w:rFonts w:ascii="Times New Roman" w:cs="Times New Roman" w:eastAsia="Times New Roman" w:hAnsi="Times New Roman"/>
                <w:sz w:val="14"/>
                <w:szCs w:val="14"/>
                <w:color w:val="auto"/>
              </w:rPr>
              <w:t>​ ​ September 6, 2024 ​</w:t>
            </w:r>
          </w:p>
        </w:tc>
        <w:tc>
          <w:tcPr>
            <w:tcW w:w="0" w:type="dxa"/>
            <w:vAlign w:val="bottom"/>
          </w:tcPr>
          <w:p>
            <w:pPr>
              <w:spacing w:after="0"/>
              <w:rPr>
                <w:sz w:val="1"/>
                <w:szCs w:val="1"/>
                <w:color w:val="auto"/>
              </w:rPr>
            </w:pPr>
          </w:p>
        </w:tc>
      </w:tr>
      <w:tr>
        <w:trPr>
          <w:trHeight w:val="184"/>
        </w:trPr>
        <w:tc>
          <w:tcPr>
            <w:tcW w:w="8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Greg L. Armstrong</w:t>
            </w:r>
          </w:p>
        </w:tc>
        <w:tc>
          <w:tcPr>
            <w:tcW w:w="20" w:type="dxa"/>
            <w:vAlign w:val="bottom"/>
          </w:tcPr>
          <w:p>
            <w:pPr>
              <w:spacing w:after="0"/>
              <w:rPr>
                <w:sz w:val="24"/>
                <w:szCs w:val="24"/>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4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 ​ September 6, 2024 ​</w:t>
            </w:r>
          </w:p>
        </w:tc>
        <w:tc>
          <w:tcPr>
            <w:tcW w:w="0" w:type="dxa"/>
            <w:vAlign w:val="bottom"/>
          </w:tcPr>
          <w:p>
            <w:pPr>
              <w:spacing w:after="0"/>
              <w:rPr>
                <w:sz w:val="1"/>
                <w:szCs w:val="1"/>
                <w:color w:val="auto"/>
              </w:rPr>
            </w:pPr>
          </w:p>
        </w:tc>
      </w:tr>
      <w:tr>
        <w:trPr>
          <w:trHeight w:val="116"/>
        </w:trPr>
        <w:tc>
          <w:tcPr>
            <w:tcW w:w="80" w:type="dxa"/>
            <w:vAlign w:val="bottom"/>
            <w:vMerge w:val="continue"/>
          </w:tcPr>
          <w:p>
            <w:pPr>
              <w:spacing w:after="0"/>
              <w:rPr>
                <w:sz w:val="10"/>
                <w:szCs w:val="10"/>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Greg L. Armstrong</w:t>
            </w:r>
          </w:p>
        </w:tc>
        <w:tc>
          <w:tcPr>
            <w:tcW w:w="2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3200" w:type="dxa"/>
            <w:vAlign w:val="bottom"/>
            <w:vMerge w:val="continue"/>
          </w:tcPr>
          <w:p>
            <w:pPr>
              <w:spacing w:after="0"/>
              <w:rPr>
                <w:sz w:val="10"/>
                <w:szCs w:val="10"/>
                <w:color w:val="auto"/>
              </w:rPr>
            </w:pPr>
          </w:p>
        </w:tc>
        <w:tc>
          <w:tcPr>
            <w:tcW w:w="14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8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Victor Burk</w:t>
            </w:r>
          </w:p>
        </w:tc>
        <w:tc>
          <w:tcPr>
            <w:tcW w:w="20" w:type="dxa"/>
            <w:vAlign w:val="bottom"/>
          </w:tcPr>
          <w:p>
            <w:pPr>
              <w:spacing w:after="0"/>
              <w:rPr>
                <w:sz w:val="24"/>
                <w:szCs w:val="24"/>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4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 ​ September 6, 2024 ​</w:t>
            </w:r>
          </w:p>
        </w:tc>
        <w:tc>
          <w:tcPr>
            <w:tcW w:w="0" w:type="dxa"/>
            <w:vAlign w:val="bottom"/>
          </w:tcPr>
          <w:p>
            <w:pPr>
              <w:spacing w:after="0"/>
              <w:rPr>
                <w:sz w:val="1"/>
                <w:szCs w:val="1"/>
                <w:color w:val="auto"/>
              </w:rPr>
            </w:pPr>
          </w:p>
        </w:tc>
      </w:tr>
      <w:tr>
        <w:trPr>
          <w:trHeight w:val="116"/>
        </w:trPr>
        <w:tc>
          <w:tcPr>
            <w:tcW w:w="80" w:type="dxa"/>
            <w:vAlign w:val="bottom"/>
            <w:vMerge w:val="continue"/>
          </w:tcPr>
          <w:p>
            <w:pPr>
              <w:spacing w:after="0"/>
              <w:rPr>
                <w:sz w:val="10"/>
                <w:szCs w:val="10"/>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Victor Burk</w:t>
            </w:r>
          </w:p>
        </w:tc>
        <w:tc>
          <w:tcPr>
            <w:tcW w:w="2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3200" w:type="dxa"/>
            <w:vAlign w:val="bottom"/>
            <w:vMerge w:val="continue"/>
          </w:tcPr>
          <w:p>
            <w:pPr>
              <w:spacing w:after="0"/>
              <w:rPr>
                <w:sz w:val="10"/>
                <w:szCs w:val="10"/>
                <w:color w:val="auto"/>
              </w:rPr>
            </w:pPr>
          </w:p>
        </w:tc>
        <w:tc>
          <w:tcPr>
            <w:tcW w:w="14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8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Ellen R. DeSanctis</w:t>
            </w:r>
          </w:p>
        </w:tc>
        <w:tc>
          <w:tcPr>
            <w:tcW w:w="20" w:type="dxa"/>
            <w:vAlign w:val="bottom"/>
          </w:tcPr>
          <w:p>
            <w:pPr>
              <w:spacing w:after="0"/>
              <w:rPr>
                <w:sz w:val="24"/>
                <w:szCs w:val="24"/>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4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 ​ September 6, 2024 ​</w:t>
            </w:r>
          </w:p>
        </w:tc>
        <w:tc>
          <w:tcPr>
            <w:tcW w:w="0" w:type="dxa"/>
            <w:vAlign w:val="bottom"/>
          </w:tcPr>
          <w:p>
            <w:pPr>
              <w:spacing w:after="0"/>
              <w:rPr>
                <w:sz w:val="1"/>
                <w:szCs w:val="1"/>
                <w:color w:val="auto"/>
              </w:rPr>
            </w:pPr>
          </w:p>
        </w:tc>
      </w:tr>
      <w:tr>
        <w:trPr>
          <w:trHeight w:val="116"/>
        </w:trPr>
        <w:tc>
          <w:tcPr>
            <w:tcW w:w="80" w:type="dxa"/>
            <w:vAlign w:val="bottom"/>
            <w:vMerge w:val="continue"/>
          </w:tcPr>
          <w:p>
            <w:pPr>
              <w:spacing w:after="0"/>
              <w:rPr>
                <w:sz w:val="10"/>
                <w:szCs w:val="10"/>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Ellen R. DeSanctis</w:t>
            </w:r>
          </w:p>
        </w:tc>
        <w:tc>
          <w:tcPr>
            <w:tcW w:w="2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3200" w:type="dxa"/>
            <w:vAlign w:val="bottom"/>
            <w:vMerge w:val="continue"/>
          </w:tcPr>
          <w:p>
            <w:pPr>
              <w:spacing w:after="0"/>
              <w:rPr>
                <w:sz w:val="10"/>
                <w:szCs w:val="10"/>
                <w:color w:val="auto"/>
              </w:rPr>
            </w:pPr>
          </w:p>
        </w:tc>
        <w:tc>
          <w:tcPr>
            <w:tcW w:w="14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8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Kevin S. McCarthy</w:t>
            </w:r>
          </w:p>
        </w:tc>
        <w:tc>
          <w:tcPr>
            <w:tcW w:w="20" w:type="dxa"/>
            <w:vAlign w:val="bottom"/>
          </w:tcPr>
          <w:p>
            <w:pPr>
              <w:spacing w:after="0"/>
              <w:rPr>
                <w:sz w:val="24"/>
                <w:szCs w:val="24"/>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4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 ​ September 6, 2024 ​</w:t>
            </w:r>
          </w:p>
        </w:tc>
        <w:tc>
          <w:tcPr>
            <w:tcW w:w="0" w:type="dxa"/>
            <w:vAlign w:val="bottom"/>
          </w:tcPr>
          <w:p>
            <w:pPr>
              <w:spacing w:after="0"/>
              <w:rPr>
                <w:sz w:val="1"/>
                <w:szCs w:val="1"/>
                <w:color w:val="auto"/>
              </w:rPr>
            </w:pPr>
          </w:p>
        </w:tc>
      </w:tr>
      <w:tr>
        <w:trPr>
          <w:trHeight w:val="116"/>
        </w:trPr>
        <w:tc>
          <w:tcPr>
            <w:tcW w:w="80" w:type="dxa"/>
            <w:vAlign w:val="bottom"/>
            <w:vMerge w:val="continue"/>
          </w:tcPr>
          <w:p>
            <w:pPr>
              <w:spacing w:after="0"/>
              <w:rPr>
                <w:sz w:val="10"/>
                <w:szCs w:val="10"/>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Kevin S. McCarthy</w:t>
            </w:r>
          </w:p>
        </w:tc>
        <w:tc>
          <w:tcPr>
            <w:tcW w:w="2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3200" w:type="dxa"/>
            <w:vAlign w:val="bottom"/>
            <w:vMerge w:val="continue"/>
          </w:tcPr>
          <w:p>
            <w:pPr>
              <w:spacing w:after="0"/>
              <w:rPr>
                <w:sz w:val="10"/>
                <w:szCs w:val="10"/>
                <w:color w:val="auto"/>
              </w:rPr>
            </w:pPr>
          </w:p>
        </w:tc>
        <w:tc>
          <w:tcPr>
            <w:tcW w:w="14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8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Gary R. Petersen</w:t>
            </w:r>
          </w:p>
        </w:tc>
        <w:tc>
          <w:tcPr>
            <w:tcW w:w="20" w:type="dxa"/>
            <w:vAlign w:val="bottom"/>
          </w:tcPr>
          <w:p>
            <w:pPr>
              <w:spacing w:after="0"/>
              <w:rPr>
                <w:sz w:val="24"/>
                <w:szCs w:val="24"/>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4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 ​ September 6, 2024 ​</w:t>
            </w:r>
          </w:p>
        </w:tc>
        <w:tc>
          <w:tcPr>
            <w:tcW w:w="0" w:type="dxa"/>
            <w:vAlign w:val="bottom"/>
          </w:tcPr>
          <w:p>
            <w:pPr>
              <w:spacing w:after="0"/>
              <w:rPr>
                <w:sz w:val="1"/>
                <w:szCs w:val="1"/>
                <w:color w:val="auto"/>
              </w:rPr>
            </w:pPr>
          </w:p>
        </w:tc>
      </w:tr>
      <w:tr>
        <w:trPr>
          <w:trHeight w:val="116"/>
        </w:trPr>
        <w:tc>
          <w:tcPr>
            <w:tcW w:w="80" w:type="dxa"/>
            <w:vAlign w:val="bottom"/>
            <w:vMerge w:val="continue"/>
          </w:tcPr>
          <w:p>
            <w:pPr>
              <w:spacing w:after="0"/>
              <w:rPr>
                <w:sz w:val="10"/>
                <w:szCs w:val="10"/>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Gary R. Petersen</w:t>
            </w:r>
          </w:p>
        </w:tc>
        <w:tc>
          <w:tcPr>
            <w:tcW w:w="2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3200" w:type="dxa"/>
            <w:vAlign w:val="bottom"/>
            <w:vMerge w:val="continue"/>
          </w:tcPr>
          <w:p>
            <w:pPr>
              <w:spacing w:after="0"/>
              <w:rPr>
                <w:sz w:val="10"/>
                <w:szCs w:val="10"/>
                <w:color w:val="auto"/>
              </w:rPr>
            </w:pPr>
          </w:p>
        </w:tc>
        <w:tc>
          <w:tcPr>
            <w:tcW w:w="14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8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Alexandra D. Pruner</w:t>
            </w:r>
          </w:p>
        </w:tc>
        <w:tc>
          <w:tcPr>
            <w:tcW w:w="20" w:type="dxa"/>
            <w:vAlign w:val="bottom"/>
            <w:vMerge w:val="restart"/>
          </w:tcPr>
          <w:p>
            <w:pPr>
              <w:spacing w:after="0"/>
              <w:rPr>
                <w:sz w:val="24"/>
                <w:szCs w:val="24"/>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4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 ​ September 6, 2024 ​</w:t>
            </w:r>
          </w:p>
        </w:tc>
        <w:tc>
          <w:tcPr>
            <w:tcW w:w="0" w:type="dxa"/>
            <w:vAlign w:val="bottom"/>
          </w:tcPr>
          <w:p>
            <w:pPr>
              <w:spacing w:after="0"/>
              <w:rPr>
                <w:sz w:val="1"/>
                <w:szCs w:val="1"/>
                <w:color w:val="auto"/>
              </w:rPr>
            </w:pPr>
          </w:p>
        </w:tc>
      </w:tr>
      <w:tr>
        <w:trPr>
          <w:trHeight w:val="116"/>
        </w:trPr>
        <w:tc>
          <w:tcPr>
            <w:tcW w:w="80" w:type="dxa"/>
            <w:vAlign w:val="bottom"/>
            <w:vMerge w:val="continue"/>
          </w:tcPr>
          <w:p>
            <w:pPr>
              <w:spacing w:after="0"/>
              <w:rPr>
                <w:sz w:val="10"/>
                <w:szCs w:val="10"/>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Alexandra D. Pruner</w:t>
            </w:r>
          </w:p>
        </w:tc>
        <w:tc>
          <w:tcPr>
            <w:tcW w:w="2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3200" w:type="dxa"/>
            <w:vAlign w:val="bottom"/>
            <w:vMerge w:val="continue"/>
          </w:tcPr>
          <w:p>
            <w:pPr>
              <w:spacing w:after="0"/>
              <w:rPr>
                <w:sz w:val="10"/>
                <w:szCs w:val="10"/>
                <w:color w:val="auto"/>
              </w:rPr>
            </w:pPr>
          </w:p>
        </w:tc>
        <w:tc>
          <w:tcPr>
            <w:tcW w:w="14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8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John T. Raymond</w:t>
            </w:r>
          </w:p>
        </w:tc>
        <w:tc>
          <w:tcPr>
            <w:tcW w:w="20" w:type="dxa"/>
            <w:vAlign w:val="bottom"/>
          </w:tcPr>
          <w:p>
            <w:pPr>
              <w:spacing w:after="0"/>
              <w:rPr>
                <w:sz w:val="24"/>
                <w:szCs w:val="24"/>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4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 ​ September 6, 2024 ​</w:t>
            </w:r>
          </w:p>
        </w:tc>
        <w:tc>
          <w:tcPr>
            <w:tcW w:w="0" w:type="dxa"/>
            <w:vAlign w:val="bottom"/>
          </w:tcPr>
          <w:p>
            <w:pPr>
              <w:spacing w:after="0"/>
              <w:rPr>
                <w:sz w:val="1"/>
                <w:szCs w:val="1"/>
                <w:color w:val="auto"/>
              </w:rPr>
            </w:pPr>
          </w:p>
        </w:tc>
      </w:tr>
      <w:tr>
        <w:trPr>
          <w:trHeight w:val="116"/>
        </w:trPr>
        <w:tc>
          <w:tcPr>
            <w:tcW w:w="80" w:type="dxa"/>
            <w:vAlign w:val="bottom"/>
            <w:vMerge w:val="continue"/>
          </w:tcPr>
          <w:p>
            <w:pPr>
              <w:spacing w:after="0"/>
              <w:rPr>
                <w:sz w:val="10"/>
                <w:szCs w:val="10"/>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John T. Raymond</w:t>
            </w:r>
          </w:p>
        </w:tc>
        <w:tc>
          <w:tcPr>
            <w:tcW w:w="2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3200" w:type="dxa"/>
            <w:vAlign w:val="bottom"/>
            <w:vMerge w:val="continue"/>
          </w:tcPr>
          <w:p>
            <w:pPr>
              <w:spacing w:after="0"/>
              <w:rPr>
                <w:sz w:val="10"/>
                <w:szCs w:val="10"/>
                <w:color w:val="auto"/>
              </w:rPr>
            </w:pPr>
          </w:p>
        </w:tc>
        <w:tc>
          <w:tcPr>
            <w:tcW w:w="14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8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Bobby S. Shackouls</w:t>
            </w:r>
          </w:p>
        </w:tc>
        <w:tc>
          <w:tcPr>
            <w:tcW w:w="20" w:type="dxa"/>
            <w:vAlign w:val="bottom"/>
            <w:vMerge w:val="restart"/>
          </w:tcPr>
          <w:p>
            <w:pPr>
              <w:spacing w:after="0"/>
              <w:rPr>
                <w:sz w:val="24"/>
                <w:szCs w:val="24"/>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4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 ​ September 6, 2024 ​</w:t>
            </w:r>
          </w:p>
        </w:tc>
        <w:tc>
          <w:tcPr>
            <w:tcW w:w="0" w:type="dxa"/>
            <w:vAlign w:val="bottom"/>
          </w:tcPr>
          <w:p>
            <w:pPr>
              <w:spacing w:after="0"/>
              <w:rPr>
                <w:sz w:val="1"/>
                <w:szCs w:val="1"/>
                <w:color w:val="auto"/>
              </w:rPr>
            </w:pPr>
          </w:p>
        </w:tc>
      </w:tr>
      <w:tr>
        <w:trPr>
          <w:trHeight w:val="116"/>
        </w:trPr>
        <w:tc>
          <w:tcPr>
            <w:tcW w:w="80" w:type="dxa"/>
            <w:vAlign w:val="bottom"/>
            <w:vMerge w:val="continue"/>
          </w:tcPr>
          <w:p>
            <w:pPr>
              <w:spacing w:after="0"/>
              <w:rPr>
                <w:sz w:val="10"/>
                <w:szCs w:val="10"/>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Bobby S. Shackouls</w:t>
            </w:r>
          </w:p>
        </w:tc>
        <w:tc>
          <w:tcPr>
            <w:tcW w:w="2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3200" w:type="dxa"/>
            <w:vAlign w:val="bottom"/>
            <w:vMerge w:val="continue"/>
          </w:tcPr>
          <w:p>
            <w:pPr>
              <w:spacing w:after="0"/>
              <w:rPr>
                <w:sz w:val="10"/>
                <w:szCs w:val="10"/>
                <w:color w:val="auto"/>
              </w:rPr>
            </w:pPr>
          </w:p>
        </w:tc>
        <w:tc>
          <w:tcPr>
            <w:tcW w:w="14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8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Lawrence M. Ziemba</w:t>
            </w:r>
          </w:p>
        </w:tc>
        <w:tc>
          <w:tcPr>
            <w:tcW w:w="20" w:type="dxa"/>
            <w:vAlign w:val="bottom"/>
          </w:tcPr>
          <w:p>
            <w:pPr>
              <w:spacing w:after="0"/>
              <w:rPr>
                <w:sz w:val="23"/>
                <w:szCs w:val="23"/>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4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 ​ September 6, 2024 ​</w:t>
            </w:r>
          </w:p>
        </w:tc>
        <w:tc>
          <w:tcPr>
            <w:tcW w:w="0" w:type="dxa"/>
            <w:vAlign w:val="bottom"/>
          </w:tcPr>
          <w:p>
            <w:pPr>
              <w:spacing w:after="0"/>
              <w:rPr>
                <w:sz w:val="1"/>
                <w:szCs w:val="1"/>
                <w:color w:val="auto"/>
              </w:rPr>
            </w:pPr>
          </w:p>
        </w:tc>
      </w:tr>
      <w:tr>
        <w:trPr>
          <w:trHeight w:val="127"/>
        </w:trPr>
        <w:tc>
          <w:tcPr>
            <w:tcW w:w="80" w:type="dxa"/>
            <w:vAlign w:val="bottom"/>
            <w:vMerge w:val="continue"/>
          </w:tcPr>
          <w:p>
            <w:pPr>
              <w:spacing w:after="0"/>
              <w:rPr>
                <w:sz w:val="11"/>
                <w:szCs w:val="11"/>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Lawrence M. Ziemba</w:t>
            </w:r>
          </w:p>
        </w:tc>
        <w:tc>
          <w:tcPr>
            <w:tcW w:w="2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3200" w:type="dxa"/>
            <w:vAlign w:val="bottom"/>
            <w:vMerge w:val="continue"/>
          </w:tcPr>
          <w:p>
            <w:pPr>
              <w:spacing w:after="0"/>
              <w:rPr>
                <w:sz w:val="11"/>
                <w:szCs w:val="11"/>
                <w:color w:val="auto"/>
              </w:rPr>
            </w:pPr>
          </w:p>
        </w:tc>
        <w:tc>
          <w:tcPr>
            <w:tcW w:w="14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-3260725</wp:posOffset>
            </wp:positionV>
            <wp:extent cx="107569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1075690" cy="6985"/>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-2870835</wp:posOffset>
            </wp:positionV>
            <wp:extent cx="107569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1075690" cy="6985"/>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-2527935</wp:posOffset>
            </wp:positionV>
            <wp:extent cx="107569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1075690" cy="6985"/>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-2184400</wp:posOffset>
            </wp:positionV>
            <wp:extent cx="107569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075690" cy="6985"/>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-1841500</wp:posOffset>
            </wp:positionV>
            <wp:extent cx="107569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075690" cy="6985"/>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-1498600</wp:posOffset>
            </wp:positionV>
            <wp:extent cx="107569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1075690" cy="6985"/>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-1155700</wp:posOffset>
            </wp:positionV>
            <wp:extent cx="107569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1075690" cy="6985"/>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-812800</wp:posOffset>
            </wp:positionV>
            <wp:extent cx="107569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1075690" cy="6985"/>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-469900</wp:posOffset>
            </wp:positionV>
            <wp:extent cx="107569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1075690" cy="6985"/>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-133350</wp:posOffset>
            </wp:positionV>
            <wp:extent cx="107569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10756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7" w:name="page58"/>
    <w:bookmarkEnd w:id="57"/>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7" w:lineRule="exact"/>
        <w:rPr>
          <w:sz w:val="20"/>
          <w:szCs w:val="20"/>
          <w:color w:val="auto"/>
        </w:rPr>
      </w:pPr>
    </w:p>
    <w:p>
      <w:pPr>
        <w:ind w:left="1280" w:right="1359" w:firstLine="282"/>
        <w:spacing w:after="0" w:line="26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September 6, 2024.</w:t>
      </w:r>
    </w:p>
    <w:p>
      <w:pPr>
        <w:spacing w:after="0" w:line="30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PAA FINANCE CORP.</w:t>
      </w:r>
    </w:p>
    <w:p>
      <w:pPr>
        <w:spacing w:after="0" w:line="2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34925</wp:posOffset>
            </wp:positionV>
            <wp:extent cx="193675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1936750" cy="6985"/>
                    </a:xfrm>
                    <a:prstGeom prst="rect">
                      <a:avLst/>
                    </a:prstGeom>
                    <a:noFill/>
                  </pic:spPr>
                </pic:pic>
              </a:graphicData>
            </a:graphic>
          </wp:anchor>
        </w:drawing>
      </w:r>
    </w:p>
    <w:p>
      <w:pPr>
        <w:spacing w:after="0" w:line="6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Name:  Richard K. McGee</w:t>
      </w:r>
    </w:p>
    <w:p>
      <w:pPr>
        <w:spacing w:after="0" w:line="23" w:lineRule="exact"/>
        <w:rPr>
          <w:sz w:val="20"/>
          <w:szCs w:val="20"/>
          <w:color w:val="auto"/>
        </w:rPr>
      </w:pPr>
    </w:p>
    <w:p>
      <w:pPr>
        <w:jc w:val="both"/>
        <w:ind w:left="4680"/>
        <w:spacing w:after="0"/>
        <w:tabs>
          <w:tab w:leader="none" w:pos="514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i w:val="1"/>
          <w:iCs w:val="1"/>
          <w:color w:val="auto"/>
        </w:rPr>
        <w:t>Executive Vice President, General Counsel</w:t>
      </w:r>
    </w:p>
    <w:p>
      <w:pPr>
        <w:spacing w:after="0" w:line="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i w:val="1"/>
          <w:iCs w:val="1"/>
          <w:color w:val="auto"/>
        </w:rPr>
        <w:t>and Secretary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27" w:lineRule="exact"/>
        <w:rPr>
          <w:sz w:val="20"/>
          <w:szCs w:val="20"/>
          <w:color w:val="auto"/>
        </w:rPr>
      </w:pPr>
    </w:p>
    <w:p>
      <w:pPr>
        <w:ind w:left="1280" w:right="1319" w:firstLine="282"/>
        <w:spacing w:after="0" w:line="256" w:lineRule="auto"/>
        <w:rPr>
          <w:sz w:val="20"/>
          <w:szCs w:val="20"/>
          <w:color w:val="auto"/>
        </w:rPr>
      </w:pPr>
      <w:r>
        <w:rPr>
          <w:rFonts w:ascii="Times New Roman" w:cs="Times New Roman" w:eastAsia="Times New Roman" w:hAnsi="Times New Roman"/>
          <w:sz w:val="14"/>
          <w:szCs w:val="14"/>
          <w:color w:val="auto"/>
        </w:rPr>
        <w:t>All those persons whose signatures appear below do hereby constitute and appoint Al Swanson and Richard McGee, and each of them, our true and lawful attorney-in-fact and agent, to do any and all acts and things in our names and on our behalf in our capacities as directors and officers and to execute any and all instruments for us and in our name in the capacities indicated below, which said attorney and agent may deem necessary or advisable to enable said registrant to comply with the Securities Act of 1933 and any rules, regulations and requirements of the Securities and Exchange Commission, in connection with the registration statements, or any registration statement for this offering that is to be effective upon filing pursuant to Rule 462 under the Securities Act of 1933, as amended, including specifically, but without limitation, power and authority to sign for us or any of us in our names in the capacities indicated below, any and all amendments (including post-effective amendments) hereof; and we do hereby ratify and confirm all that said attorneys and agents shall do or cause to be done by virtue thereof.</w:t>
      </w:r>
    </w:p>
    <w:p>
      <w:pPr>
        <w:spacing w:after="0" w:line="81" w:lineRule="exact"/>
        <w:rPr>
          <w:sz w:val="20"/>
          <w:szCs w:val="20"/>
          <w:color w:val="auto"/>
        </w:rPr>
      </w:pPr>
    </w:p>
    <w:p>
      <w:pPr>
        <w:ind w:left="1280" w:right="1399" w:firstLine="282"/>
        <w:spacing w:after="0" w:line="286"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persons in the capacities and on the dates indicated below.</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PAA FINANCE CORP.</w:t>
      </w:r>
    </w:p>
    <w:p>
      <w:pPr>
        <w:spacing w:after="0" w:line="144" w:lineRule="exact"/>
        <w:rPr>
          <w:sz w:val="20"/>
          <w:szCs w:val="20"/>
          <w:color w:val="auto"/>
        </w:rPr>
      </w:pPr>
    </w:p>
    <w:tbl>
      <w:tblPr>
        <w:tblLayout w:type="fixed"/>
        <w:tblInd w:w="1280" w:type="dxa"/>
        <w:tblCellMar>
          <w:top w:w="0" w:type="dxa"/>
          <w:left w:w="0" w:type="dxa"/>
          <w:bottom w:w="0" w:type="dxa"/>
          <w:right w:w="0" w:type="dxa"/>
        </w:tblCellMar>
      </w:tblPr>
      <w:tr>
        <w:trPr>
          <w:trHeight w:val="178"/>
        </w:trPr>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5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1"/>
                <w:szCs w:val="11"/>
                <w:b w:val="1"/>
                <w:bCs w:val="1"/>
                <w:color w:val="auto"/>
              </w:rPr>
              <w:t>Name</w:t>
            </w:r>
          </w:p>
        </w:tc>
        <w:tc>
          <w:tcPr>
            <w:tcW w:w="20" w:type="dxa"/>
            <w:vAlign w:val="bottom"/>
            <w:tcBorders>
              <w:bottom w:val="single" w:sz="8" w:color="auto"/>
            </w:tcBorders>
          </w:tcPr>
          <w:p>
            <w:pPr>
              <w:spacing w:after="0"/>
              <w:rPr>
                <w:sz w:val="15"/>
                <w:szCs w:val="15"/>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1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8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Date</w:t>
            </w:r>
          </w:p>
        </w:tc>
        <w:tc>
          <w:tcPr>
            <w:tcW w:w="360" w:type="dxa"/>
            <w:vAlign w:val="bottom"/>
            <w:tcBorders>
              <w:bottom w:val="single" w:sz="8" w:color="auto"/>
            </w:tcBorders>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467"/>
        </w:trPr>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4"/>
                <w:szCs w:val="14"/>
                <w:color w:val="auto"/>
              </w:rPr>
              <w:t>/s/ Willie Chiang</w:t>
            </w:r>
          </w:p>
        </w:tc>
        <w:tc>
          <w:tcPr>
            <w:tcW w:w="20" w:type="dxa"/>
            <w:vAlign w:val="bottom"/>
          </w:tcPr>
          <w:p>
            <w:pPr>
              <w:spacing w:after="0"/>
              <w:rPr>
                <w:sz w:val="24"/>
                <w:szCs w:val="24"/>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September 6,</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5"/>
        </w:trPr>
        <w:tc>
          <w:tcPr>
            <w:tcW w:w="160" w:type="dxa"/>
            <w:vAlign w:val="bottom"/>
          </w:tcPr>
          <w:p>
            <w:pPr>
              <w:spacing w:after="0"/>
              <w:rPr>
                <w:sz w:val="6"/>
                <w:szCs w:val="6"/>
                <w:color w:val="auto"/>
              </w:rPr>
            </w:pPr>
          </w:p>
        </w:tc>
        <w:tc>
          <w:tcPr>
            <w:tcW w:w="1540" w:type="dxa"/>
            <w:vAlign w:val="bottom"/>
            <w:vMerge w:val="restart"/>
          </w:tcPr>
          <w:p>
            <w:pPr>
              <w:jc w:val="center"/>
              <w:ind w:right="71"/>
              <w:spacing w:after="0"/>
              <w:rPr>
                <w:sz w:val="20"/>
                <w:szCs w:val="20"/>
                <w:color w:val="auto"/>
              </w:rPr>
            </w:pPr>
            <w:r>
              <w:rPr>
                <w:rFonts w:ascii="Times New Roman" w:cs="Times New Roman" w:eastAsia="Times New Roman" w:hAnsi="Times New Roman"/>
                <w:sz w:val="14"/>
                <w:szCs w:val="14"/>
                <w:color w:val="auto"/>
              </w:rPr>
              <w:t>Willie Chiang</w:t>
            </w: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6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6"/>
        </w:trPr>
        <w:tc>
          <w:tcPr>
            <w:tcW w:w="160" w:type="dxa"/>
            <w:vAlign w:val="bottom"/>
          </w:tcPr>
          <w:p>
            <w:pPr>
              <w:spacing w:after="0"/>
              <w:rPr>
                <w:sz w:val="23"/>
                <w:szCs w:val="23"/>
                <w:color w:val="auto"/>
              </w:rPr>
            </w:pPr>
          </w:p>
        </w:tc>
        <w:tc>
          <w:tcPr>
            <w:tcW w:w="154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rPr>
              <w:t>/s/ Al Swanson</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Executive Vice President, Chief</w:t>
            </w: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vMerge w:val="restart"/>
          </w:tcPr>
          <w:p>
            <w:pPr>
              <w:jc w:val="center"/>
              <w:ind w:right="71"/>
              <w:spacing w:after="0"/>
              <w:rPr>
                <w:sz w:val="20"/>
                <w:szCs w:val="20"/>
                <w:color w:val="auto"/>
              </w:rPr>
            </w:pPr>
            <w:r>
              <w:rPr>
                <w:rFonts w:ascii="Times New Roman" w:cs="Times New Roman" w:eastAsia="Times New Roman" w:hAnsi="Times New Roman"/>
                <w:sz w:val="14"/>
                <w:szCs w:val="14"/>
                <w:color w:val="auto"/>
              </w:rPr>
              <w:t>Al Swanson</w:t>
            </w:r>
          </w:p>
        </w:tc>
        <w:tc>
          <w:tcPr>
            <w:tcW w:w="20" w:type="dxa"/>
            <w:vAlign w:val="bottom"/>
          </w:tcPr>
          <w:p>
            <w:pPr>
              <w:spacing w:after="0"/>
              <w:rPr>
                <w:sz w:val="13"/>
                <w:szCs w:val="13"/>
                <w:color w:val="auto"/>
              </w:rPr>
            </w:pPr>
          </w:p>
        </w:tc>
        <w:tc>
          <w:tcPr>
            <w:tcW w:w="160" w:type="dxa"/>
            <w:vAlign w:val="bottom"/>
          </w:tcPr>
          <w:p>
            <w:pPr>
              <w:ind w:left="40"/>
              <w:spacing w:after="0" w:line="155" w:lineRule="exact"/>
              <w:rPr>
                <w:sz w:val="20"/>
                <w:szCs w:val="20"/>
                <w:color w:val="auto"/>
              </w:rPr>
            </w:pPr>
            <w:r>
              <w:rPr>
                <w:rFonts w:ascii="Times New Roman" w:cs="Times New Roman" w:eastAsia="Times New Roman" w:hAnsi="Times New Roman"/>
                <w:sz w:val="14"/>
                <w:szCs w:val="14"/>
                <w:color w:val="auto"/>
              </w:rPr>
              <w:t>​ ​</w:t>
            </w:r>
          </w:p>
        </w:tc>
        <w:tc>
          <w:tcPr>
            <w:tcW w:w="32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Financial Officer and Director</w:t>
            </w:r>
          </w:p>
        </w:tc>
        <w:tc>
          <w:tcPr>
            <w:tcW w:w="10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 ​ September 6,</w:t>
            </w:r>
          </w:p>
        </w:tc>
        <w:tc>
          <w:tcPr>
            <w:tcW w:w="3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2024</w:t>
            </w:r>
          </w:p>
        </w:tc>
        <w:tc>
          <w:tcPr>
            <w:tcW w:w="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1"/>
        </w:trPr>
        <w:tc>
          <w:tcPr>
            <w:tcW w:w="16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1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9"/>
        </w:trPr>
        <w:tc>
          <w:tcPr>
            <w:tcW w:w="160" w:type="dxa"/>
            <w:vAlign w:val="bottom"/>
          </w:tcPr>
          <w:p>
            <w:pPr>
              <w:spacing w:after="0"/>
              <w:rPr>
                <w:sz w:val="24"/>
                <w:szCs w:val="24"/>
                <w:color w:val="auto"/>
              </w:rPr>
            </w:pPr>
          </w:p>
        </w:tc>
        <w:tc>
          <w:tcPr>
            <w:tcW w:w="1540" w:type="dxa"/>
            <w:vAlign w:val="bottom"/>
          </w:tcPr>
          <w:p>
            <w:pPr>
              <w:jc w:val="center"/>
              <w:ind w:right="51"/>
              <w:spacing w:after="0"/>
              <w:rPr>
                <w:sz w:val="20"/>
                <w:szCs w:val="20"/>
                <w:color w:val="auto"/>
              </w:rPr>
            </w:pPr>
            <w:r>
              <w:rPr>
                <w:rFonts w:ascii="Times New Roman" w:cs="Times New Roman" w:eastAsia="Times New Roman" w:hAnsi="Times New Roman"/>
                <w:sz w:val="14"/>
                <w:szCs w:val="14"/>
                <w:color w:val="auto"/>
              </w:rPr>
              <w:t>/s/ Chris Herbold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Senior Vice President, Finance and Chief</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vMerge w:val="restart"/>
          </w:tcPr>
          <w:p>
            <w:pPr>
              <w:jc w:val="center"/>
              <w:ind w:right="71"/>
              <w:spacing w:after="0"/>
              <w:rPr>
                <w:sz w:val="20"/>
                <w:szCs w:val="20"/>
                <w:color w:val="auto"/>
              </w:rPr>
            </w:pPr>
            <w:r>
              <w:rPr>
                <w:rFonts w:ascii="Times New Roman" w:cs="Times New Roman" w:eastAsia="Times New Roman" w:hAnsi="Times New Roman"/>
                <w:sz w:val="14"/>
                <w:szCs w:val="14"/>
                <w:color w:val="auto"/>
              </w:rPr>
              <w:t>Chris Herbold</w:t>
            </w:r>
          </w:p>
        </w:tc>
        <w:tc>
          <w:tcPr>
            <w:tcW w:w="20" w:type="dxa"/>
            <w:vAlign w:val="bottom"/>
          </w:tcPr>
          <w:p>
            <w:pPr>
              <w:spacing w:after="0"/>
              <w:rPr>
                <w:sz w:val="13"/>
                <w:szCs w:val="13"/>
                <w:color w:val="auto"/>
              </w:rPr>
            </w:pPr>
          </w:p>
        </w:tc>
        <w:tc>
          <w:tcPr>
            <w:tcW w:w="160" w:type="dxa"/>
            <w:vAlign w:val="bottom"/>
          </w:tcPr>
          <w:p>
            <w:pPr>
              <w:ind w:left="40"/>
              <w:spacing w:after="0" w:line="155" w:lineRule="exact"/>
              <w:rPr>
                <w:sz w:val="20"/>
                <w:szCs w:val="20"/>
                <w:color w:val="auto"/>
              </w:rPr>
            </w:pPr>
            <w:r>
              <w:rPr>
                <w:rFonts w:ascii="Times New Roman" w:cs="Times New Roman" w:eastAsia="Times New Roman" w:hAnsi="Times New Roman"/>
                <w:sz w:val="14"/>
                <w:szCs w:val="14"/>
                <w:color w:val="auto"/>
              </w:rPr>
              <w:t>​ ​</w:t>
            </w:r>
          </w:p>
        </w:tc>
        <w:tc>
          <w:tcPr>
            <w:tcW w:w="32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Accounting Officer</w:t>
            </w:r>
          </w:p>
        </w:tc>
        <w:tc>
          <w:tcPr>
            <w:tcW w:w="10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 ​ September 6,</w:t>
            </w:r>
          </w:p>
        </w:tc>
        <w:tc>
          <w:tcPr>
            <w:tcW w:w="3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2024</w:t>
            </w:r>
          </w:p>
        </w:tc>
        <w:tc>
          <w:tcPr>
            <w:tcW w:w="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1"/>
        </w:trPr>
        <w:tc>
          <w:tcPr>
            <w:tcW w:w="16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1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rPr>
              <w:t>/s/ Harry N. Pefanis</w:t>
            </w:r>
          </w:p>
        </w:tc>
        <w:tc>
          <w:tcPr>
            <w:tcW w:w="20" w:type="dxa"/>
            <w:vAlign w:val="bottom"/>
          </w:tcPr>
          <w:p>
            <w:pPr>
              <w:spacing w:after="0"/>
              <w:rPr>
                <w:sz w:val="24"/>
                <w:szCs w:val="24"/>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President and Director</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 September 6,</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7"/>
        </w:trPr>
        <w:tc>
          <w:tcPr>
            <w:tcW w:w="160" w:type="dxa"/>
            <w:vAlign w:val="bottom"/>
            <w:vMerge w:val="continue"/>
          </w:tcPr>
          <w:p>
            <w:pPr>
              <w:spacing w:after="0"/>
              <w:rPr>
                <w:sz w:val="11"/>
                <w:szCs w:val="11"/>
                <w:color w:val="auto"/>
              </w:rPr>
            </w:pPr>
          </w:p>
        </w:tc>
        <w:tc>
          <w:tcPr>
            <w:tcW w:w="1540" w:type="dxa"/>
            <w:vAlign w:val="bottom"/>
            <w:vMerge w:val="restart"/>
          </w:tcPr>
          <w:p>
            <w:pPr>
              <w:jc w:val="center"/>
              <w:ind w:right="71"/>
              <w:spacing w:after="0"/>
              <w:rPr>
                <w:sz w:val="20"/>
                <w:szCs w:val="20"/>
                <w:color w:val="auto"/>
              </w:rPr>
            </w:pPr>
            <w:r>
              <w:rPr>
                <w:rFonts w:ascii="Times New Roman" w:cs="Times New Roman" w:eastAsia="Times New Roman" w:hAnsi="Times New Roman"/>
                <w:sz w:val="14"/>
                <w:szCs w:val="14"/>
                <w:color w:val="auto"/>
              </w:rPr>
              <w:t>Harry N. Pefanis</w:t>
            </w:r>
          </w:p>
        </w:tc>
        <w:tc>
          <w:tcPr>
            <w:tcW w:w="2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3200" w:type="dxa"/>
            <w:vAlign w:val="bottom"/>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6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-947420</wp:posOffset>
            </wp:positionV>
            <wp:extent cx="107569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1075690" cy="6985"/>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-516890</wp:posOffset>
            </wp:positionV>
            <wp:extent cx="107569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1075690" cy="6985"/>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-133350</wp:posOffset>
            </wp:positionV>
            <wp:extent cx="107569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10756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1371600" cy="2019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1371600" cy="201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6,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Plains All American Pipeline, L.P .</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333 Clay Street, Suite 1600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 77002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6" w:lineRule="exact"/>
        <w:rPr>
          <w:sz w:val="20"/>
          <w:szCs w:val="20"/>
          <w:color w:val="auto"/>
        </w:rPr>
      </w:pPr>
    </w:p>
    <w:p>
      <w:pPr>
        <w:jc w:val="both"/>
        <w:ind w:firstLine="508"/>
        <w:spacing w:after="0" w:line="264" w:lineRule="auto"/>
        <w:rPr>
          <w:sz w:val="20"/>
          <w:szCs w:val="20"/>
          <w:color w:val="auto"/>
        </w:rPr>
      </w:pPr>
      <w:r>
        <w:rPr>
          <w:rFonts w:ascii="Times New Roman" w:cs="Times New Roman" w:eastAsia="Times New Roman" w:hAnsi="Times New Roman"/>
          <w:sz w:val="14"/>
          <w:szCs w:val="14"/>
          <w:color w:val="auto"/>
        </w:rPr>
        <w:t>We have acted as counsel for Plains All American Pipeline, L.P., a Delaware limited partnership (the “</w:t>
      </w:r>
      <w:r>
        <w:rPr>
          <w:rFonts w:ascii="Times New Roman" w:cs="Times New Roman" w:eastAsia="Times New Roman" w:hAnsi="Times New Roman"/>
          <w:sz w:val="14"/>
          <w:szCs w:val="14"/>
          <w:b w:val="1"/>
          <w:bCs w:val="1"/>
          <w:i w:val="1"/>
          <w:iCs w:val="1"/>
          <w:color w:val="auto"/>
        </w:rPr>
        <w:t>Partnership</w:t>
      </w:r>
      <w:r>
        <w:rPr>
          <w:rFonts w:ascii="Times New Roman" w:cs="Times New Roman" w:eastAsia="Times New Roman" w:hAnsi="Times New Roman"/>
          <w:sz w:val="14"/>
          <w:szCs w:val="14"/>
          <w:color w:val="auto"/>
        </w:rPr>
        <w:t>”), with respect to certain legal matters in connection with the preparation and filing of the Registration Statement on Form S-3 (the “</w:t>
      </w:r>
      <w:r>
        <w:rPr>
          <w:rFonts w:ascii="Times New Roman" w:cs="Times New Roman" w:eastAsia="Times New Roman" w:hAnsi="Times New Roman"/>
          <w:sz w:val="14"/>
          <w:szCs w:val="14"/>
          <w:b w:val="1"/>
          <w:bCs w:val="1"/>
          <w:i w:val="1"/>
          <w:iCs w:val="1"/>
          <w:color w:val="auto"/>
        </w:rPr>
        <w:t>Registration Statement</w:t>
      </w:r>
      <w:r>
        <w:rPr>
          <w:rFonts w:ascii="Times New Roman" w:cs="Times New Roman" w:eastAsia="Times New Roman" w:hAnsi="Times New Roman"/>
          <w:sz w:val="14"/>
          <w:szCs w:val="14"/>
          <w:color w:val="auto"/>
        </w:rPr>
        <w:t>”) filed on or about the date hereof with the U.S. Securities and Exchange Commission (the “</w:t>
      </w:r>
      <w:r>
        <w:rPr>
          <w:rFonts w:ascii="Times New Roman" w:cs="Times New Roman" w:eastAsia="Times New Roman" w:hAnsi="Times New Roman"/>
          <w:sz w:val="14"/>
          <w:szCs w:val="14"/>
          <w:b w:val="1"/>
          <w:bCs w:val="1"/>
          <w:i w:val="1"/>
          <w:iCs w:val="1"/>
          <w:color w:val="auto"/>
        </w:rPr>
        <w:t>Commission</w:t>
      </w:r>
      <w:r>
        <w:rPr>
          <w:rFonts w:ascii="Times New Roman" w:cs="Times New Roman" w:eastAsia="Times New Roman" w:hAnsi="Times New Roman"/>
          <w:sz w:val="14"/>
          <w:szCs w:val="14"/>
          <w:color w:val="auto"/>
        </w:rPr>
        <w:t>”) in connection with the registration by the Partnership under the Securities Act of 1933, as amended (the “</w:t>
      </w:r>
      <w:r>
        <w:rPr>
          <w:rFonts w:ascii="Times New Roman" w:cs="Times New Roman" w:eastAsia="Times New Roman" w:hAnsi="Times New Roman"/>
          <w:sz w:val="14"/>
          <w:szCs w:val="14"/>
          <w:b w:val="1"/>
          <w:bCs w:val="1"/>
          <w:i w:val="1"/>
          <w:iCs w:val="1"/>
          <w:color w:val="auto"/>
        </w:rPr>
        <w:t>Securities Act</w:t>
      </w:r>
      <w:r>
        <w:rPr>
          <w:rFonts w:ascii="Times New Roman" w:cs="Times New Roman" w:eastAsia="Times New Roman" w:hAnsi="Times New Roman"/>
          <w:sz w:val="14"/>
          <w:szCs w:val="14"/>
          <w:color w:val="auto"/>
        </w:rPr>
        <w:t>”), of the offer and sale by the Partnership from time to time, pursuant to Rule 415 under the Securities Act, of an indeterminate aggregate amount of its:</w:t>
      </w:r>
    </w:p>
    <w:p>
      <w:pPr>
        <w:spacing w:after="0" w:line="13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common units representing limited partner interests in the Partnership (the “</w:t>
      </w:r>
      <w:r>
        <w:rPr>
          <w:rFonts w:ascii="Times New Roman" w:cs="Times New Roman" w:eastAsia="Times New Roman" w:hAnsi="Times New Roman"/>
          <w:sz w:val="14"/>
          <w:szCs w:val="14"/>
          <w:b w:val="1"/>
          <w:bCs w:val="1"/>
          <w:i w:val="1"/>
          <w:iCs w:val="1"/>
          <w:color w:val="auto"/>
        </w:rPr>
        <w:t>Common Units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(2)             preferred units representing limited partner interests in the Partnership (the “</w:t>
      </w:r>
      <w:r>
        <w:rPr>
          <w:rFonts w:ascii="Times New Roman" w:cs="Times New Roman" w:eastAsia="Times New Roman" w:hAnsi="Times New Roman"/>
          <w:sz w:val="14"/>
          <w:szCs w:val="14"/>
          <w:b w:val="1"/>
          <w:bCs w:val="1"/>
          <w:i w:val="1"/>
          <w:iCs w:val="1"/>
          <w:color w:val="auto"/>
        </w:rPr>
        <w:t>Preferred Units</w:t>
      </w:r>
      <w:r>
        <w:rPr>
          <w:rFonts w:ascii="Times New Roman" w:cs="Times New Roman" w:eastAsia="Times New Roman" w:hAnsi="Times New Roman"/>
          <w:sz w:val="14"/>
          <w:szCs w:val="14"/>
          <w:color w:val="auto"/>
        </w:rPr>
        <w:t>”); and</w:t>
      </w:r>
    </w:p>
    <w:p>
      <w:pPr>
        <w:spacing w:after="0" w:line="178" w:lineRule="exact"/>
        <w:rPr>
          <w:sz w:val="20"/>
          <w:szCs w:val="20"/>
          <w:color w:val="auto"/>
        </w:rPr>
      </w:pPr>
    </w:p>
    <w:p>
      <w:pPr>
        <w:ind w:left="520" w:firstLine="508"/>
        <w:spacing w:after="0" w:line="289" w:lineRule="auto"/>
        <w:rPr>
          <w:sz w:val="20"/>
          <w:szCs w:val="20"/>
          <w:color w:val="auto"/>
        </w:rPr>
      </w:pPr>
      <w:r>
        <w:rPr>
          <w:rFonts w:ascii="Times New Roman" w:cs="Times New Roman" w:eastAsia="Times New Roman" w:hAnsi="Times New Roman"/>
          <w:sz w:val="14"/>
          <w:szCs w:val="14"/>
          <w:color w:val="auto"/>
        </w:rPr>
        <w:t>(3)             debt securities, which may be co-issued by PAA Finance Corp., a Delaware corporation (“</w:t>
      </w:r>
      <w:r>
        <w:rPr>
          <w:rFonts w:ascii="Times New Roman" w:cs="Times New Roman" w:eastAsia="Times New Roman" w:hAnsi="Times New Roman"/>
          <w:sz w:val="14"/>
          <w:szCs w:val="14"/>
          <w:b w:val="1"/>
          <w:bCs w:val="1"/>
          <w:i w:val="1"/>
          <w:iCs w:val="1"/>
          <w:color w:val="auto"/>
        </w:rPr>
        <w:t>PAA Finance</w:t>
      </w:r>
      <w:r>
        <w:rPr>
          <w:rFonts w:ascii="Times New Roman" w:cs="Times New Roman" w:eastAsia="Times New Roman" w:hAnsi="Times New Roman"/>
          <w:sz w:val="14"/>
          <w:szCs w:val="14"/>
          <w:color w:val="auto"/>
        </w:rPr>
        <w:t>”), in one or more series, consisting of notes, debentures or other evidences of indebtedness (the “</w:t>
      </w:r>
      <w:r>
        <w:rPr>
          <w:rFonts w:ascii="Times New Roman" w:cs="Times New Roman" w:eastAsia="Times New Roman" w:hAnsi="Times New Roman"/>
          <w:sz w:val="14"/>
          <w:szCs w:val="14"/>
          <w:b w:val="1"/>
          <w:bCs w:val="1"/>
          <w:i w:val="1"/>
          <w:iCs w:val="1"/>
          <w:color w:val="auto"/>
        </w:rPr>
        <w:t>Debt Securities</w:t>
      </w:r>
      <w:r>
        <w:rPr>
          <w:rFonts w:ascii="Times New Roman" w:cs="Times New Roman" w:eastAsia="Times New Roman" w:hAnsi="Times New Roman"/>
          <w:sz w:val="14"/>
          <w:szCs w:val="14"/>
          <w:color w:val="auto"/>
        </w:rPr>
        <w: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Common Units, the Preferred Units and the Debt Securities are collectively referred to herein as the “</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firstLine="508"/>
        <w:spacing w:after="0" w:line="289" w:lineRule="auto"/>
        <w:rPr>
          <w:sz w:val="20"/>
          <w:szCs w:val="20"/>
          <w:color w:val="auto"/>
        </w:rPr>
      </w:pPr>
      <w:r>
        <w:rPr>
          <w:rFonts w:ascii="Times New Roman" w:cs="Times New Roman" w:eastAsia="Times New Roman" w:hAnsi="Times New Roman"/>
          <w:sz w:val="14"/>
          <w:szCs w:val="14"/>
          <w:color w:val="auto"/>
        </w:rPr>
        <w:t>We have also participated in the preparation of the Prospectus (the “</w:t>
      </w:r>
      <w:r>
        <w:rPr>
          <w:rFonts w:ascii="Times New Roman" w:cs="Times New Roman" w:eastAsia="Times New Roman" w:hAnsi="Times New Roman"/>
          <w:sz w:val="14"/>
          <w:szCs w:val="14"/>
          <w:b w:val="1"/>
          <w:bCs w:val="1"/>
          <w:i w:val="1"/>
          <w:iCs w:val="1"/>
          <w:color w:val="auto"/>
        </w:rPr>
        <w:t>Prospectus</w:t>
      </w:r>
      <w:r>
        <w:rPr>
          <w:rFonts w:ascii="Times New Roman" w:cs="Times New Roman" w:eastAsia="Times New Roman" w:hAnsi="Times New Roman"/>
          <w:sz w:val="14"/>
          <w:szCs w:val="14"/>
          <w:color w:val="auto"/>
        </w:rPr>
        <w:t>”) contained in the Registration Statement to which this opinion is an exhibit. The Securities will be offered in amounts, at prices and on terms to be determined in light of market conditions at the time of sale and to be set forth in supplements (each, a "</w:t>
      </w:r>
      <w:r>
        <w:rPr>
          <w:rFonts w:ascii="Times New Roman" w:cs="Times New Roman" w:eastAsia="Times New Roman" w:hAnsi="Times New Roman"/>
          <w:sz w:val="14"/>
          <w:szCs w:val="14"/>
          <w:b w:val="1"/>
          <w:bCs w:val="1"/>
          <w:i w:val="1"/>
          <w:iCs w:val="1"/>
          <w:color w:val="auto"/>
        </w:rPr>
        <w:t>Prospectus Supplement</w:t>
      </w:r>
      <w:r>
        <w:rPr>
          <w:rFonts w:ascii="Times New Roman" w:cs="Times New Roman" w:eastAsia="Times New Roman" w:hAnsi="Times New Roman"/>
          <w:sz w:val="14"/>
          <w:szCs w:val="14"/>
          <w:color w:val="auto"/>
        </w:rPr>
        <w:t>") to the Prospectus.</w:t>
      </w:r>
    </w:p>
    <w:p>
      <w:pPr>
        <w:spacing w:after="0" w:line="123" w:lineRule="exact"/>
        <w:rPr>
          <w:sz w:val="20"/>
          <w:szCs w:val="20"/>
          <w:color w:val="auto"/>
        </w:rPr>
      </w:pPr>
    </w:p>
    <w:p>
      <w:pPr>
        <w:ind w:firstLine="508"/>
        <w:spacing w:after="0" w:line="286" w:lineRule="auto"/>
        <w:rPr>
          <w:sz w:val="20"/>
          <w:szCs w:val="20"/>
          <w:color w:val="auto"/>
        </w:rPr>
      </w:pPr>
      <w:r>
        <w:rPr>
          <w:rFonts w:ascii="Times New Roman" w:cs="Times New Roman" w:eastAsia="Times New Roman" w:hAnsi="Times New Roman"/>
          <w:sz w:val="14"/>
          <w:szCs w:val="14"/>
          <w:color w:val="auto"/>
        </w:rPr>
        <w:t>We are rendering this opinion as of the time the Registration Statement becomes effective, which Registration Statement became automatically effective upon filing with the Commission pursuant to Rule 462(e) under the Securities Act.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Vinson &amp; Elkins LLP Attorneys at Law</w:t>
            </w:r>
          </w:p>
        </w:tc>
        <w:tc>
          <w:tcPr>
            <w:tcW w:w="6260" w:type="dxa"/>
            <w:vAlign w:val="bottom"/>
          </w:tcPr>
          <w:p>
            <w:pPr>
              <w:ind w:left="1520"/>
              <w:spacing w:after="0"/>
              <w:rPr>
                <w:sz w:val="20"/>
                <w:szCs w:val="20"/>
                <w:color w:val="auto"/>
              </w:rPr>
            </w:pPr>
            <w:r>
              <w:rPr>
                <w:rFonts w:ascii="Times New Roman" w:cs="Times New Roman" w:eastAsia="Times New Roman" w:hAnsi="Times New Roman"/>
                <w:sz w:val="14"/>
                <w:szCs w:val="14"/>
                <w:color w:val="auto"/>
              </w:rPr>
              <w:t>845 Texas Ave, Suite 4700</w:t>
            </w:r>
          </w:p>
        </w:tc>
      </w:tr>
      <w:tr>
        <w:trPr>
          <w:trHeight w:val="16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Austin Dallas Dubai Houston London Los Angeles New York</w:t>
            </w:r>
          </w:p>
        </w:tc>
        <w:tc>
          <w:tcPr>
            <w:tcW w:w="6260" w:type="dxa"/>
            <w:vAlign w:val="bottom"/>
          </w:tcPr>
          <w:p>
            <w:pPr>
              <w:ind w:left="1520"/>
              <w:spacing w:after="0"/>
              <w:rPr>
                <w:sz w:val="20"/>
                <w:szCs w:val="20"/>
                <w:color w:val="auto"/>
              </w:rPr>
            </w:pPr>
            <w:r>
              <w:rPr>
                <w:rFonts w:ascii="Times New Roman" w:cs="Times New Roman" w:eastAsia="Times New Roman" w:hAnsi="Times New Roman"/>
                <w:sz w:val="14"/>
                <w:szCs w:val="14"/>
                <w:color w:val="auto"/>
              </w:rPr>
              <w:t>Houston, TX 77002-6760</w:t>
            </w:r>
          </w:p>
        </w:tc>
      </w:tr>
      <w:tr>
        <w:trPr>
          <w:trHeight w:val="186"/>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Richmond San Francisco Tokyo Washington</w:t>
            </w:r>
          </w:p>
        </w:tc>
        <w:tc>
          <w:tcPr>
            <w:tcW w:w="626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 xml:space="preserve">Tel </w:t>
            </w:r>
            <w:r>
              <w:rPr>
                <w:rFonts w:ascii="Times New Roman" w:cs="Times New Roman" w:eastAsia="Times New Roman" w:hAnsi="Times New Roman"/>
                <w:sz w:val="14"/>
                <w:szCs w:val="14"/>
                <w:color w:val="auto"/>
              </w:rPr>
              <w:t>+1.713.758.2222</w:t>
            </w:r>
            <w:r>
              <w:rPr>
                <w:rFonts w:ascii="Times New Roman" w:cs="Times New Roman" w:eastAsia="Times New Roman" w:hAnsi="Times New Roman"/>
                <w:sz w:val="14"/>
                <w:szCs w:val="14"/>
                <w:b w:val="1"/>
                <w:bCs w:val="1"/>
                <w:color w:val="auto"/>
              </w:rPr>
              <w:t xml:space="preserve"> Fax </w:t>
            </w:r>
            <w:r>
              <w:rPr>
                <w:rFonts w:ascii="Times New Roman" w:cs="Times New Roman" w:eastAsia="Times New Roman" w:hAnsi="Times New Roman"/>
                <w:sz w:val="14"/>
                <w:szCs w:val="14"/>
                <w:color w:val="auto"/>
              </w:rPr>
              <w:t>+1.713.758.2346</w:t>
            </w:r>
            <w:r>
              <w:rPr>
                <w:rFonts w:ascii="Times New Roman" w:cs="Times New Roman" w:eastAsia="Times New Roman" w:hAnsi="Times New Roman"/>
                <w:sz w:val="14"/>
                <w:szCs w:val="14"/>
                <w:b w:val="1"/>
                <w:bCs w:val="1"/>
                <w:color w:val="auto"/>
              </w:rPr>
              <w:t xml:space="preserve"> velaw.com</w:t>
            </w:r>
          </w:p>
        </w:tc>
      </w:tr>
      <w:tr>
        <w:trPr>
          <w:trHeight w:val="339"/>
        </w:trPr>
        <w:tc>
          <w:tcPr>
            <w:tcW w:w="502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313" w:right="319" w:bottom="1440" w:gutter="0" w:footer="0" w:header="0"/>
        </w:sectPr>
      </w:pPr>
    </w:p>
    <w:bookmarkStart w:id="59" w:name="page60"/>
    <w:bookmarkEnd w:id="59"/>
    <w:p>
      <w:pPr>
        <w:ind w:left="9700"/>
        <w:spacing w:after="0"/>
        <w:rPr>
          <w:sz w:val="20"/>
          <w:szCs w:val="20"/>
          <w:color w:val="auto"/>
        </w:rPr>
      </w:pPr>
      <w:r>
        <w:rPr>
          <w:rFonts w:ascii="Times New Roman" w:cs="Times New Roman" w:eastAsia="Times New Roman" w:hAnsi="Times New Roman"/>
          <w:sz w:val="14"/>
          <w:szCs w:val="14"/>
          <w:color w:val="auto"/>
        </w:rPr>
        <w:t>September 6, 2024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450850" cy="2082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450850" cy="208280"/>
                    </a:xfrm>
                    <a:prstGeom prst="rect">
                      <a:avLst/>
                    </a:prstGeom>
                    <a:noFill/>
                  </pic:spPr>
                </pic:pic>
              </a:graphicData>
            </a:graphic>
          </wp:anchor>
        </w:drawing>
      </w:r>
    </w:p>
    <w:p>
      <w:pPr>
        <w:spacing w:after="0" w:line="315" w:lineRule="exact"/>
        <w:rPr>
          <w:sz w:val="20"/>
          <w:szCs w:val="20"/>
          <w:color w:val="auto"/>
        </w:rPr>
      </w:pPr>
    </w:p>
    <w:p>
      <w:pPr>
        <w:jc w:val="both"/>
        <w:ind w:firstLine="508"/>
        <w:spacing w:after="0" w:line="257" w:lineRule="auto"/>
        <w:rPr>
          <w:sz w:val="20"/>
          <w:szCs w:val="20"/>
          <w:color w:val="auto"/>
        </w:rPr>
      </w:pPr>
      <w:r>
        <w:rPr>
          <w:rFonts w:ascii="Times New Roman" w:cs="Times New Roman" w:eastAsia="Times New Roman" w:hAnsi="Times New Roman"/>
          <w:sz w:val="14"/>
          <w:szCs w:val="14"/>
          <w:color w:val="auto"/>
        </w:rPr>
        <w:t>In rendering the opinions set forth below, we have examined and relied upon (i) the Delaware Revised Uniform Limited Partnership Act (the “</w:t>
      </w:r>
      <w:r>
        <w:rPr>
          <w:rFonts w:ascii="Times New Roman" w:cs="Times New Roman" w:eastAsia="Times New Roman" w:hAnsi="Times New Roman"/>
          <w:sz w:val="14"/>
          <w:szCs w:val="14"/>
          <w:b w:val="1"/>
          <w:bCs w:val="1"/>
          <w:i w:val="1"/>
          <w:iCs w:val="1"/>
          <w:color w:val="auto"/>
        </w:rPr>
        <w:t>Delaware LP Act</w:t>
      </w:r>
      <w:r>
        <w:rPr>
          <w:rFonts w:ascii="Times New Roman" w:cs="Times New Roman" w:eastAsia="Times New Roman" w:hAnsi="Times New Roman"/>
          <w:sz w:val="14"/>
          <w:szCs w:val="14"/>
          <w:color w:val="auto"/>
        </w:rPr>
        <w:t>”), (ii) the Delaware General Corporation Law (the “</w:t>
      </w:r>
      <w:r>
        <w:rPr>
          <w:rFonts w:ascii="Times New Roman" w:cs="Times New Roman" w:eastAsia="Times New Roman" w:hAnsi="Times New Roman"/>
          <w:sz w:val="14"/>
          <w:szCs w:val="14"/>
          <w:b w:val="1"/>
          <w:bCs w:val="1"/>
          <w:i w:val="1"/>
          <w:iCs w:val="1"/>
          <w:color w:val="auto"/>
        </w:rPr>
        <w:t>DGCL</w:t>
      </w:r>
      <w:r>
        <w:rPr>
          <w:rFonts w:ascii="Times New Roman" w:cs="Times New Roman" w:eastAsia="Times New Roman" w:hAnsi="Times New Roman"/>
          <w:sz w:val="14"/>
          <w:szCs w:val="14"/>
          <w:color w:val="auto"/>
        </w:rPr>
        <w:t>”), (iii) the Registration Statement, including the Prospectus, (iv) the Indenture, dated as of September 25, 2002, by and among the Partnership, PAA Finance and U.S. Bank Trust Company, National Association (as successor to Wachovia Bank, National Association, in interest), as trustee (the “</w:t>
      </w:r>
      <w:r>
        <w:rPr>
          <w:rFonts w:ascii="Times New Roman" w:cs="Times New Roman" w:eastAsia="Times New Roman" w:hAnsi="Times New Roman"/>
          <w:sz w:val="14"/>
          <w:szCs w:val="14"/>
          <w:b w:val="1"/>
          <w:bCs w:val="1"/>
          <w:i w:val="1"/>
          <w:iCs w:val="1"/>
          <w:color w:val="auto"/>
        </w:rPr>
        <w:t>Senior Indenture</w:t>
      </w:r>
      <w:r>
        <w:rPr>
          <w:rFonts w:ascii="Times New Roman" w:cs="Times New Roman" w:eastAsia="Times New Roman" w:hAnsi="Times New Roman"/>
          <w:sz w:val="14"/>
          <w:szCs w:val="14"/>
          <w:color w:val="auto"/>
        </w:rPr>
        <w:t>”), incorporated by reference as Exhibit 4.1 to the Registration Statement, (v) the form of Subordinated Indenture (the “</w:t>
      </w:r>
      <w:r>
        <w:rPr>
          <w:rFonts w:ascii="Times New Roman" w:cs="Times New Roman" w:eastAsia="Times New Roman" w:hAnsi="Times New Roman"/>
          <w:sz w:val="14"/>
          <w:szCs w:val="14"/>
          <w:b w:val="1"/>
          <w:bCs w:val="1"/>
          <w:i w:val="1"/>
          <w:iCs w:val="1"/>
          <w:color w:val="auto"/>
        </w:rPr>
        <w:t>Subordinated Indenture</w:t>
      </w:r>
      <w:r>
        <w:rPr>
          <w:rFonts w:ascii="Times New Roman" w:cs="Times New Roman" w:eastAsia="Times New Roman" w:hAnsi="Times New Roman"/>
          <w:sz w:val="14"/>
          <w:szCs w:val="14"/>
          <w:color w:val="auto"/>
        </w:rPr>
        <w:t>,” together with the Senior Indenture, the “</w:t>
      </w:r>
      <w:r>
        <w:rPr>
          <w:rFonts w:ascii="Times New Roman" w:cs="Times New Roman" w:eastAsia="Times New Roman" w:hAnsi="Times New Roman"/>
          <w:sz w:val="14"/>
          <w:szCs w:val="14"/>
          <w:b w:val="1"/>
          <w:bCs w:val="1"/>
          <w:i w:val="1"/>
          <w:iCs w:val="1"/>
          <w:color w:val="auto"/>
        </w:rPr>
        <w:t>Indentures</w:t>
      </w:r>
      <w:r>
        <w:rPr>
          <w:rFonts w:ascii="Times New Roman" w:cs="Times New Roman" w:eastAsia="Times New Roman" w:hAnsi="Times New Roman"/>
          <w:sz w:val="14"/>
          <w:szCs w:val="14"/>
          <w:color w:val="auto"/>
        </w:rPr>
        <w:t>”), incorporated by reference as Exhibit 4.2 to the Registration Statement, (vi) the Seventh Amended and Restated Agreement of Limited Partnership of the Partnership, dated October 10, 2017, as amended to the date hereof (the “</w:t>
      </w:r>
      <w:r>
        <w:rPr>
          <w:rFonts w:ascii="Times New Roman" w:cs="Times New Roman" w:eastAsia="Times New Roman" w:hAnsi="Times New Roman"/>
          <w:sz w:val="14"/>
          <w:szCs w:val="14"/>
          <w:b w:val="1"/>
          <w:bCs w:val="1"/>
          <w:i w:val="1"/>
          <w:iCs w:val="1"/>
          <w:color w:val="auto"/>
        </w:rPr>
        <w:t>Partnership</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Agreement</w:t>
      </w:r>
      <w:r>
        <w:rPr>
          <w:rFonts w:ascii="Times New Roman" w:cs="Times New Roman" w:eastAsia="Times New Roman" w:hAnsi="Times New Roman"/>
          <w:sz w:val="14"/>
          <w:szCs w:val="14"/>
          <w:color w:val="auto"/>
        </w:rPr>
        <w:t>”), (vii) the Certificate of Limited Partnership filed with the Secretary of State of the State of Delaware on September 17, 1998, as amended to the date hereof, pursuant to the Delaware LP</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Act, (viii) the bylaws and certificate of incorporation of PAA Finance, and (ix) such other certificates, statutes and other instruments and documents as we consider appropriate for purposes of the opinions hereafter expressed. In addition, we have reviewed such questions of law as we consider appropriate.</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connection with rendering this opinion, we have assumed that:</w:t>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the Registration Statement, and any amendments thereto (including post-effective amendments), will have become effective;</w:t>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(2)             one or more Prospectus Supplements will have been prepared and filed with the Commission describing the Securities offered thereby and will comply with applicable laws;</w:t>
      </w:r>
    </w:p>
    <w:p>
      <w:pPr>
        <w:spacing w:after="0" w:line="178" w:lineRule="exact"/>
        <w:rPr>
          <w:sz w:val="20"/>
          <w:szCs w:val="20"/>
          <w:color w:val="auto"/>
        </w:rPr>
      </w:pPr>
    </w:p>
    <w:p>
      <w:pPr>
        <w:jc w:val="both"/>
        <w:ind w:left="520" w:firstLine="508"/>
        <w:spacing w:after="0" w:line="286" w:lineRule="auto"/>
        <w:rPr>
          <w:sz w:val="20"/>
          <w:szCs w:val="20"/>
          <w:color w:val="auto"/>
        </w:rPr>
      </w:pPr>
      <w:r>
        <w:rPr>
          <w:rFonts w:ascii="Times New Roman" w:cs="Times New Roman" w:eastAsia="Times New Roman" w:hAnsi="Times New Roman"/>
          <w:sz w:val="14"/>
          <w:szCs w:val="14"/>
          <w:color w:val="auto"/>
        </w:rPr>
        <w:t>(3)             all Securities will be issued and sold in compliance with applicable federal and state securities laws and in the manner stated in the Registration Statement and the appropriate Prospectus Supplement;</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(4)             the Subordinated Indenture relating to any Debt Securities to be issued thereunder will be duly authorized, executed and delivered by the parties thereto;</w:t>
      </w:r>
    </w:p>
    <w:p>
      <w:pPr>
        <w:spacing w:after="0" w:line="178" w:lineRule="exact"/>
        <w:rPr>
          <w:sz w:val="20"/>
          <w:szCs w:val="20"/>
          <w:color w:val="auto"/>
        </w:rPr>
      </w:pPr>
    </w:p>
    <w:p>
      <w:pPr>
        <w:jc w:val="both"/>
        <w:ind w:left="520" w:firstLine="508"/>
        <w:spacing w:after="0" w:line="263" w:lineRule="auto"/>
        <w:rPr>
          <w:sz w:val="20"/>
          <w:szCs w:val="20"/>
          <w:color w:val="auto"/>
        </w:rPr>
      </w:pPr>
      <w:r>
        <w:rPr>
          <w:rFonts w:ascii="Times New Roman" w:cs="Times New Roman" w:eastAsia="Times New Roman" w:hAnsi="Times New Roman"/>
          <w:sz w:val="14"/>
          <w:szCs w:val="14"/>
          <w:color w:val="auto"/>
        </w:rPr>
        <w:t>(5)             the form and terms of any Securities, the issuance, sale and delivery thereof by the Partnership and the incurrence and performance of its obligations thereunder or in respect thereof in accordance with the terms thereof, will be in full compliance with, and will not violate, the formation documents and agreements of the Partnership or any applicable law, rule, regulation, order, judgment, decree, award or agreement binding upon it, or to which the issuance, sale and delivery of such Securities, or the incurrence or performance of such obligations, may be subject, or violate any applicable public policy, or be subject to any defense in law or equity;</w:t>
      </w:r>
    </w:p>
    <w:p>
      <w:pPr>
        <w:spacing w:after="0" w:line="142" w:lineRule="exact"/>
        <w:rPr>
          <w:sz w:val="20"/>
          <w:szCs w:val="20"/>
          <w:color w:val="auto"/>
        </w:rPr>
      </w:pPr>
    </w:p>
    <w:p>
      <w:pPr>
        <w:jc w:val="both"/>
        <w:ind w:left="520" w:firstLine="508"/>
        <w:spacing w:after="0" w:line="286" w:lineRule="auto"/>
        <w:rPr>
          <w:sz w:val="20"/>
          <w:szCs w:val="20"/>
          <w:color w:val="auto"/>
        </w:rPr>
      </w:pPr>
      <w:r>
        <w:rPr>
          <w:rFonts w:ascii="Times New Roman" w:cs="Times New Roman" w:eastAsia="Times New Roman" w:hAnsi="Times New Roman"/>
          <w:sz w:val="14"/>
          <w:szCs w:val="14"/>
          <w:color w:val="auto"/>
        </w:rPr>
        <w:t>(6)             a definitive purchase, underwriting or similar agreement with respect to any Securities offered will have been duly authorized and validly executed and delivered by the Partnership and the other parties thereto; and</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60" w:name="page61"/>
    <w:bookmarkEnd w:id="60"/>
    <w:p>
      <w:pPr>
        <w:ind w:left="9187"/>
        <w:spacing w:after="0"/>
        <w:rPr>
          <w:sz w:val="20"/>
          <w:szCs w:val="20"/>
          <w:color w:val="auto"/>
        </w:rPr>
      </w:pPr>
      <w:r>
        <w:rPr>
          <w:rFonts w:ascii="Times New Roman" w:cs="Times New Roman" w:eastAsia="Times New Roman" w:hAnsi="Times New Roman"/>
          <w:sz w:val="14"/>
          <w:szCs w:val="14"/>
          <w:color w:val="auto"/>
        </w:rPr>
        <w:t>September 6, 2024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-92075</wp:posOffset>
            </wp:positionV>
            <wp:extent cx="450850" cy="2082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450850" cy="208280"/>
                    </a:xfrm>
                    <a:prstGeom prst="rect">
                      <a:avLst/>
                    </a:prstGeom>
                    <a:noFill/>
                  </pic:spPr>
                </pic:pic>
              </a:graphicData>
            </a:graphic>
          </wp:anchor>
        </w:drawing>
      </w:r>
    </w:p>
    <w:p>
      <w:pPr>
        <w:spacing w:after="0" w:line="317" w:lineRule="exact"/>
        <w:rPr>
          <w:sz w:val="20"/>
          <w:szCs w:val="20"/>
          <w:color w:val="auto"/>
        </w:rPr>
      </w:pPr>
    </w:p>
    <w:p>
      <w:pPr>
        <w:jc w:val="both"/>
        <w:ind w:left="7" w:firstLine="508"/>
        <w:spacing w:after="0" w:line="286" w:lineRule="auto"/>
        <w:rPr>
          <w:sz w:val="20"/>
          <w:szCs w:val="20"/>
          <w:color w:val="auto"/>
        </w:rPr>
      </w:pPr>
      <w:r>
        <w:rPr>
          <w:rFonts w:ascii="Times New Roman" w:cs="Times New Roman" w:eastAsia="Times New Roman" w:hAnsi="Times New Roman"/>
          <w:sz w:val="14"/>
          <w:szCs w:val="14"/>
          <w:color w:val="auto"/>
        </w:rPr>
        <w:t>(7)             any Securities issuable upon conversion, exchange or exercise of any Security being offered will be duly authorized, created, and, if appropriate, reserved for issuance upon such conversion, exercise or exchange.</w:t>
      </w:r>
    </w:p>
    <w:p>
      <w:pPr>
        <w:spacing w:after="0" w:line="12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4"/>
          <w:szCs w:val="14"/>
          <w:color w:val="auto"/>
        </w:rPr>
        <w:t>Based upon and subject to the foregoing and to the assumptions, qualifications, limitations and exceptions set forth herein, we are of the opinion that:</w:t>
      </w:r>
    </w:p>
    <w:p>
      <w:pPr>
        <w:spacing w:after="0" w:line="178" w:lineRule="exact"/>
        <w:rPr>
          <w:sz w:val="20"/>
          <w:szCs w:val="20"/>
          <w:color w:val="auto"/>
        </w:rPr>
      </w:pPr>
    </w:p>
    <w:p>
      <w:pPr>
        <w:jc w:val="both"/>
        <w:ind w:left="7" w:firstLine="508"/>
        <w:spacing w:after="0" w:line="263" w:lineRule="auto"/>
        <w:rPr>
          <w:sz w:val="20"/>
          <w:szCs w:val="20"/>
          <w:color w:val="auto"/>
        </w:rPr>
      </w:pPr>
      <w:r>
        <w:rPr>
          <w:rFonts w:ascii="Times New Roman" w:cs="Times New Roman" w:eastAsia="Times New Roman" w:hAnsi="Times New Roman"/>
          <w:sz w:val="14"/>
          <w:szCs w:val="14"/>
          <w:color w:val="auto"/>
        </w:rPr>
        <w:t>(1)             With respect to the Common Units, when (i) the Partnership has taken all necessary action to approve the issuance of such Common Units, the terms of the offering thereof and related matters; and (ii) the Common Units have been issued and delivered in accordance with the terms of the applicable definitive purchase, underwriting or similar agreement approved by the Partnership upon payment of the consideration thereof or provided for therein, then the Common Units will be validly issued, fully paid (to the extent required under the Partnership Agreement) and non-assessable (as such nonassessability may be limited by Sections 17-303, 17-607 and 17-804 of the Delaware LP Act or the Partnership Agreement).</w:t>
      </w:r>
    </w:p>
    <w:p>
      <w:pPr>
        <w:spacing w:after="0" w:line="142" w:lineRule="exact"/>
        <w:rPr>
          <w:sz w:val="20"/>
          <w:szCs w:val="20"/>
          <w:color w:val="auto"/>
        </w:rPr>
      </w:pPr>
    </w:p>
    <w:p>
      <w:pPr>
        <w:jc w:val="both"/>
        <w:ind w:left="7" w:firstLine="508"/>
        <w:spacing w:after="0" w:line="263" w:lineRule="auto"/>
        <w:rPr>
          <w:sz w:val="20"/>
          <w:szCs w:val="20"/>
          <w:color w:val="auto"/>
        </w:rPr>
      </w:pPr>
      <w:r>
        <w:rPr>
          <w:rFonts w:ascii="Times New Roman" w:cs="Times New Roman" w:eastAsia="Times New Roman" w:hAnsi="Times New Roman"/>
          <w:sz w:val="14"/>
          <w:szCs w:val="14"/>
          <w:color w:val="auto"/>
        </w:rPr>
        <w:t>(2)             With respect to the Preferred Units, when (i) the Partnership has taken all necessary action to approve the issuance of such Preferred Units, the terms of the offering thereof and related matters; and (ii) the Preferred Units have been issued and delivered in accordance with the terms of the applicable definitive purchase, underwriting or similar agreement approved by the Partnership upon payment of the consideration thereof or provided for therein, then the Preferred Units will be validly issued, fully paid (to the extent required under the Partnership Agreement) and non-assessable (as such nonassessability may be limited by Sections 17-303, 17-607 and 17-804 of the Delaware LP Act or the Partnership Agreement).</w:t>
      </w:r>
    </w:p>
    <w:p>
      <w:pPr>
        <w:spacing w:after="0" w:line="142" w:lineRule="exact"/>
        <w:rPr>
          <w:sz w:val="20"/>
          <w:szCs w:val="20"/>
          <w:color w:val="auto"/>
        </w:rPr>
      </w:pPr>
    </w:p>
    <w:p>
      <w:pPr>
        <w:jc w:val="both"/>
        <w:ind w:left="7" w:firstLine="508"/>
        <w:spacing w:after="0" w:line="283" w:lineRule="auto"/>
        <w:rPr>
          <w:sz w:val="20"/>
          <w:szCs w:val="20"/>
          <w:color w:val="auto"/>
        </w:rPr>
      </w:pPr>
      <w:r>
        <w:rPr>
          <w:rFonts w:ascii="Times New Roman" w:cs="Times New Roman" w:eastAsia="Times New Roman" w:hAnsi="Times New Roman"/>
          <w:sz w:val="13"/>
          <w:szCs w:val="13"/>
          <w:color w:val="auto"/>
        </w:rPr>
        <w:t>(3)             With respect to the Debt Securities, when (i) the applicable Indenture has been duly qualified under the Trust Indenture Act of 1939, as amended; (ii) the Partnership and PAA Finance, as applicable, have taken all necessary action to duly authorize and approve the issuance and terms of such Debt Securities, the terms of the offering thereof and related matters; and</w:t>
      </w:r>
    </w:p>
    <w:p>
      <w:pPr>
        <w:spacing w:after="0" w:line="1" w:lineRule="exact"/>
        <w:rPr>
          <w:sz w:val="20"/>
          <w:szCs w:val="20"/>
          <w:color w:val="auto"/>
        </w:rPr>
      </w:pPr>
    </w:p>
    <w:p>
      <w:pPr>
        <w:jc w:val="both"/>
        <w:ind w:left="7" w:hanging="7"/>
        <w:spacing w:after="0" w:line="255" w:lineRule="auto"/>
        <w:tabs>
          <w:tab w:leader="none" w:pos="258"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Debt Securities have been duly authorized, executed, authenticated, issued and delivered in accordance with the provisions of the applicable Indenture and the applicable definitive purchase, underwriting or similar agreement approved by the Partnership and PAA Finance, as applicable, upon payment of the consideration thereof or provided for therein, such Debt Securities will be legally issued and will constitute valid and legally binding obligations of the Partnership and PAA Finance, as applicable, enforceable against the Partnership and PAA Finance, as applicable, in accordance with their terms, except as such enforcement may be limited by (x) applicable bankruptcy, insolvency, fraudulent transfer, reorganization, moratorium or similar laws from time to time in effect affecting creditors’ rights and remedies generally and general principles of equity (regardless of whether such principles are considered in a proceeding in equity or at law) and (y) public policy, applicable law relating to fiduciary duties and indemnification and an implied covenant of good faith and fair dealing.</w:t>
      </w:r>
    </w:p>
    <w:p>
      <w:pPr>
        <w:spacing w:after="0" w:line="315" w:lineRule="exact"/>
        <w:rPr>
          <w:sz w:val="20"/>
          <w:szCs w:val="20"/>
          <w:color w:val="auto"/>
        </w:rPr>
      </w:pPr>
    </w:p>
    <w:p>
      <w:pPr>
        <w:jc w:val="center"/>
        <w:ind w:right="493"/>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14605</wp:posOffset>
            </wp:positionV>
            <wp:extent cx="716216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0767"/>
          </w:cols>
          <w:pgMar w:left="813" w:top="739" w:right="319" w:bottom="1440" w:gutter="0" w:footer="0" w:header="0"/>
        </w:sectPr>
      </w:pPr>
    </w:p>
    <w:bookmarkStart w:id="61" w:name="page62"/>
    <w:bookmarkEnd w:id="61"/>
    <w:p>
      <w:pPr>
        <w:ind w:left="9700"/>
        <w:spacing w:after="0"/>
        <w:rPr>
          <w:sz w:val="20"/>
          <w:szCs w:val="20"/>
          <w:color w:val="auto"/>
        </w:rPr>
      </w:pPr>
      <w:r>
        <w:rPr>
          <w:rFonts w:ascii="Times New Roman" w:cs="Times New Roman" w:eastAsia="Times New Roman" w:hAnsi="Times New Roman"/>
          <w:sz w:val="14"/>
          <w:szCs w:val="14"/>
          <w:color w:val="auto"/>
        </w:rPr>
        <w:t>September 6, 2024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450850" cy="2082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450850" cy="208280"/>
                    </a:xfrm>
                    <a:prstGeom prst="rect">
                      <a:avLst/>
                    </a:prstGeom>
                    <a:noFill/>
                  </pic:spPr>
                </pic:pic>
              </a:graphicData>
            </a:graphic>
          </wp:anchor>
        </w:drawing>
      </w:r>
    </w:p>
    <w:p>
      <w:pPr>
        <w:spacing w:after="0" w:line="3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opinions expressed herein are qualified in the following respects:</w:t>
      </w:r>
    </w:p>
    <w:p>
      <w:pPr>
        <w:spacing w:after="0" w:line="178" w:lineRule="exact"/>
        <w:rPr>
          <w:sz w:val="20"/>
          <w:szCs w:val="20"/>
          <w:color w:val="auto"/>
        </w:rPr>
      </w:pPr>
    </w:p>
    <w:p>
      <w:pPr>
        <w:ind w:left="520" w:firstLine="508"/>
        <w:spacing w:after="0" w:line="286" w:lineRule="auto"/>
        <w:rPr>
          <w:sz w:val="20"/>
          <w:szCs w:val="20"/>
          <w:color w:val="auto"/>
        </w:rPr>
      </w:pPr>
      <w:r>
        <w:rPr>
          <w:rFonts w:ascii="Times New Roman" w:cs="Times New Roman" w:eastAsia="Times New Roman" w:hAnsi="Times New Roman"/>
          <w:sz w:val="14"/>
          <w:szCs w:val="14"/>
          <w:color w:val="auto"/>
        </w:rPr>
        <w:t>(1)             As to any facts material to the opinion contained herein, we have made no independent investigation of such facts and have relied, to the extent that we deem such reliance proper, upon certificates of public officials and officers or other representatives of the general partner of the Partnership and the Partnership.</w:t>
      </w:r>
    </w:p>
    <w:p>
      <w:pPr>
        <w:spacing w:after="0" w:line="125" w:lineRule="exact"/>
        <w:rPr>
          <w:sz w:val="20"/>
          <w:szCs w:val="20"/>
          <w:color w:val="auto"/>
        </w:rPr>
      </w:pPr>
    </w:p>
    <w:p>
      <w:pPr>
        <w:ind w:left="520" w:firstLine="508"/>
        <w:spacing w:after="0" w:line="286" w:lineRule="auto"/>
        <w:rPr>
          <w:sz w:val="20"/>
          <w:szCs w:val="20"/>
          <w:color w:val="auto"/>
        </w:rPr>
      </w:pPr>
      <w:r>
        <w:rPr>
          <w:rFonts w:ascii="Times New Roman" w:cs="Times New Roman" w:eastAsia="Times New Roman" w:hAnsi="Times New Roman"/>
          <w:sz w:val="14"/>
          <w:szCs w:val="14"/>
          <w:color w:val="auto"/>
        </w:rPr>
        <w:t>(2)             We have assumed, without independent verification, that the certificates, if any, for the Common Units will conform to the specimens thereof examined by us and will have been duly countersigned by a transfer agent and duly registered by a registrar of the Common Units.</w:t>
      </w:r>
    </w:p>
    <w:p>
      <w:pPr>
        <w:spacing w:after="0" w:line="125" w:lineRule="exact"/>
        <w:rPr>
          <w:sz w:val="20"/>
          <w:szCs w:val="20"/>
          <w:color w:val="auto"/>
        </w:rPr>
      </w:pPr>
    </w:p>
    <w:p>
      <w:pPr>
        <w:jc w:val="both"/>
        <w:ind w:left="520" w:firstLine="508"/>
        <w:spacing w:after="0" w:line="263" w:lineRule="auto"/>
        <w:rPr>
          <w:sz w:val="20"/>
          <w:szCs w:val="20"/>
          <w:color w:val="auto"/>
        </w:rPr>
      </w:pPr>
      <w:r>
        <w:rPr>
          <w:rFonts w:ascii="Times New Roman" w:cs="Times New Roman" w:eastAsia="Times New Roman" w:hAnsi="Times New Roman"/>
          <w:sz w:val="14"/>
          <w:szCs w:val="14"/>
          <w:color w:val="auto"/>
        </w:rPr>
        <w:t>(3)             We have assumed that (i) all information contained in all documents reviewed by us is accurate and complete, (ii) each such document submitted to us as an original is authentic and each such document submitted to us as a copy conforms to an authentic original of such document, (iii) all signatures on each such document examined by us are genuine,</w:t>
      </w:r>
    </w:p>
    <w:p>
      <w:pPr>
        <w:ind w:left="520" w:hanging="7"/>
        <w:spacing w:after="0" w:line="265" w:lineRule="auto"/>
        <w:tabs>
          <w:tab w:leader="none" w:pos="765"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signing the documents we examined had the legal capacity and authority to do so and (v) each certificate from governmental officials reviewed by us is accurate, complete and authentic, and all official public records are accurate and complete.</w:t>
      </w:r>
    </w:p>
    <w:p>
      <w:pPr>
        <w:spacing w:after="0" w:line="138" w:lineRule="exact"/>
        <w:rPr>
          <w:sz w:val="20"/>
          <w:szCs w:val="20"/>
          <w:color w:val="auto"/>
        </w:rPr>
      </w:pPr>
    </w:p>
    <w:p>
      <w:pPr>
        <w:jc w:val="both"/>
        <w:ind w:left="520" w:firstLine="508"/>
        <w:spacing w:after="0" w:line="269" w:lineRule="auto"/>
        <w:rPr>
          <w:sz w:val="20"/>
          <w:szCs w:val="20"/>
          <w:color w:val="auto"/>
        </w:rPr>
      </w:pPr>
      <w:r>
        <w:rPr>
          <w:rFonts w:ascii="Times New Roman" w:cs="Times New Roman" w:eastAsia="Times New Roman" w:hAnsi="Times New Roman"/>
          <w:sz w:val="14"/>
          <w:szCs w:val="14"/>
          <w:color w:val="auto"/>
        </w:rPr>
        <w:t>(4)             We express no opinions concerning (i) the validity or enforceability of any provisions contained in the Indentures that purport to waive or not give effect to rights to notices, defenses, subrogation or other rights or benefits that cannot be effectively waived under applicable law; or (ii) the enforceability of indemnification provisions to the extent they purport to relate to liabilities resulting from or based upon negligence or any violation of federal or state securities or blue sky laws.</w:t>
      </w:r>
    </w:p>
    <w:p>
      <w:pPr>
        <w:spacing w:after="0" w:line="136" w:lineRule="exact"/>
        <w:rPr>
          <w:sz w:val="20"/>
          <w:szCs w:val="20"/>
          <w:color w:val="auto"/>
        </w:rPr>
      </w:pPr>
    </w:p>
    <w:p>
      <w:pPr>
        <w:jc w:val="both"/>
        <w:ind w:left="520" w:firstLine="508"/>
        <w:spacing w:after="0" w:line="269" w:lineRule="auto"/>
        <w:rPr>
          <w:sz w:val="20"/>
          <w:szCs w:val="20"/>
          <w:color w:val="auto"/>
        </w:rPr>
      </w:pPr>
      <w:r>
        <w:rPr>
          <w:rFonts w:ascii="Times New Roman" w:cs="Times New Roman" w:eastAsia="Times New Roman" w:hAnsi="Times New Roman"/>
          <w:sz w:val="14"/>
          <w:szCs w:val="14"/>
          <w:color w:val="auto"/>
        </w:rPr>
        <w:t>(5)             This opinion is limited in all respects to U.S. federal laws, the laws of the State of New York, the Delaware LP Act and the DGCL, and we express no opinion with respect to the applicability thereto, or the effect thereon, of the laws of any other jurisdiction or, in the case of Delaware, any other laws, or as to any matters of municipal law or the laws of any local agencies within any state.</w:t>
      </w:r>
    </w:p>
    <w:p>
      <w:pPr>
        <w:spacing w:after="0" w:line="136" w:lineRule="exact"/>
        <w:rPr>
          <w:sz w:val="20"/>
          <w:szCs w:val="20"/>
          <w:color w:val="auto"/>
        </w:rPr>
      </w:pPr>
    </w:p>
    <w:p>
      <w:pPr>
        <w:jc w:val="both"/>
        <w:ind w:firstLine="508"/>
        <w:spacing w:after="0" w:line="279" w:lineRule="auto"/>
        <w:rPr>
          <w:sz w:val="20"/>
          <w:szCs w:val="20"/>
          <w:color w:val="auto"/>
        </w:rPr>
      </w:pPr>
      <w:r>
        <w:rPr>
          <w:rFonts w:ascii="Times New Roman" w:cs="Times New Roman" w:eastAsia="Times New Roman" w:hAnsi="Times New Roman"/>
          <w:sz w:val="14"/>
          <w:szCs w:val="14"/>
          <w:color w:val="auto"/>
        </w:rPr>
        <w:t>We hereby consent to the references to this firm under the caption “Legal Matters” in the Prospectus and to the filing of this opinion as an exhibit to the Registration Statement. By giving such consent, we do not admit that we are within the category of persons whose consent is required under Section 7 of the Securities Act or the rules and regulations of the Commission issued thereunder.</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4"/>
          <w:szCs w:val="14"/>
          <w:color w:val="auto"/>
        </w:rPr>
        <w:t>September 6, 2024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-92075</wp:posOffset>
            </wp:positionV>
            <wp:extent cx="450850" cy="2082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450850" cy="208280"/>
                    </a:xfrm>
                    <a:prstGeom prst="rect">
                      <a:avLst/>
                    </a:prstGeom>
                    <a:noFill/>
                  </pic:spPr>
                </pic:pic>
              </a:graphicData>
            </a:graphic>
          </wp:anchor>
        </w:drawing>
      </w:r>
    </w:p>
    <w:p>
      <w:pPr>
        <w:spacing w:after="0" w:line="3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/s/ Vinson &amp; Elkins L.L.P.</w:t>
      </w:r>
    </w:p>
    <w:p>
      <w:pPr>
        <w:spacing w:after="0" w:line="17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Vinson &amp; Elkins L.L.P.</w:t>
      </w:r>
    </w:p>
    <w:p>
      <w:pPr>
        <w:spacing w:after="0" w:line="34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wp:posOffset>
            </wp:positionV>
            <wp:extent cx="716216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0060"/>
          </w:cols>
          <w:pgMar w:left="1440" w:top="739" w:right="39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4"/>
          <w:szCs w:val="14"/>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1365250" cy="2216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1365250" cy="22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6,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Plains All American Pipeline,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333 Clay Street, Suite 1600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 77002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 Plains All American Pipeline, L.P. Registration Statement on Form S-3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8" w:lineRule="exact"/>
        <w:rPr>
          <w:sz w:val="20"/>
          <w:szCs w:val="20"/>
          <w:color w:val="auto"/>
        </w:rPr>
      </w:pPr>
    </w:p>
    <w:p>
      <w:pPr>
        <w:ind w:right="180" w:firstLine="254"/>
        <w:spacing w:after="0" w:line="263" w:lineRule="auto"/>
        <w:rPr>
          <w:sz w:val="20"/>
          <w:szCs w:val="20"/>
          <w:color w:val="auto"/>
        </w:rPr>
      </w:pPr>
      <w:r>
        <w:rPr>
          <w:rFonts w:ascii="Times New Roman" w:cs="Times New Roman" w:eastAsia="Times New Roman" w:hAnsi="Times New Roman"/>
          <w:sz w:val="14"/>
          <w:szCs w:val="14"/>
          <w:color w:val="auto"/>
        </w:rPr>
        <w:t>We have acted as counsel for Plains All American Pipeline, L.P. (the ”Partnership”), a Delaware limited partnership, with respect to certain legal matters in connection with the preparation of a Prospectus dated on or about the date hereof (the ”Prospectus”) forming part of the Registration Statement on Form S-3 (the ”Registration Statement”), to which this opinion is an exhibit. The Registration Statement relates to the registration under the Securities Act of 1933, as amended (the ”Securities Act”), of common units representing limited partner interests in the Partnership, preferred units representing limited partner interests in the Partnership, and debt securities.</w:t>
      </w:r>
    </w:p>
    <w:p>
      <w:pPr>
        <w:spacing w:after="0" w:line="142" w:lineRule="exact"/>
        <w:rPr>
          <w:sz w:val="20"/>
          <w:szCs w:val="20"/>
          <w:color w:val="auto"/>
        </w:rPr>
      </w:pPr>
    </w:p>
    <w:p>
      <w:pPr>
        <w:ind w:right="120" w:firstLine="254"/>
        <w:spacing w:after="0" w:line="269" w:lineRule="auto"/>
        <w:rPr>
          <w:sz w:val="20"/>
          <w:szCs w:val="20"/>
          <w:color w:val="auto"/>
        </w:rPr>
      </w:pPr>
      <w:r>
        <w:rPr>
          <w:rFonts w:ascii="Times New Roman" w:cs="Times New Roman" w:eastAsia="Times New Roman" w:hAnsi="Times New Roman"/>
          <w:sz w:val="14"/>
          <w:szCs w:val="14"/>
          <w:color w:val="auto"/>
        </w:rPr>
        <w:t>This opinion is based on various facts and assumptions, and is conditioned upon certain representations made by the Partnership as to factual matters through a certificate of an officer of the Partnership (the “Officer’s Certificate”). In addition, this opinion is based upon the factual representations of the Partnership concerning its business, properties and governing documents as set forth in the Registration Statement.</w:t>
      </w:r>
    </w:p>
    <w:p>
      <w:pPr>
        <w:spacing w:after="0" w:line="136" w:lineRule="exact"/>
        <w:rPr>
          <w:sz w:val="20"/>
          <w:szCs w:val="20"/>
          <w:color w:val="auto"/>
        </w:rPr>
      </w:pPr>
    </w:p>
    <w:p>
      <w:pPr>
        <w:ind w:right="120" w:firstLine="254"/>
        <w:spacing w:after="0" w:line="259" w:lineRule="auto"/>
        <w:rPr>
          <w:sz w:val="20"/>
          <w:szCs w:val="20"/>
          <w:color w:val="auto"/>
        </w:rPr>
      </w:pPr>
      <w:r>
        <w:rPr>
          <w:rFonts w:ascii="Times New Roman" w:cs="Times New Roman" w:eastAsia="Times New Roman" w:hAnsi="Times New Roman"/>
          <w:sz w:val="14"/>
          <w:szCs w:val="14"/>
          <w:color w:val="auto"/>
        </w:rPr>
        <w:t>In our capacity as counsel to the Partnership,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or in the Officer’s Certificate. In addition, in rendering this opinion we have assumed the truth and accuracy of all representations and statements made to us which are qualified as to knowledge or belief, without regard to such qualification.</w:t>
      </w:r>
    </w:p>
    <w:p>
      <w:pPr>
        <w:spacing w:after="0" w:line="144" w:lineRule="exact"/>
        <w:rPr>
          <w:sz w:val="20"/>
          <w:szCs w:val="20"/>
          <w:color w:val="auto"/>
        </w:rPr>
      </w:pPr>
    </w:p>
    <w:p>
      <w:pPr>
        <w:ind w:right="220" w:firstLine="254"/>
        <w:spacing w:after="0" w:line="261" w:lineRule="auto"/>
        <w:rPr>
          <w:sz w:val="20"/>
          <w:szCs w:val="20"/>
          <w:color w:val="auto"/>
        </w:rPr>
      </w:pPr>
      <w:r>
        <w:rPr>
          <w:rFonts w:ascii="Times New Roman" w:cs="Times New Roman" w:eastAsia="Times New Roman" w:hAnsi="Times New Roman"/>
          <w:sz w:val="14"/>
          <w:szCs w:val="14"/>
          <w:color w:val="auto"/>
        </w:rPr>
        <w:t>We hereby confirm that all statements of legal conclusions contained in the discussion in the Registration Statement under the caption “Material U.S. Federal Income Tax Consequences” constitute the opinion of Vinson &amp; Elkins L.L.P. with respect to the matters set forth therein as of the effective date of the Registration Statement, subject to the assumptions, qualifications, and limitations set forth therein. This 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and the Officer’s Certificate, may affect the conclusions stated herein.</w:t>
      </w:r>
    </w:p>
    <w:p>
      <w:pPr>
        <w:spacing w:after="0" w:line="141" w:lineRule="exact"/>
        <w:rPr>
          <w:sz w:val="20"/>
          <w:szCs w:val="20"/>
          <w:color w:val="auto"/>
        </w:rPr>
      </w:pPr>
    </w:p>
    <w:p>
      <w:pPr>
        <w:jc w:val="both"/>
        <w:ind w:right="200" w:firstLine="254"/>
        <w:spacing w:after="0" w:line="269" w:lineRule="auto"/>
        <w:rPr>
          <w:sz w:val="20"/>
          <w:szCs w:val="20"/>
          <w:color w:val="auto"/>
        </w:rPr>
      </w:pPr>
      <w:r>
        <w:rPr>
          <w:rFonts w:ascii="Times New Roman" w:cs="Times New Roman" w:eastAsia="Times New Roman" w:hAnsi="Times New Roman"/>
          <w:sz w:val="14"/>
          <w:szCs w:val="14"/>
          <w:color w:val="auto"/>
        </w:rPr>
        <w:t>No opinion is expressed as to any matter not discussed in the Registration Statement under the caption “Material U.S. Federal Income Tax Consequences.” We are opining herein only as to the U.S. federal income tax matters described above, and we express no opinion with respect to the applicability to, or the effect on, any transaction of other federal laws, foreign laws, the laws of any state or any other jurisdiction or as to any matters of municipal law or the laws of any other local agencies within any state.</w:t>
      </w:r>
    </w:p>
    <w:p>
      <w:pPr>
        <w:spacing w:after="0" w:line="136" w:lineRule="exact"/>
        <w:rPr>
          <w:sz w:val="20"/>
          <w:szCs w:val="20"/>
          <w:color w:val="auto"/>
        </w:rPr>
      </w:pPr>
    </w:p>
    <w:p>
      <w:pPr>
        <w:ind w:right="160" w:firstLine="254"/>
        <w:spacing w:after="0" w:line="263" w:lineRule="auto"/>
        <w:rPr>
          <w:sz w:val="20"/>
          <w:szCs w:val="20"/>
          <w:color w:val="auto"/>
        </w:rPr>
      </w:pPr>
      <w:r>
        <w:rPr>
          <w:rFonts w:ascii="Times New Roman" w:cs="Times New Roman" w:eastAsia="Times New Roman" w:hAnsi="Times New Roman"/>
          <w:sz w:val="14"/>
          <w:szCs w:val="14"/>
          <w:color w:val="auto"/>
        </w:rPr>
        <w:t>This opinion is rendered to you as of the effective date of the Registration Statement, and we undertake no obligation to update this opinion subsequent to the date hereof. This opinion is furnished to you and may be relied on by you in connection with the transactions set forth in the Registration Statement. In addition, this opinion may be relied on by persons entitled to rely on it pursuant to applicable provisions of federal securities law, including persons purchasing common units pursuant to the Registration Statement. However, this opinion may not be relied upon for any other purpose or furnished to, assigned to, quoted to or relied upon by any other person, firm or other entity, for any purpose, without our prior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16216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313" w:right="319" w:bottom="1440" w:gutter="0" w:footer="0" w:header="0"/>
        </w:sectPr>
      </w:pPr>
    </w:p>
    <w:bookmarkStart w:id="64" w:name="page65"/>
    <w:bookmarkEnd w:id="64"/>
    <w:p>
      <w:pPr>
        <w:ind w:firstLine="254"/>
        <w:spacing w:after="0" w:line="28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213360</wp:posOffset>
            </wp:positionH>
            <wp:positionV relativeFrom="page">
              <wp:posOffset>478790</wp:posOffset>
            </wp:positionV>
            <wp:extent cx="477520" cy="2286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477520" cy="228600"/>
                    </a:xfrm>
                    <a:prstGeom prst="rect">
                      <a:avLst/>
                    </a:prstGeom>
                    <a:noFill/>
                  </pic:spPr>
                </pic:pic>
              </a:graphicData>
            </a:graphic>
          </wp:anchor>
        </w:drawing>
        <w:t>We hereby consent to the filing of this opinion of counsel as an exhibit to the Registration Statement and the use of our name in the Registration Statement. In giving such consent, we do not admit that we are within the category of persons whose consent is required under Section 7 of the Securities Act.</w:t>
      </w:r>
    </w:p>
    <w:p>
      <w:pPr>
        <w:spacing w:after="0" w:line="1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 VINSON &amp; ELKINS L.L.P.</w:t>
      </w:r>
    </w:p>
    <w:p>
      <w:pPr>
        <w:spacing w:after="0" w:line="1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229870</wp:posOffset>
            </wp:positionV>
            <wp:extent cx="716216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0960"/>
          </w:cols>
          <w:pgMar w:left="300" w:top="1311" w:right="6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7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We hereby consent to the incorporation by reference in this Registration Statement on Form S-3 of Plains All American Pipeline, L.P. of our report dated February 28, 2024 relating to the financial statements and the effectiveness of internal control over financial reporting, which appears in Plains All American Pipeline, L.P.’s Annual Report on Form 10-K for the year ended December 31, 2023. We also consent to the reference to us under the heading “Experts” in such Registration Statement.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TX</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341630</wp:posOffset>
            </wp:positionV>
            <wp:extent cx="716216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66" w:name="page67"/>
    <w:bookmarkEnd w:id="66"/>
    <w:p>
      <w:pPr>
        <w:ind w:left="10400"/>
        <w:spacing w:after="0"/>
        <w:rPr>
          <w:sz w:val="20"/>
          <w:szCs w:val="20"/>
          <w:color w:val="auto"/>
        </w:rPr>
      </w:pPr>
      <w:r>
        <w:rPr>
          <w:rFonts w:ascii="Times New Roman" w:cs="Times New Roman" w:eastAsia="Times New Roman" w:hAnsi="Times New Roman"/>
          <w:sz w:val="17"/>
          <w:szCs w:val="17"/>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6216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716216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147320</wp:posOffset>
            </wp:positionV>
            <wp:extent cx="716216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2686050</wp:posOffset>
            </wp:positionH>
            <wp:positionV relativeFrom="paragraph">
              <wp:posOffset>120015</wp:posOffset>
            </wp:positionV>
            <wp:extent cx="179578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1795780" cy="6985"/>
                    </a:xfrm>
                    <a:prstGeom prst="rect">
                      <a:avLst/>
                    </a:prstGeom>
                    <a:noFill/>
                  </pic:spPr>
                </pic:pic>
              </a:graphicData>
            </a:graphic>
          </wp:anchor>
        </w:drawing>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T-1</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STATEMENT OF ELIGIBILITY UNDER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TRUST INDENTURE ACT OF 1939 OF A</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CORPORATION DESIGNATED TO ACT AS TRUSTEE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Check if an Application to Determine Eligibility of</w:t>
      </w:r>
    </w:p>
    <w:p>
      <w:pPr>
        <w:spacing w:after="0" w:line="5" w:lineRule="exact"/>
        <w:rPr>
          <w:sz w:val="20"/>
          <w:szCs w:val="20"/>
          <w:color w:val="auto"/>
        </w:rPr>
      </w:pPr>
    </w:p>
    <w:p>
      <w:pPr>
        <w:jc w:val="center"/>
        <w:spacing w:after="0" w:line="161" w:lineRule="exact"/>
        <w:rPr>
          <w:sz w:val="20"/>
          <w:szCs w:val="20"/>
          <w:color w:val="auto"/>
        </w:rPr>
      </w:pPr>
      <w:r>
        <w:rPr>
          <w:rFonts w:ascii="Times New Roman" w:cs="Times New Roman" w:eastAsia="Times New Roman" w:hAnsi="Times New Roman"/>
          <w:sz w:val="14"/>
          <w:szCs w:val="14"/>
          <w:color w:val="auto"/>
        </w:rPr>
        <w:t>a Trustee Pursuant to Section 305(b)(2)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115570</wp:posOffset>
            </wp:positionV>
            <wp:extent cx="429704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4297045" cy="6985"/>
                    </a:xfrm>
                    <a:prstGeom prst="rect">
                      <a:avLst/>
                    </a:prstGeom>
                    <a:noFill/>
                  </pic:spPr>
                </pic:pic>
              </a:graphicData>
            </a:graphic>
          </wp:anchor>
        </w:drawing>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U.S. BANK TRUST COMPANY, NATIONAL ASSOCIATION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Trustee as specified in its charter)</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91-1821036</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165"/>
        </w:trPr>
        <w:tc>
          <w:tcPr>
            <w:tcW w:w="5660" w:type="dxa"/>
            <w:vAlign w:val="bottom"/>
            <w:tcBorders>
              <w:top w:val="single" w:sz="8" w:color="auto"/>
              <w:left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800 Nicollet Mall</w:t>
            </w:r>
          </w:p>
        </w:tc>
        <w:tc>
          <w:tcPr>
            <w:tcW w:w="1660" w:type="dxa"/>
            <w:vAlign w:val="bottom"/>
            <w:tcBorders>
              <w:top w:val="single" w:sz="8" w:color="auto"/>
            </w:tcBorders>
          </w:tcPr>
          <w:p>
            <w:pPr>
              <w:spacing w:after="0"/>
              <w:rPr>
                <w:sz w:val="14"/>
                <w:szCs w:val="14"/>
                <w:color w:val="auto"/>
              </w:rPr>
            </w:pPr>
          </w:p>
        </w:tc>
        <w:tc>
          <w:tcPr>
            <w:tcW w:w="3980" w:type="dxa"/>
            <w:vAlign w:val="bottom"/>
            <w:tcBorders>
              <w:top w:val="single" w:sz="8" w:color="auto"/>
              <w:right w:val="single" w:sz="8" w:color="auto"/>
            </w:tcBorders>
          </w:tcPr>
          <w:p>
            <w:pPr>
              <w:spacing w:after="0"/>
              <w:rPr>
                <w:sz w:val="14"/>
                <w:szCs w:val="14"/>
                <w:color w:val="auto"/>
              </w:rPr>
            </w:pPr>
          </w:p>
        </w:tc>
      </w:tr>
      <w:tr>
        <w:trPr>
          <w:trHeight w:val="184"/>
        </w:trPr>
        <w:tc>
          <w:tcPr>
            <w:tcW w:w="566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Minneapolis, Minnesota</w:t>
            </w:r>
          </w:p>
        </w:tc>
        <w:tc>
          <w:tcPr>
            <w:tcW w:w="1660" w:type="dxa"/>
            <w:vAlign w:val="bottom"/>
            <w:tcBorders>
              <w:bottom w:val="single" w:sz="8" w:color="auto"/>
            </w:tcBorders>
          </w:tcPr>
          <w:p>
            <w:pPr>
              <w:spacing w:after="0"/>
              <w:rPr>
                <w:sz w:val="15"/>
                <w:szCs w:val="15"/>
                <w:color w:val="auto"/>
              </w:rPr>
            </w:pPr>
          </w:p>
        </w:tc>
        <w:tc>
          <w:tcPr>
            <w:tcW w:w="3980" w:type="dxa"/>
            <w:vAlign w:val="bottom"/>
            <w:tcBorders>
              <w:bottom w:val="single" w:sz="8" w:color="auto"/>
              <w:right w:val="single" w:sz="8" w:color="auto"/>
            </w:tcBorders>
          </w:tcPr>
          <w:p>
            <w:pPr>
              <w:jc w:val="right"/>
              <w:ind w:right="2589"/>
              <w:spacing w:after="0"/>
              <w:rPr>
                <w:sz w:val="20"/>
                <w:szCs w:val="20"/>
                <w:color w:val="auto"/>
              </w:rPr>
            </w:pPr>
            <w:r>
              <w:rPr>
                <w:rFonts w:ascii="Times New Roman" w:cs="Times New Roman" w:eastAsia="Times New Roman" w:hAnsi="Times New Roman"/>
                <w:sz w:val="14"/>
                <w:szCs w:val="14"/>
                <w:color w:val="auto"/>
              </w:rPr>
              <w:t>55402</w:t>
            </w:r>
          </w:p>
        </w:tc>
      </w:tr>
      <w:tr>
        <w:trPr>
          <w:trHeight w:val="160"/>
        </w:trPr>
        <w:tc>
          <w:tcPr>
            <w:tcW w:w="5660" w:type="dxa"/>
            <w:vAlign w:val="bottom"/>
            <w:tcBorders>
              <w:left w:val="single" w:sz="8" w:color="auto"/>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660" w:type="dxa"/>
            <w:vAlign w:val="bottom"/>
            <w:tcBorders>
              <w:bottom w:val="single" w:sz="8" w:color="auto"/>
            </w:tcBorders>
          </w:tcPr>
          <w:p>
            <w:pPr>
              <w:spacing w:after="0"/>
              <w:rPr>
                <w:sz w:val="13"/>
                <w:szCs w:val="13"/>
                <w:color w:val="auto"/>
              </w:rPr>
            </w:pPr>
          </w:p>
        </w:tc>
        <w:tc>
          <w:tcPr>
            <w:tcW w:w="3980" w:type="dxa"/>
            <w:vAlign w:val="bottom"/>
            <w:tcBorders>
              <w:bottom w:val="single" w:sz="8" w:color="auto"/>
              <w:right w:val="single" w:sz="8" w:color="auto"/>
            </w:tcBorders>
          </w:tcPr>
          <w:p>
            <w:pPr>
              <w:jc w:val="center"/>
              <w:ind w:right="1629"/>
              <w:spacing w:after="0"/>
              <w:rPr>
                <w:sz w:val="20"/>
                <w:szCs w:val="20"/>
                <w:color w:val="auto"/>
              </w:rPr>
            </w:pPr>
            <w:r>
              <w:rPr>
                <w:rFonts w:ascii="Times New Roman" w:cs="Times New Roman" w:eastAsia="Times New Roman" w:hAnsi="Times New Roman"/>
                <w:sz w:val="14"/>
                <w:szCs w:val="14"/>
                <w:color w:val="auto"/>
              </w:rPr>
              <w:t>(Zip Code)</w:t>
            </w:r>
          </w:p>
        </w:tc>
      </w:tr>
      <w:tr>
        <w:trPr>
          <w:trHeight w:val="315"/>
        </w:trPr>
        <w:tc>
          <w:tcPr>
            <w:tcW w:w="7320" w:type="dxa"/>
            <w:vAlign w:val="bottom"/>
            <w:gridSpan w:val="4"/>
          </w:tcPr>
          <w:p>
            <w:pPr>
              <w:jc w:val="center"/>
              <w:ind w:left="3886"/>
              <w:spacing w:after="0"/>
              <w:rPr>
                <w:sz w:val="20"/>
                <w:szCs w:val="20"/>
                <w:color w:val="auto"/>
              </w:rPr>
            </w:pPr>
            <w:r>
              <w:rPr>
                <w:rFonts w:ascii="Times New Roman" w:cs="Times New Roman" w:eastAsia="Times New Roman" w:hAnsi="Times New Roman"/>
                <w:sz w:val="14"/>
                <w:szCs w:val="14"/>
                <w:color w:val="auto"/>
              </w:rPr>
              <w:t>Michael K. Herberger</w:t>
            </w:r>
          </w:p>
        </w:tc>
        <w:tc>
          <w:tcPr>
            <w:tcW w:w="3980" w:type="dxa"/>
            <w:vAlign w:val="bottom"/>
          </w:tcPr>
          <w:p>
            <w:pPr>
              <w:spacing w:after="0"/>
              <w:rPr>
                <w:sz w:val="24"/>
                <w:szCs w:val="24"/>
                <w:color w:val="auto"/>
              </w:rPr>
            </w:pPr>
          </w:p>
        </w:tc>
      </w:tr>
      <w:tr>
        <w:trPr>
          <w:trHeight w:val="173"/>
        </w:trPr>
        <w:tc>
          <w:tcPr>
            <w:tcW w:w="7320" w:type="dxa"/>
            <w:vAlign w:val="bottom"/>
            <w:gridSpan w:val="4"/>
          </w:tcPr>
          <w:p>
            <w:pPr>
              <w:jc w:val="center"/>
              <w:ind w:left="3906"/>
              <w:spacing w:after="0"/>
              <w:rPr>
                <w:sz w:val="20"/>
                <w:szCs w:val="20"/>
                <w:color w:val="auto"/>
              </w:rPr>
            </w:pPr>
            <w:r>
              <w:rPr>
                <w:rFonts w:ascii="Times New Roman" w:cs="Times New Roman" w:eastAsia="Times New Roman" w:hAnsi="Times New Roman"/>
                <w:sz w:val="14"/>
                <w:szCs w:val="14"/>
                <w:color w:val="auto"/>
              </w:rPr>
              <w:t>U.S. Bank Trust Company, National Association</w:t>
            </w:r>
          </w:p>
        </w:tc>
        <w:tc>
          <w:tcPr>
            <w:tcW w:w="3980" w:type="dxa"/>
            <w:vAlign w:val="bottom"/>
          </w:tcPr>
          <w:p>
            <w:pPr>
              <w:spacing w:after="0"/>
              <w:rPr>
                <w:sz w:val="15"/>
                <w:szCs w:val="15"/>
                <w:color w:val="auto"/>
              </w:rPr>
            </w:pPr>
          </w:p>
        </w:tc>
      </w:tr>
      <w:tr>
        <w:trPr>
          <w:trHeight w:val="197"/>
        </w:trPr>
        <w:tc>
          <w:tcPr>
            <w:tcW w:w="7320" w:type="dxa"/>
            <w:vAlign w:val="bottom"/>
            <w:gridSpan w:val="4"/>
          </w:tcPr>
          <w:p>
            <w:pPr>
              <w:jc w:val="center"/>
              <w:ind w:left="3886"/>
              <w:spacing w:after="0" w:line="198" w:lineRule="exact"/>
              <w:rPr>
                <w:sz w:val="20"/>
                <w:szCs w:val="20"/>
                <w:color w:val="auto"/>
              </w:rPr>
            </w:pPr>
            <w:r>
              <w:rPr>
                <w:rFonts w:ascii="Times New Roman" w:cs="Times New Roman" w:eastAsia="Times New Roman" w:hAnsi="Times New Roman"/>
                <w:sz w:val="14"/>
                <w:szCs w:val="14"/>
                <w:color w:val="auto"/>
                <w:w w:val="98"/>
              </w:rPr>
              <w:t>13737 Noel Road, 8</w:t>
            </w:r>
            <w:r>
              <w:rPr>
                <w:rFonts w:ascii="Times New Roman" w:cs="Times New Roman" w:eastAsia="Times New Roman" w:hAnsi="Times New Roman"/>
                <w:sz w:val="22"/>
                <w:szCs w:val="22"/>
                <w:color w:val="auto"/>
                <w:w w:val="98"/>
                <w:vertAlign w:val="superscript"/>
              </w:rPr>
              <w:t>th</w:t>
            </w:r>
            <w:r>
              <w:rPr>
                <w:rFonts w:ascii="Times New Roman" w:cs="Times New Roman" w:eastAsia="Times New Roman" w:hAnsi="Times New Roman"/>
                <w:sz w:val="14"/>
                <w:szCs w:val="14"/>
                <w:color w:val="auto"/>
                <w:w w:val="98"/>
              </w:rPr>
              <w:t xml:space="preserve"> Floor</w:t>
            </w:r>
          </w:p>
        </w:tc>
        <w:tc>
          <w:tcPr>
            <w:tcW w:w="3980" w:type="dxa"/>
            <w:vAlign w:val="bottom"/>
          </w:tcPr>
          <w:p>
            <w:pPr>
              <w:spacing w:after="0"/>
              <w:rPr>
                <w:sz w:val="17"/>
                <w:szCs w:val="17"/>
                <w:color w:val="auto"/>
              </w:rPr>
            </w:pPr>
          </w:p>
        </w:tc>
      </w:tr>
      <w:tr>
        <w:trPr>
          <w:trHeight w:val="169"/>
        </w:trPr>
        <w:tc>
          <w:tcPr>
            <w:tcW w:w="7320" w:type="dxa"/>
            <w:vAlign w:val="bottom"/>
            <w:gridSpan w:val="4"/>
          </w:tcPr>
          <w:p>
            <w:pPr>
              <w:jc w:val="center"/>
              <w:ind w:left="3886"/>
              <w:spacing w:after="0"/>
              <w:rPr>
                <w:sz w:val="20"/>
                <w:szCs w:val="20"/>
                <w:color w:val="auto"/>
              </w:rPr>
            </w:pPr>
            <w:r>
              <w:rPr>
                <w:rFonts w:ascii="Times New Roman" w:cs="Times New Roman" w:eastAsia="Times New Roman" w:hAnsi="Times New Roman"/>
                <w:sz w:val="14"/>
                <w:szCs w:val="14"/>
                <w:color w:val="auto"/>
              </w:rPr>
              <w:t>Dallas, TX 75240</w:t>
            </w:r>
          </w:p>
        </w:tc>
        <w:tc>
          <w:tcPr>
            <w:tcW w:w="3980" w:type="dxa"/>
            <w:vAlign w:val="bottom"/>
          </w:tcPr>
          <w:p>
            <w:pPr>
              <w:spacing w:after="0"/>
              <w:rPr>
                <w:sz w:val="14"/>
                <w:szCs w:val="14"/>
                <w:color w:val="auto"/>
              </w:rPr>
            </w:pPr>
          </w:p>
        </w:tc>
      </w:tr>
      <w:tr>
        <w:trPr>
          <w:trHeight w:val="169"/>
        </w:trPr>
        <w:tc>
          <w:tcPr>
            <w:tcW w:w="7320" w:type="dxa"/>
            <w:vAlign w:val="bottom"/>
            <w:gridSpan w:val="4"/>
          </w:tcPr>
          <w:p>
            <w:pPr>
              <w:jc w:val="center"/>
              <w:ind w:left="3886"/>
              <w:spacing w:after="0"/>
              <w:rPr>
                <w:sz w:val="20"/>
                <w:szCs w:val="20"/>
                <w:color w:val="auto"/>
              </w:rPr>
            </w:pPr>
            <w:r>
              <w:rPr>
                <w:rFonts w:ascii="Times New Roman" w:cs="Times New Roman" w:eastAsia="Times New Roman" w:hAnsi="Times New Roman"/>
                <w:sz w:val="14"/>
                <w:szCs w:val="14"/>
                <w:color w:val="auto"/>
              </w:rPr>
              <w:t>(972) 581-1612</w:t>
            </w:r>
          </w:p>
        </w:tc>
        <w:tc>
          <w:tcPr>
            <w:tcW w:w="3980" w:type="dxa"/>
            <w:vAlign w:val="bottom"/>
          </w:tcPr>
          <w:p>
            <w:pPr>
              <w:spacing w:after="0"/>
              <w:rPr>
                <w:sz w:val="14"/>
                <w:szCs w:val="14"/>
                <w:color w:val="auto"/>
              </w:rPr>
            </w:pPr>
          </w:p>
        </w:tc>
      </w:tr>
      <w:tr>
        <w:trPr>
          <w:trHeight w:val="184"/>
        </w:trPr>
        <w:tc>
          <w:tcPr>
            <w:tcW w:w="7320" w:type="dxa"/>
            <w:vAlign w:val="bottom"/>
            <w:gridSpan w:val="4"/>
          </w:tcPr>
          <w:p>
            <w:pPr>
              <w:jc w:val="center"/>
              <w:ind w:left="3906"/>
              <w:spacing w:after="0"/>
              <w:rPr>
                <w:sz w:val="20"/>
                <w:szCs w:val="20"/>
                <w:color w:val="auto"/>
              </w:rPr>
            </w:pPr>
            <w:r>
              <w:rPr>
                <w:rFonts w:ascii="Times New Roman" w:cs="Times New Roman" w:eastAsia="Times New Roman" w:hAnsi="Times New Roman"/>
                <w:sz w:val="14"/>
                <w:szCs w:val="14"/>
                <w:color w:val="auto"/>
              </w:rPr>
              <w:t>(Name, address and telephone number of agent for service)</w:t>
            </w:r>
          </w:p>
        </w:tc>
        <w:tc>
          <w:tcPr>
            <w:tcW w:w="3980" w:type="dxa"/>
            <w:vAlign w:val="bottom"/>
          </w:tcPr>
          <w:p>
            <w:pPr>
              <w:spacing w:after="0"/>
              <w:rPr>
                <w:sz w:val="15"/>
                <w:szCs w:val="15"/>
                <w:color w:val="auto"/>
              </w:rPr>
            </w:pPr>
          </w:p>
        </w:tc>
      </w:tr>
      <w:tr>
        <w:trPr>
          <w:trHeight w:val="381"/>
        </w:trPr>
        <w:tc>
          <w:tcPr>
            <w:tcW w:w="7320" w:type="dxa"/>
            <w:vAlign w:val="bottom"/>
            <w:gridSpan w:val="4"/>
          </w:tcPr>
          <w:p>
            <w:pPr>
              <w:jc w:val="center"/>
              <w:ind w:left="3906"/>
              <w:spacing w:after="0"/>
              <w:rPr>
                <w:sz w:val="20"/>
                <w:szCs w:val="20"/>
                <w:color w:val="auto"/>
              </w:rPr>
            </w:pPr>
            <w:r>
              <w:rPr>
                <w:rFonts w:ascii="Times New Roman" w:cs="Times New Roman" w:eastAsia="Times New Roman" w:hAnsi="Times New Roman"/>
                <w:sz w:val="20"/>
                <w:szCs w:val="20"/>
                <w:b w:val="1"/>
                <w:bCs w:val="1"/>
                <w:color w:val="auto"/>
                <w:w w:val="98"/>
              </w:rPr>
              <w:t>Plains All American Pipeline, L.P.</w:t>
            </w:r>
          </w:p>
        </w:tc>
        <w:tc>
          <w:tcPr>
            <w:tcW w:w="3980" w:type="dxa"/>
            <w:vAlign w:val="bottom"/>
          </w:tcPr>
          <w:p>
            <w:pPr>
              <w:spacing w:after="0"/>
              <w:rPr>
                <w:sz w:val="24"/>
                <w:szCs w:val="24"/>
                <w:color w:val="auto"/>
              </w:rPr>
            </w:pPr>
          </w:p>
        </w:tc>
      </w:tr>
      <w:tr>
        <w:trPr>
          <w:trHeight w:val="240"/>
        </w:trPr>
        <w:tc>
          <w:tcPr>
            <w:tcW w:w="7320" w:type="dxa"/>
            <w:vAlign w:val="bottom"/>
            <w:gridSpan w:val="4"/>
          </w:tcPr>
          <w:p>
            <w:pPr>
              <w:jc w:val="center"/>
              <w:ind w:left="3886"/>
              <w:spacing w:after="0"/>
              <w:rPr>
                <w:sz w:val="20"/>
                <w:szCs w:val="20"/>
                <w:color w:val="auto"/>
              </w:rPr>
            </w:pPr>
            <w:r>
              <w:rPr>
                <w:rFonts w:ascii="Times New Roman" w:cs="Times New Roman" w:eastAsia="Times New Roman" w:hAnsi="Times New Roman"/>
                <w:sz w:val="20"/>
                <w:szCs w:val="20"/>
                <w:b w:val="1"/>
                <w:bCs w:val="1"/>
                <w:color w:val="auto"/>
                <w:w w:val="97"/>
              </w:rPr>
              <w:t>PAA Finance Corp.</w:t>
            </w:r>
          </w:p>
        </w:tc>
        <w:tc>
          <w:tcPr>
            <w:tcW w:w="3980" w:type="dxa"/>
            <w:vAlign w:val="bottom"/>
          </w:tcPr>
          <w:p>
            <w:pPr>
              <w:spacing w:after="0"/>
              <w:rPr>
                <w:sz w:val="20"/>
                <w:szCs w:val="20"/>
                <w:color w:val="auto"/>
              </w:rPr>
            </w:pPr>
          </w:p>
        </w:tc>
      </w:tr>
      <w:tr>
        <w:trPr>
          <w:trHeight w:val="184"/>
        </w:trPr>
        <w:tc>
          <w:tcPr>
            <w:tcW w:w="7320" w:type="dxa"/>
            <w:vAlign w:val="bottom"/>
            <w:gridSpan w:val="4"/>
          </w:tcPr>
          <w:p>
            <w:pPr>
              <w:jc w:val="center"/>
              <w:ind w:left="3906"/>
              <w:spacing w:after="0"/>
              <w:rPr>
                <w:sz w:val="20"/>
                <w:szCs w:val="20"/>
                <w:color w:val="auto"/>
              </w:rPr>
            </w:pPr>
            <w:r>
              <w:rPr>
                <w:rFonts w:ascii="Times New Roman" w:cs="Times New Roman" w:eastAsia="Times New Roman" w:hAnsi="Times New Roman"/>
                <w:sz w:val="14"/>
                <w:szCs w:val="14"/>
                <w:color w:val="auto"/>
              </w:rPr>
              <w:t>(Issuer with respect to the Securities)</w:t>
            </w:r>
          </w:p>
        </w:tc>
        <w:tc>
          <w:tcPr>
            <w:tcW w:w="3980" w:type="dxa"/>
            <w:vAlign w:val="bottom"/>
          </w:tcPr>
          <w:p>
            <w:pPr>
              <w:spacing w:after="0"/>
              <w:rPr>
                <w:sz w:val="15"/>
                <w:szCs w:val="15"/>
                <w:color w:val="auto"/>
              </w:rPr>
            </w:pPr>
          </w:p>
        </w:tc>
      </w:tr>
      <w:tr>
        <w:trPr>
          <w:trHeight w:val="170"/>
        </w:trPr>
        <w:tc>
          <w:tcPr>
            <w:tcW w:w="5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spacing w:after="0"/>
              <w:rPr>
                <w:sz w:val="14"/>
                <w:szCs w:val="14"/>
                <w:color w:val="auto"/>
              </w:rPr>
            </w:pPr>
          </w:p>
        </w:tc>
        <w:tc>
          <w:tcPr>
            <w:tcW w:w="3980" w:type="dxa"/>
            <w:vAlign w:val="bottom"/>
            <w:tcBorders>
              <w:bottom w:val="single" w:sz="8" w:color="auto"/>
            </w:tcBorders>
          </w:tcPr>
          <w:p>
            <w:pPr>
              <w:spacing w:after="0"/>
              <w:rPr>
                <w:sz w:val="14"/>
                <w:szCs w:val="14"/>
                <w:color w:val="auto"/>
              </w:rPr>
            </w:pPr>
          </w:p>
        </w:tc>
      </w:tr>
      <w:tr>
        <w:trPr>
          <w:trHeight w:val="145"/>
        </w:trPr>
        <w:tc>
          <w:tcPr>
            <w:tcW w:w="5440" w:type="dxa"/>
            <w:vAlign w:val="bottom"/>
            <w:tcBorders>
              <w:left w:val="single" w:sz="8" w:color="auto"/>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Delaware</w:t>
            </w:r>
          </w:p>
        </w:tc>
        <w:tc>
          <w:tcPr>
            <w:tcW w:w="120" w:type="dxa"/>
            <w:vAlign w:val="bottom"/>
          </w:tcPr>
          <w:p>
            <w:pPr>
              <w:spacing w:after="0"/>
              <w:rPr>
                <w:sz w:val="12"/>
                <w:szCs w:val="12"/>
                <w:color w:val="auto"/>
              </w:rPr>
            </w:pPr>
          </w:p>
        </w:tc>
        <w:tc>
          <w:tcPr>
            <w:tcW w:w="1760" w:type="dxa"/>
            <w:vAlign w:val="bottom"/>
            <w:gridSpan w:val="2"/>
          </w:tcPr>
          <w:p>
            <w:pPr>
              <w:spacing w:after="0"/>
              <w:rPr>
                <w:sz w:val="12"/>
                <w:szCs w:val="12"/>
                <w:color w:val="auto"/>
              </w:rPr>
            </w:pPr>
          </w:p>
        </w:tc>
        <w:tc>
          <w:tcPr>
            <w:tcW w:w="3980" w:type="dxa"/>
            <w:vAlign w:val="bottom"/>
            <w:tcBorders>
              <w:right w:val="single" w:sz="8" w:color="auto"/>
            </w:tcBorders>
          </w:tcPr>
          <w:p>
            <w:pPr>
              <w:jc w:val="center"/>
              <w:ind w:right="1849"/>
              <w:spacing w:after="0" w:line="145" w:lineRule="exact"/>
              <w:rPr>
                <w:sz w:val="20"/>
                <w:szCs w:val="20"/>
                <w:color w:val="auto"/>
              </w:rPr>
            </w:pPr>
            <w:r>
              <w:rPr>
                <w:rFonts w:ascii="Times New Roman" w:cs="Times New Roman" w:eastAsia="Times New Roman" w:hAnsi="Times New Roman"/>
                <w:sz w:val="14"/>
                <w:szCs w:val="14"/>
                <w:color w:val="auto"/>
              </w:rPr>
              <w:t>76-0582150</w:t>
            </w:r>
          </w:p>
        </w:tc>
      </w:tr>
      <w:tr>
        <w:trPr>
          <w:trHeight w:val="184"/>
        </w:trPr>
        <w:tc>
          <w:tcPr>
            <w:tcW w:w="5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spacing w:after="0"/>
              <w:rPr>
                <w:sz w:val="15"/>
                <w:szCs w:val="15"/>
                <w:color w:val="auto"/>
              </w:rPr>
            </w:pPr>
          </w:p>
        </w:tc>
        <w:tc>
          <w:tcPr>
            <w:tcW w:w="3980" w:type="dxa"/>
            <w:vAlign w:val="bottom"/>
            <w:tcBorders>
              <w:bottom w:val="single" w:sz="8" w:color="auto"/>
              <w:right w:val="single" w:sz="8" w:color="auto"/>
            </w:tcBorders>
          </w:tcPr>
          <w:p>
            <w:pPr>
              <w:jc w:val="center"/>
              <w:ind w:right="1849"/>
              <w:spacing w:after="0"/>
              <w:rPr>
                <w:sz w:val="20"/>
                <w:szCs w:val="20"/>
                <w:color w:val="auto"/>
              </w:rPr>
            </w:pPr>
            <w:r>
              <w:rPr>
                <w:rFonts w:ascii="Times New Roman" w:cs="Times New Roman" w:eastAsia="Times New Roman" w:hAnsi="Times New Roman"/>
                <w:sz w:val="14"/>
                <w:szCs w:val="14"/>
                <w:color w:val="auto"/>
              </w:rPr>
              <w:t>56-2464313</w:t>
            </w:r>
          </w:p>
        </w:tc>
      </w:tr>
      <w:tr>
        <w:trPr>
          <w:trHeight w:val="160"/>
        </w:trPr>
        <w:tc>
          <w:tcPr>
            <w:tcW w:w="5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1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2"/>
          </w:tcPr>
          <w:p>
            <w:pPr>
              <w:spacing w:after="0"/>
              <w:rPr>
                <w:sz w:val="13"/>
                <w:szCs w:val="13"/>
                <w:color w:val="auto"/>
              </w:rPr>
            </w:pPr>
          </w:p>
        </w:tc>
        <w:tc>
          <w:tcPr>
            <w:tcW w:w="3980" w:type="dxa"/>
            <w:vAlign w:val="bottom"/>
            <w:tcBorders>
              <w:bottom w:val="single" w:sz="8" w:color="auto"/>
              <w:right w:val="single" w:sz="8" w:color="auto"/>
            </w:tcBorders>
          </w:tcPr>
          <w:p>
            <w:pPr>
              <w:jc w:val="center"/>
              <w:ind w:right="184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160"/>
        </w:trPr>
        <w:tc>
          <w:tcPr>
            <w:tcW w:w="5440" w:type="dxa"/>
            <w:vAlign w:val="bottom"/>
            <w:tcBorders>
              <w:left w:val="single" w:sz="8" w:color="auto"/>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c>
          <w:tcPr>
            <w:tcW w:w="3980" w:type="dxa"/>
            <w:vAlign w:val="bottom"/>
            <w:tcBorders>
              <w:bottom w:val="single" w:sz="8" w:color="auto"/>
              <w:right w:val="single" w:sz="8" w:color="auto"/>
            </w:tcBorders>
          </w:tcPr>
          <w:p>
            <w:pPr>
              <w:spacing w:after="0"/>
              <w:rPr>
                <w:sz w:val="13"/>
                <w:szCs w:val="13"/>
                <w:color w:val="auto"/>
              </w:rPr>
            </w:pPr>
          </w:p>
        </w:tc>
      </w:tr>
      <w:tr>
        <w:trPr>
          <w:trHeight w:val="160"/>
        </w:trPr>
        <w:tc>
          <w:tcPr>
            <w:tcW w:w="5560" w:type="dxa"/>
            <w:vAlign w:val="bottom"/>
            <w:tcBorders>
              <w:bottom w:val="single" w:sz="8" w:color="auto"/>
            </w:tcBorders>
            <w:gridSpan w:val="2"/>
          </w:tcPr>
          <w:p>
            <w:pPr>
              <w:spacing w:after="0"/>
              <w:rPr>
                <w:sz w:val="13"/>
                <w:szCs w:val="13"/>
                <w:color w:val="auto"/>
              </w:rPr>
            </w:pPr>
          </w:p>
        </w:tc>
        <w:tc>
          <w:tcPr>
            <w:tcW w:w="1760" w:type="dxa"/>
            <w:vAlign w:val="bottom"/>
            <w:tcBorders>
              <w:bottom w:val="single" w:sz="8" w:color="auto"/>
            </w:tcBorders>
            <w:gridSpan w:val="2"/>
          </w:tcPr>
          <w:p>
            <w:pPr>
              <w:spacing w:after="0"/>
              <w:rPr>
                <w:sz w:val="13"/>
                <w:szCs w:val="13"/>
                <w:color w:val="auto"/>
              </w:rPr>
            </w:pPr>
          </w:p>
        </w:tc>
        <w:tc>
          <w:tcPr>
            <w:tcW w:w="3980" w:type="dxa"/>
            <w:vAlign w:val="bottom"/>
            <w:tcBorders>
              <w:bottom w:val="single" w:sz="8" w:color="auto"/>
            </w:tcBorders>
          </w:tcPr>
          <w:p>
            <w:pPr>
              <w:spacing w:after="0"/>
              <w:rPr>
                <w:sz w:val="13"/>
                <w:szCs w:val="13"/>
                <w:color w:val="auto"/>
              </w:rPr>
            </w:pPr>
          </w:p>
        </w:tc>
      </w:tr>
      <w:tr>
        <w:trPr>
          <w:trHeight w:val="145"/>
        </w:trPr>
        <w:tc>
          <w:tcPr>
            <w:tcW w:w="5560" w:type="dxa"/>
            <w:vAlign w:val="bottom"/>
            <w:tcBorders>
              <w:left w:val="single" w:sz="8" w:color="auto"/>
              <w:right w:val="single" w:sz="8" w:color="auto"/>
            </w:tcBorders>
            <w:gridSpan w:val="2"/>
          </w:tcPr>
          <w:p>
            <w:pPr>
              <w:jc w:val="center"/>
              <w:spacing w:after="0" w:line="145" w:lineRule="exact"/>
              <w:rPr>
                <w:sz w:val="20"/>
                <w:szCs w:val="20"/>
                <w:color w:val="auto"/>
              </w:rPr>
            </w:pPr>
            <w:r>
              <w:rPr>
                <w:rFonts w:ascii="Times New Roman" w:cs="Times New Roman" w:eastAsia="Times New Roman" w:hAnsi="Times New Roman"/>
                <w:sz w:val="14"/>
                <w:szCs w:val="14"/>
                <w:color w:val="auto"/>
              </w:rPr>
              <w:t>333 Clay Street, Suite 1600</w:t>
            </w:r>
          </w:p>
        </w:tc>
        <w:tc>
          <w:tcPr>
            <w:tcW w:w="1760" w:type="dxa"/>
            <w:vAlign w:val="bottom"/>
            <w:gridSpan w:val="2"/>
          </w:tcPr>
          <w:p>
            <w:pPr>
              <w:spacing w:after="0"/>
              <w:rPr>
                <w:sz w:val="12"/>
                <w:szCs w:val="12"/>
                <w:color w:val="auto"/>
              </w:rPr>
            </w:pPr>
          </w:p>
        </w:tc>
        <w:tc>
          <w:tcPr>
            <w:tcW w:w="3980" w:type="dxa"/>
            <w:vAlign w:val="bottom"/>
            <w:tcBorders>
              <w:right w:val="single" w:sz="8" w:color="auto"/>
            </w:tcBorders>
          </w:tcPr>
          <w:p>
            <w:pPr>
              <w:spacing w:after="0"/>
              <w:rPr>
                <w:sz w:val="12"/>
                <w:szCs w:val="12"/>
                <w:color w:val="auto"/>
              </w:rPr>
            </w:pPr>
          </w:p>
        </w:tc>
      </w:tr>
      <w:tr>
        <w:trPr>
          <w:trHeight w:val="184"/>
        </w:trPr>
        <w:tc>
          <w:tcPr>
            <w:tcW w:w="556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Houston, Texas</w:t>
            </w:r>
          </w:p>
        </w:tc>
        <w:tc>
          <w:tcPr>
            <w:tcW w:w="1760" w:type="dxa"/>
            <w:vAlign w:val="bottom"/>
            <w:tcBorders>
              <w:bottom w:val="single" w:sz="8" w:color="auto"/>
            </w:tcBorders>
            <w:gridSpan w:val="2"/>
          </w:tcPr>
          <w:p>
            <w:pPr>
              <w:spacing w:after="0"/>
              <w:rPr>
                <w:sz w:val="15"/>
                <w:szCs w:val="15"/>
                <w:color w:val="auto"/>
              </w:rPr>
            </w:pPr>
          </w:p>
        </w:tc>
        <w:tc>
          <w:tcPr>
            <w:tcW w:w="3980" w:type="dxa"/>
            <w:vAlign w:val="bottom"/>
            <w:tcBorders>
              <w:bottom w:val="single" w:sz="8" w:color="auto"/>
              <w:right w:val="single" w:sz="8" w:color="auto"/>
            </w:tcBorders>
          </w:tcPr>
          <w:p>
            <w:pPr>
              <w:jc w:val="right"/>
              <w:ind w:right="2649"/>
              <w:spacing w:after="0"/>
              <w:rPr>
                <w:sz w:val="20"/>
                <w:szCs w:val="20"/>
                <w:color w:val="auto"/>
              </w:rPr>
            </w:pPr>
            <w:r>
              <w:rPr>
                <w:rFonts w:ascii="Times New Roman" w:cs="Times New Roman" w:eastAsia="Times New Roman" w:hAnsi="Times New Roman"/>
                <w:sz w:val="14"/>
                <w:szCs w:val="14"/>
                <w:color w:val="auto"/>
              </w:rPr>
              <w:t>77002</w:t>
            </w:r>
          </w:p>
        </w:tc>
      </w:tr>
      <w:tr>
        <w:trPr>
          <w:trHeight w:val="160"/>
        </w:trPr>
        <w:tc>
          <w:tcPr>
            <w:tcW w:w="5560" w:type="dxa"/>
            <w:vAlign w:val="bottom"/>
            <w:tcBorders>
              <w:left w:val="single" w:sz="8" w:color="auto"/>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760" w:type="dxa"/>
            <w:vAlign w:val="bottom"/>
            <w:tcBorders>
              <w:bottom w:val="single" w:sz="8" w:color="auto"/>
            </w:tcBorders>
            <w:gridSpan w:val="2"/>
          </w:tcPr>
          <w:p>
            <w:pPr>
              <w:spacing w:after="0"/>
              <w:rPr>
                <w:sz w:val="13"/>
                <w:szCs w:val="13"/>
                <w:color w:val="auto"/>
              </w:rPr>
            </w:pPr>
          </w:p>
        </w:tc>
        <w:tc>
          <w:tcPr>
            <w:tcW w:w="3980" w:type="dxa"/>
            <w:vAlign w:val="bottom"/>
            <w:tcBorders>
              <w:bottom w:val="single" w:sz="8" w:color="auto"/>
              <w:right w:val="single" w:sz="8" w:color="auto"/>
            </w:tcBorders>
          </w:tcPr>
          <w:p>
            <w:pPr>
              <w:jc w:val="center"/>
              <w:ind w:right="1729"/>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Senior Debt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16216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716216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125730</wp:posOffset>
            </wp:positionV>
            <wp:extent cx="716216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16216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468630</wp:posOffset>
            </wp:positionV>
            <wp:extent cx="716216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305" w:right="319" w:bottom="1440" w:gutter="0" w:footer="0" w:header="0"/>
        </w:sectPr>
      </w:pPr>
    </w:p>
    <w:bookmarkStart w:id="67" w:name="page68"/>
    <w:bookmarkEnd w:id="67"/>
    <w:p>
      <w:pPr>
        <w:ind w:left="5320"/>
        <w:spacing w:after="0"/>
        <w:rPr>
          <w:sz w:val="20"/>
          <w:szCs w:val="20"/>
          <w:color w:val="auto"/>
        </w:rPr>
      </w:pPr>
      <w:r>
        <w:rPr>
          <w:rFonts w:ascii="Times New Roman" w:cs="Times New Roman" w:eastAsia="Times New Roman" w:hAnsi="Times New Roman"/>
          <w:sz w:val="14"/>
          <w:szCs w:val="14"/>
          <w:b w:val="1"/>
          <w:bCs w:val="1"/>
          <w:u w:val="single" w:color="auto"/>
          <w:color w:val="auto"/>
        </w:rPr>
        <w:t>FORM T-1</w:t>
      </w:r>
    </w:p>
    <w:p>
      <w:pPr>
        <w:spacing w:after="0" w:line="17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1.</w:t>
      </w:r>
      <w:r>
        <w:rPr>
          <w:sz w:val="20"/>
          <w:szCs w:val="20"/>
          <w:color w:val="auto"/>
        </w:rPr>
        <w:tab/>
      </w:r>
      <w:r>
        <w:rPr>
          <w:rFonts w:ascii="Times New Roman" w:cs="Times New Roman" w:eastAsia="Times New Roman" w:hAnsi="Times New Roman"/>
          <w:sz w:val="14"/>
          <w:szCs w:val="14"/>
          <w:b w:val="1"/>
          <w:bCs w:val="1"/>
          <w:color w:val="auto"/>
        </w:rPr>
        <w:t>GENERAL INFORMATION</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Furnish the following information as to the Trustee.</w:t>
      </w:r>
    </w:p>
    <w:p>
      <w:pPr>
        <w:spacing w:after="0" w:line="178" w:lineRule="exact"/>
        <w:rPr>
          <w:sz w:val="20"/>
          <w:szCs w:val="20"/>
          <w:color w:val="auto"/>
        </w:rPr>
      </w:pPr>
    </w:p>
    <w:p>
      <w:pPr>
        <w:ind w:left="1520" w:right="4620" w:hanging="753"/>
        <w:spacing w:after="0" w:line="264" w:lineRule="auto"/>
        <w:tabs>
          <w:tab w:leader="none" w:pos="101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Name and address of each examining or supervising authority to which it is subject. </w:t>
      </w:r>
      <w:r>
        <w:rPr>
          <w:rFonts w:ascii="Times New Roman" w:cs="Times New Roman" w:eastAsia="Times New Roman" w:hAnsi="Times New Roman"/>
          <w:sz w:val="14"/>
          <w:szCs w:val="14"/>
          <w:color w:val="auto"/>
        </w:rPr>
        <w:t>Comptroller of the Currency</w:t>
      </w:r>
    </w:p>
    <w:p>
      <w:pPr>
        <w:spacing w:after="0" w:line="1" w:lineRule="exact"/>
        <w:rPr>
          <w:rFonts w:ascii="Times New Roman" w:cs="Times New Roman" w:eastAsia="Times New Roman" w:hAnsi="Times New Roman"/>
          <w:sz w:val="14"/>
          <w:szCs w:val="14"/>
          <w:color w:val="auto"/>
        </w:rPr>
      </w:pPr>
    </w:p>
    <w:p>
      <w:pPr>
        <w:ind w:left="1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Washington, D.C.</w:t>
      </w:r>
    </w:p>
    <w:p>
      <w:pPr>
        <w:spacing w:after="0" w:line="161" w:lineRule="exact"/>
        <w:rPr>
          <w:rFonts w:ascii="Times New Roman" w:cs="Times New Roman" w:eastAsia="Times New Roman" w:hAnsi="Times New Roman"/>
          <w:sz w:val="14"/>
          <w:szCs w:val="14"/>
          <w:color w:val="auto"/>
        </w:rPr>
      </w:pPr>
    </w:p>
    <w:p>
      <w:pPr>
        <w:ind w:left="1020" w:hanging="253"/>
        <w:spacing w:after="0"/>
        <w:tabs>
          <w:tab w:leader="none" w:pos="10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Whether it is authorized to exercise corporate trust powers.</w:t>
      </w:r>
    </w:p>
    <w:p>
      <w:pPr>
        <w:spacing w:after="0" w:line="2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Yes</w:t>
      </w:r>
    </w:p>
    <w:p>
      <w:pPr>
        <w:spacing w:after="0" w:line="16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2.</w:t>
      </w:r>
      <w:r>
        <w:rPr>
          <w:sz w:val="20"/>
          <w:szCs w:val="20"/>
          <w:color w:val="auto"/>
        </w:rPr>
        <w:tab/>
      </w:r>
      <w:r>
        <w:rPr>
          <w:rFonts w:ascii="Times New Roman" w:cs="Times New Roman" w:eastAsia="Times New Roman" w:hAnsi="Times New Roman"/>
          <w:sz w:val="14"/>
          <w:szCs w:val="14"/>
          <w:b w:val="1"/>
          <w:bCs w:val="1"/>
          <w:color w:val="auto"/>
        </w:rPr>
        <w:t xml:space="preserve">AFFILIATIONS WITH THE OBLIGOR. </w:t>
      </w:r>
      <w:r>
        <w:rPr>
          <w:rFonts w:ascii="Times New Roman" w:cs="Times New Roman" w:eastAsia="Times New Roman" w:hAnsi="Times New Roman"/>
          <w:sz w:val="14"/>
          <w:szCs w:val="14"/>
          <w:i w:val="1"/>
          <w:iCs w:val="1"/>
          <w:color w:val="auto"/>
        </w:rPr>
        <w:t>If the obligor is an affiliate of the Trustee, describe each such affiliation.</w:t>
      </w:r>
    </w:p>
    <w:p>
      <w:pPr>
        <w:spacing w:after="0" w:line="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None</w:t>
      </w:r>
    </w:p>
    <w:p>
      <w:pPr>
        <w:spacing w:after="0" w:line="16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Items 3-15</w:t>
      </w:r>
      <w:r>
        <w:rPr>
          <w:sz w:val="20"/>
          <w:szCs w:val="20"/>
          <w:color w:val="auto"/>
        </w:rPr>
        <w:tab/>
      </w:r>
      <w:r>
        <w:rPr>
          <w:rFonts w:ascii="Times New Roman" w:cs="Times New Roman" w:eastAsia="Times New Roman" w:hAnsi="Times New Roman"/>
          <w:sz w:val="14"/>
          <w:szCs w:val="14"/>
          <w:i w:val="1"/>
          <w:iCs w:val="1"/>
          <w:color w:val="auto"/>
        </w:rPr>
        <w:t>Items 3-15 are not applicable because to the best of the Trustee's knowledge, the obligor is not in default under any Indenture for which the Trustee acts as Trustee.</w:t>
      </w:r>
    </w:p>
    <w:p>
      <w:pPr>
        <w:spacing w:after="0" w:line="17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16.</w:t>
      </w:r>
      <w:r>
        <w:rPr>
          <w:sz w:val="20"/>
          <w:szCs w:val="20"/>
          <w:color w:val="auto"/>
        </w:rPr>
        <w:tab/>
      </w:r>
      <w:r>
        <w:rPr>
          <w:rFonts w:ascii="Times New Roman" w:cs="Times New Roman" w:eastAsia="Times New Roman" w:hAnsi="Times New Roman"/>
          <w:sz w:val="14"/>
          <w:szCs w:val="14"/>
          <w:b w:val="1"/>
          <w:bCs w:val="1"/>
          <w:color w:val="auto"/>
        </w:rPr>
        <w:t xml:space="preserve">LIST OF EXHIBITS: </w:t>
      </w:r>
      <w:r>
        <w:rPr>
          <w:rFonts w:ascii="Times New Roman" w:cs="Times New Roman" w:eastAsia="Times New Roman" w:hAnsi="Times New Roman"/>
          <w:sz w:val="14"/>
          <w:szCs w:val="14"/>
          <w:i w:val="1"/>
          <w:iCs w:val="1"/>
          <w:color w:val="auto"/>
        </w:rPr>
        <w:t>List below all exhibits filed as a part of this statement of eligibility and qualification.</w:t>
      </w:r>
    </w:p>
    <w:p>
      <w:pPr>
        <w:spacing w:after="0" w:line="180" w:lineRule="exact"/>
        <w:rPr>
          <w:sz w:val="20"/>
          <w:szCs w:val="20"/>
          <w:color w:val="auto"/>
        </w:rPr>
      </w:pPr>
    </w:p>
    <w:p>
      <w:pPr>
        <w:ind w:left="1020" w:hanging="253"/>
        <w:spacing w:after="0"/>
        <w:tabs>
          <w:tab w:leader="none" w:pos="10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Articles of Association of the Trustee, attached as Exhibit 1.</w:t>
      </w:r>
    </w:p>
    <w:p>
      <w:pPr>
        <w:spacing w:after="0" w:line="177" w:lineRule="exact"/>
        <w:rPr>
          <w:rFonts w:ascii="Times New Roman" w:cs="Times New Roman" w:eastAsia="Times New Roman" w:hAnsi="Times New Roman"/>
          <w:sz w:val="14"/>
          <w:szCs w:val="14"/>
          <w:color w:val="auto"/>
        </w:rPr>
      </w:pPr>
    </w:p>
    <w:p>
      <w:pPr>
        <w:ind w:left="1020" w:hanging="253"/>
        <w:spacing w:after="0"/>
        <w:tabs>
          <w:tab w:leader="none" w:pos="10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Certificate of Corporate Existence and Fiduciary Powers of the Trustee, attached as Exhibit 2.</w:t>
      </w:r>
    </w:p>
    <w:p>
      <w:pPr>
        <w:spacing w:after="0" w:line="177" w:lineRule="exact"/>
        <w:rPr>
          <w:rFonts w:ascii="Times New Roman" w:cs="Times New Roman" w:eastAsia="Times New Roman" w:hAnsi="Times New Roman"/>
          <w:sz w:val="14"/>
          <w:szCs w:val="14"/>
          <w:color w:val="auto"/>
        </w:rPr>
      </w:pPr>
    </w:p>
    <w:p>
      <w:pPr>
        <w:ind w:left="1020" w:hanging="253"/>
        <w:spacing w:after="0"/>
        <w:tabs>
          <w:tab w:leader="none" w:pos="10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authorization of the Trustee to exercise corporate trust powers, included as Exhibit 2.</w:t>
      </w:r>
    </w:p>
    <w:p>
      <w:pPr>
        <w:spacing w:after="0" w:line="177" w:lineRule="exact"/>
        <w:rPr>
          <w:rFonts w:ascii="Times New Roman" w:cs="Times New Roman" w:eastAsia="Times New Roman" w:hAnsi="Times New Roman"/>
          <w:sz w:val="14"/>
          <w:szCs w:val="14"/>
          <w:color w:val="auto"/>
        </w:rPr>
      </w:pPr>
    </w:p>
    <w:p>
      <w:pPr>
        <w:ind w:left="1020" w:hanging="253"/>
        <w:spacing w:after="0"/>
        <w:tabs>
          <w:tab w:leader="none" w:pos="10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existing bylaws of the Trustee, attached as Exhibit 4.</w:t>
      </w:r>
    </w:p>
    <w:p>
      <w:pPr>
        <w:spacing w:after="0" w:line="177" w:lineRule="exact"/>
        <w:rPr>
          <w:rFonts w:ascii="Times New Roman" w:cs="Times New Roman" w:eastAsia="Times New Roman" w:hAnsi="Times New Roman"/>
          <w:sz w:val="14"/>
          <w:szCs w:val="14"/>
          <w:color w:val="auto"/>
        </w:rPr>
      </w:pPr>
    </w:p>
    <w:p>
      <w:pPr>
        <w:ind w:left="1020" w:hanging="253"/>
        <w:spacing w:after="0"/>
        <w:tabs>
          <w:tab w:leader="none" w:pos="10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each Indenture referred to in Item 4. Not applicable.</w:t>
      </w:r>
    </w:p>
    <w:p>
      <w:pPr>
        <w:spacing w:after="0" w:line="177" w:lineRule="exact"/>
        <w:rPr>
          <w:rFonts w:ascii="Times New Roman" w:cs="Times New Roman" w:eastAsia="Times New Roman" w:hAnsi="Times New Roman"/>
          <w:sz w:val="14"/>
          <w:szCs w:val="14"/>
          <w:color w:val="auto"/>
        </w:rPr>
      </w:pPr>
    </w:p>
    <w:p>
      <w:pPr>
        <w:ind w:left="1020" w:hanging="253"/>
        <w:spacing w:after="0"/>
        <w:tabs>
          <w:tab w:leader="none" w:pos="10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consent of the Trustee required by Section 321(b) of the Trust Indenture Act of 1939, attached as Exhibit 6.</w:t>
      </w:r>
    </w:p>
    <w:p>
      <w:pPr>
        <w:spacing w:after="0" w:line="177" w:lineRule="exact"/>
        <w:rPr>
          <w:rFonts w:ascii="Times New Roman" w:cs="Times New Roman" w:eastAsia="Times New Roman" w:hAnsi="Times New Roman"/>
          <w:sz w:val="14"/>
          <w:szCs w:val="14"/>
          <w:color w:val="auto"/>
        </w:rPr>
      </w:pPr>
    </w:p>
    <w:p>
      <w:pPr>
        <w:ind w:left="1020" w:hanging="253"/>
        <w:spacing w:after="0"/>
        <w:tabs>
          <w:tab w:leader="none" w:pos="10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 of Condition of the Trustee as of June 30, 2024, published pursuant to law or the requirements of its supervising or examining authority, attached as 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351155</wp:posOffset>
            </wp:positionV>
            <wp:extent cx="716216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0380"/>
          </w:cols>
          <w:pgMar w:left="300" w:top="737" w:right="121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80" w:lineRule="exact"/>
        <w:rPr>
          <w:sz w:val="20"/>
          <w:szCs w:val="20"/>
          <w:color w:val="auto"/>
        </w:rPr>
      </w:pPr>
    </w:p>
    <w:p>
      <w:pPr>
        <w:ind w:firstLine="508"/>
        <w:spacing w:after="0" w:line="263" w:lineRule="auto"/>
        <w:rPr>
          <w:sz w:val="20"/>
          <w:szCs w:val="20"/>
          <w:color w:val="auto"/>
        </w:rPr>
      </w:pPr>
      <w:r>
        <w:rPr>
          <w:rFonts w:ascii="Times New Roman" w:cs="Times New Roman" w:eastAsia="Times New Roman" w:hAnsi="Times New Roman"/>
          <w:sz w:val="14"/>
          <w:szCs w:val="14"/>
          <w:color w:val="auto"/>
        </w:rPr>
        <w:t>Pursuant to the requirements of the Trust Indenture Act of 1939, as amended, the Trustee, U.S. BANK TRUST COMPANY, NATIONAL ASSOCIATION, a national banking association organized and existing under the laws of the United States of America, has duly caused this statement of eligibility and qualification to be signed on its behalf by the undersigned, thereunto duly</w:t>
      </w:r>
    </w:p>
    <w:p>
      <w:pPr>
        <w:sectPr>
          <w:pgSz w:w="11900" w:h="16838" w:orient="portrait"/>
          <w:cols w:equalWidth="0" w:num="1">
            <w:col w:w="11280"/>
          </w:cols>
          <w:pgMar w:left="300" w:top="737" w:right="319"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authorized, all in the City of Dallas, State of Texas on the 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4"/>
          <w:szCs w:val="14"/>
          <w:color w:val="auto"/>
        </w:rPr>
        <w:t xml:space="preserve"> of August, 2024.</w:t>
      </w:r>
    </w:p>
    <w:p>
      <w:pPr>
        <w:spacing w:after="0" w:line="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572770</wp:posOffset>
            </wp:positionV>
            <wp:extent cx="716216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Michael K. Herberger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Michael K. Herberger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336232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336232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Vice President</w:t>
      </w:r>
    </w:p>
    <w:p>
      <w:pPr>
        <w:sectPr>
          <w:pgSz w:w="11900" w:h="16838" w:orient="portrait"/>
          <w:cols w:equalWidth="0" w:num="2">
            <w:col w:w="5860" w:space="120"/>
            <w:col w:w="5300"/>
          </w:cols>
          <w:pgMar w:left="300" w:top="737" w:right="319" w:bottom="1440"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1</w:t>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ARTICLES OF ASSOCIATION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 S. BANK TRUST COMPANY, NATIONAL ASSOCIATION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purpose of organizing an association (the “Association”) to perform any lawful activities of national banks, the undersigned enter into the following Articles of Association: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FIRST. </w:t>
      </w:r>
      <w:r>
        <w:rPr>
          <w:rFonts w:ascii="Times New Roman" w:cs="Times New Roman" w:eastAsia="Times New Roman" w:hAnsi="Times New Roman"/>
          <w:sz w:val="14"/>
          <w:szCs w:val="14"/>
          <w:color w:val="auto"/>
        </w:rPr>
        <w:t>The title of this Association shall be U. S. Bank Trust Company, National Association.</w:t>
      </w:r>
    </w:p>
    <w:p>
      <w:pPr>
        <w:spacing w:after="0" w:line="17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SECOND. </w:t>
      </w:r>
      <w:r>
        <w:rPr>
          <w:rFonts w:ascii="Times New Roman" w:cs="Times New Roman" w:eastAsia="Times New Roman" w:hAnsi="Times New Roman"/>
          <w:sz w:val="14"/>
          <w:szCs w:val="14"/>
          <w:color w:val="auto"/>
        </w:rPr>
        <w:t>The main office of the Association shall be in the city of Portland, county of Multnomah, state of Oregon. The business of the Association will be limited to fiduciary powers and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support of activities incidental to the exercise of those powers. The Association may not expand or alter its business beyond that stated in this article without the prior approval of the Comptroller of the Currency.</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b w:val="1"/>
          <w:bCs w:val="1"/>
          <w:color w:val="auto"/>
        </w:rPr>
        <w:t xml:space="preserve">THIRD. </w:t>
      </w:r>
      <w:r>
        <w:rPr>
          <w:rFonts w:ascii="Times New Roman" w:cs="Times New Roman" w:eastAsia="Times New Roman" w:hAnsi="Times New Roman"/>
          <w:sz w:val="14"/>
          <w:szCs w:val="14"/>
          <w:color w:val="auto"/>
        </w:rPr>
        <w:t>The board of directors of the Association shall consist of not less than five nor more than twenty-five persons, the exact number to be fixed and determined from time to time by resolution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 (iii) the date of that person's most recent election to the board of directors, whichever is more recent. Any combination of common or preferred stock of the Association or holding company may be used.</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spacing w:after="0" w:line="14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b w:val="1"/>
          <w:bCs w:val="1"/>
          <w:color w:val="auto"/>
        </w:rPr>
        <w:t xml:space="preserve">FOURTH. </w:t>
      </w:r>
      <w:r>
        <w:rPr>
          <w:rFonts w:ascii="Times New Roman" w:cs="Times New Roman" w:eastAsia="Times New Roman" w:hAnsi="Times New Roman"/>
          <w:sz w:val="14"/>
          <w:szCs w:val="14"/>
          <w:color w:val="auto"/>
        </w:rPr>
        <w:t>There shall be an annual meeting of the shareholders to elect directors and transact whatever other business may be brought before the meeting. It shall be held at the main office or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other convenient place the board of directors may designate, on the day of each year specified therefor in the Bylaws, or if that day falls on a legal holiday in the state in which the 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7" w:right="319" w:bottom="1440" w:gutter="0" w:footer="0" w:header="0"/>
        </w:sectPr>
      </w:pPr>
    </w:p>
    <w:bookmarkStart w:id="70" w:name="page71"/>
    <w:bookmarkEnd w:id="70"/>
    <w:p>
      <w:pPr>
        <w:jc w:val="both"/>
        <w:spacing w:after="0" w:line="269" w:lineRule="auto"/>
        <w:rPr>
          <w:sz w:val="20"/>
          <w:szCs w:val="20"/>
          <w:color w:val="auto"/>
        </w:rPr>
      </w:pPr>
      <w:r>
        <w:rPr>
          <w:rFonts w:ascii="Times New Roman" w:cs="Times New Roman" w:eastAsia="Times New Roman" w:hAnsi="Times New Roman"/>
          <w:sz w:val="14"/>
          <w:szCs w:val="14"/>
          <w:color w:val="auto"/>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A director may resign at any time by delivering written notice to the board of directors, its chairperson, or to the Association, which resignation shall be effective when the notice is delivered unless the notice specifies a later effective date.</w:t>
      </w:r>
    </w:p>
    <w:p>
      <w:pPr>
        <w:spacing w:after="0" w:line="12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w:t>
      </w:r>
    </w:p>
    <w:p>
      <w:pPr>
        <w:spacing w:after="0" w:line="13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b w:val="1"/>
          <w:bCs w:val="1"/>
          <w:color w:val="auto"/>
        </w:rPr>
        <w:t xml:space="preserve">FIFTH. </w:t>
      </w:r>
      <w:r>
        <w:rPr>
          <w:rFonts w:ascii="Times New Roman" w:cs="Times New Roman" w:eastAsia="Times New Roman" w:hAnsi="Times New Roman"/>
          <w:sz w:val="14"/>
          <w:szCs w:val="14"/>
          <w:color w:val="auto"/>
        </w:rPr>
        <w:t>The authorized amount of capital stock of the Association shall be 1,000,000 shares of common stock of the par value of ten dollars ($10) each; but said capital stock may be increased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decreased from time to time, according to the provisions of the laws of the United States. The Association shall have only one class of capital stock.</w:t>
      </w:r>
    </w:p>
    <w:p>
      <w:pPr>
        <w:spacing w:after="0" w:line="12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Transfers of the Association's stock are subject to the prior written approval of a federal depository institution regulatory agency. If no other agency approval is required, the approval of the Comptroller of the Currency must be obtained prior to any such transfers.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color w:val="auto"/>
        </w:rPr>
        <w:t>Unless otherwise specified in the Articles of Association or required by law, all shares of voting stock shall be voted together as a class, on any matters requiring shareholder approval.</w:t>
      </w:r>
    </w:p>
    <w:p>
      <w:pPr>
        <w:spacing w:after="0" w:line="1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spacing w:after="0" w:line="12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spacing w:after="0" w:line="1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SIXTH. </w:t>
      </w:r>
      <w:r>
        <w:rPr>
          <w:rFonts w:ascii="Times New Roman" w:cs="Times New Roman" w:eastAsia="Times New Roman" w:hAnsi="Times New Roman"/>
          <w:sz w:val="14"/>
          <w:szCs w:val="14"/>
          <w:color w:val="auto"/>
        </w:rPr>
        <w:t>The board of directors shall appoint one of its members president of this Association and one of its members chairperson of the board and shall have the power to appoint one or more vice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board of directors shall have the power to:</w:t>
      </w:r>
    </w:p>
    <w:p>
      <w:pPr>
        <w:spacing w:after="0" w:line="178" w:lineRule="exact"/>
        <w:rPr>
          <w:sz w:val="20"/>
          <w:szCs w:val="20"/>
          <w:color w:val="auto"/>
        </w:rPr>
      </w:pPr>
    </w:p>
    <w:p>
      <w:pPr>
        <w:ind w:left="520" w:hanging="515"/>
        <w:spacing w:after="0"/>
        <w:tabs>
          <w:tab w:leader="none" w:pos="5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 the duties of the officers, employees, and agents of the Association.</w:t>
      </w:r>
    </w:p>
    <w:p>
      <w:pPr>
        <w:spacing w:after="0" w:line="177"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Delegate the performance of its duties, but not the responsibility for its duties, to the officers, employees, and agents of the Association.</w:t>
      </w:r>
    </w:p>
    <w:p>
      <w:pPr>
        <w:spacing w:after="0" w:line="177"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 the compensation and enter employment contracts with its officers and employees upon reasonable terms and conditions consistent with applicable law.</w:t>
      </w:r>
    </w:p>
    <w:p>
      <w:pPr>
        <w:spacing w:after="0" w:line="177"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Dismiss officers and employees.</w:t>
      </w:r>
    </w:p>
    <w:p>
      <w:pPr>
        <w:spacing w:after="0" w:line="177"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bonds from officers and employees and to fix the penalty thereof.</w:t>
      </w:r>
    </w:p>
    <w:p>
      <w:pPr>
        <w:spacing w:after="0" w:line="177"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Ratify written policies authorized by the Association's management or committees of the board.</w:t>
      </w:r>
    </w:p>
    <w:p>
      <w:pPr>
        <w:spacing w:after="0" w:line="177" w:lineRule="exact"/>
        <w:rPr>
          <w:rFonts w:ascii="Times New Roman" w:cs="Times New Roman" w:eastAsia="Times New Roman" w:hAnsi="Times New Roman"/>
          <w:sz w:val="14"/>
          <w:szCs w:val="14"/>
          <w:color w:val="auto"/>
        </w:rPr>
      </w:pPr>
    </w:p>
    <w:p>
      <w:pPr>
        <w:ind w:left="520" w:hanging="515"/>
        <w:spacing w:after="0" w:line="286" w:lineRule="auto"/>
        <w:tabs>
          <w:tab w:leader="none" w:pos="5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p>
      <w:pPr>
        <w:spacing w:after="0" w:line="294" w:lineRule="exact"/>
        <w:rPr>
          <w:rFonts w:ascii="Times New Roman" w:cs="Times New Roman" w:eastAsia="Times New Roman" w:hAnsi="Times New Roman"/>
          <w:sz w:val="14"/>
          <w:szCs w:val="14"/>
          <w:color w:val="auto"/>
        </w:rPr>
      </w:pPr>
    </w:p>
    <w:p>
      <w:pPr>
        <w:ind w:left="5620" w:hanging="88"/>
        <w:spacing w:after="0"/>
        <w:tabs>
          <w:tab w:leader="none" w:pos="562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72" w:name="page73"/>
    <w:bookmarkEnd w:id="72"/>
    <w:p>
      <w:pPr>
        <w:ind w:left="520" w:hanging="515"/>
        <w:spacing w:after="0"/>
        <w:tabs>
          <w:tab w:leader="none" w:pos="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 and administer the business and affairs of the Association.</w:t>
      </w:r>
    </w:p>
    <w:p>
      <w:pPr>
        <w:spacing w:after="0" w:line="177"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initial Bylaws, not inconsistent with law or the Articles of Association, for managing the business and regulating the affairs of the Association.</w:t>
      </w:r>
    </w:p>
    <w:p>
      <w:pPr>
        <w:spacing w:after="0" w:line="177"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or repeal Bylaws, except to the extent that the Articles of Association reserve this power in whole or in part to the shareholders.</w:t>
      </w:r>
    </w:p>
    <w:p>
      <w:pPr>
        <w:spacing w:after="0" w:line="177"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contracts.</w:t>
      </w:r>
    </w:p>
    <w:p>
      <w:pPr>
        <w:spacing w:after="0" w:line="177"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perform all acts that are legal for a board of directors to perform.</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b w:val="1"/>
          <w:bCs w:val="1"/>
          <w:color w:val="auto"/>
        </w:rPr>
        <w:t xml:space="preserve">SEVENTH. </w:t>
      </w:r>
      <w:r>
        <w:rPr>
          <w:rFonts w:ascii="Times New Roman" w:cs="Times New Roman" w:eastAsia="Times New Roman" w:hAnsi="Times New Roman"/>
          <w:sz w:val="14"/>
          <w:szCs w:val="14"/>
          <w:color w:val="auto"/>
        </w:rPr>
        <w:t>The board of directors shall have the power to change the location of the main office to any authorized branch within the limits of the city of Portland, Oregon, without the approval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EIGHTH. </w:t>
      </w:r>
      <w:r>
        <w:rPr>
          <w:rFonts w:ascii="Times New Roman" w:cs="Times New Roman" w:eastAsia="Times New Roman" w:hAnsi="Times New Roman"/>
          <w:sz w:val="14"/>
          <w:szCs w:val="14"/>
          <w:color w:val="auto"/>
        </w:rPr>
        <w:t>The corporate existence of this Association shall continue until termination according to the laws of the United States.</w:t>
      </w:r>
    </w:p>
    <w:p>
      <w:pPr>
        <w:spacing w:after="0" w:line="1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NINTH. </w:t>
      </w:r>
      <w:r>
        <w:rPr>
          <w:rFonts w:ascii="Times New Roman" w:cs="Times New Roman" w:eastAsia="Times New Roman" w:hAnsi="Times New Roman"/>
          <w:sz w:val="14"/>
          <w:szCs w:val="14"/>
          <w:color w:val="auto"/>
        </w:rPr>
        <w:t>The board of directors of the Association, or any shareholder owning, in the aggregate, not less than 25 percent of the stock of the Association, may call a special meeting of shareholders 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spacing w:after="0" w:line="1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TENTH. </w:t>
      </w:r>
      <w:r>
        <w:rPr>
          <w:rFonts w:ascii="Times New Roman" w:cs="Times New Roman" w:eastAsia="Times New Roman" w:hAnsi="Times New Roman"/>
          <w:sz w:val="14"/>
          <w:szCs w:val="14"/>
          <w:color w:val="auto"/>
        </w:rPr>
        <w:t>These Articles of Association may be amended at any regular or special meeting of the shareholders by the affirmative vote of the holders of a majority of the stock of the Association,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color w:val="auto"/>
        </w:rPr>
        <w:t xml:space="preserve">In witness whereof, we have hereunto set our hands this </w:t>
      </w:r>
      <w:r>
        <w:rPr>
          <w:rFonts w:ascii="Times New Roman" w:cs="Times New Roman" w:eastAsia="Times New Roman" w:hAnsi="Times New Roman"/>
          <w:sz w:val="14"/>
          <w:szCs w:val="14"/>
          <w:u w:val="single" w:color="auto"/>
          <w:color w:val="auto"/>
        </w:rPr>
        <w:t>11</w:t>
      </w:r>
      <w:r>
        <w:rPr>
          <w:rFonts w:ascii="Times New Roman" w:cs="Times New Roman" w:eastAsia="Times New Roman" w:hAnsi="Times New Roman"/>
          <w:sz w:val="23"/>
          <w:szCs w:val="23"/>
          <w:u w:val="single" w:color="auto"/>
          <w:color w:val="auto"/>
          <w:vertAlign w:val="superscript"/>
        </w:rPr>
        <w:t>th</w:t>
      </w:r>
      <w:r>
        <w:rPr>
          <w:rFonts w:ascii="Times New Roman" w:cs="Times New Roman" w:eastAsia="Times New Roman" w:hAnsi="Times New Roman"/>
          <w:sz w:val="14"/>
          <w:szCs w:val="14"/>
          <w:color w:val="auto"/>
        </w:rPr>
        <w:t xml:space="preserve"> of June,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2609850</wp:posOffset>
            </wp:positionV>
            <wp:extent cx="716216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716216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74295</wp:posOffset>
            </wp:positionV>
            <wp:extent cx="1802130" cy="21990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1802130" cy="2199005"/>
                    </a:xfrm>
                    <a:prstGeom prst="rect">
                      <a:avLst/>
                    </a:prstGeom>
                    <a:noFill/>
                  </pic:spPr>
                </pic:pic>
              </a:graphicData>
            </a:graphic>
          </wp:anchor>
        </w:drawing>
      </w:r>
    </w:p>
    <w:p>
      <w:pPr>
        <w:sectPr>
          <w:pgSz w:w="11900" w:h="16838" w:orient="portrait"/>
          <w:cols w:equalWidth="0" w:num="1">
            <w:col w:w="10159"/>
          </w:cols>
          <w:pgMar w:left="300" w:top="743" w:right="1440"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103505</wp:posOffset>
            </wp:positionV>
            <wp:extent cx="7162165" cy="49225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7162165" cy="4922520"/>
                    </a:xfrm>
                    <a:prstGeom prst="rect">
                      <a:avLst/>
                    </a:prstGeom>
                    <a:noFill/>
                  </pic:spPr>
                </pic:pic>
              </a:graphicData>
            </a:graphic>
          </wp:anchor>
        </w:drawing>
      </w:r>
    </w:p>
    <w:p>
      <w:pPr>
        <w:sectPr>
          <w:pgSz w:w="11900" w:h="16838" w:orient="portrait"/>
          <w:cols w:equalWidth="0" w:num="1">
            <w:col w:w="9019"/>
          </w:cols>
          <w:pgMar w:left="1440" w:top="737" w:right="1440"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4</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 BANK TRUST COMPANY, NATIONAL ASSOCIATION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AMENDED AND RESTATED BYLAWS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Meetings of Shareholders</w:t>
      </w:r>
    </w:p>
    <w:p>
      <w:pPr>
        <w:spacing w:after="0" w:line="164" w:lineRule="exact"/>
        <w:rPr>
          <w:sz w:val="20"/>
          <w:szCs w:val="20"/>
          <w:color w:val="auto"/>
        </w:rPr>
      </w:pPr>
    </w:p>
    <w:p>
      <w:pPr>
        <w:jc w:val="both"/>
        <w:ind w:firstLine="508"/>
        <w:spacing w:after="0" w:line="259" w:lineRule="auto"/>
        <w:rPr>
          <w:sz w:val="20"/>
          <w:szCs w:val="20"/>
          <w:color w:val="auto"/>
        </w:rPr>
      </w:pPr>
      <w:r>
        <w:rPr>
          <w:rFonts w:ascii="Times New Roman" w:cs="Times New Roman" w:eastAsia="Times New Roman" w:hAnsi="Times New Roman"/>
          <w:sz w:val="14"/>
          <w:szCs w:val="14"/>
          <w:color w:val="auto"/>
        </w:rPr>
        <w:t xml:space="preserve">Section 1.1. </w:t>
      </w:r>
      <w:r>
        <w:rPr>
          <w:rFonts w:ascii="Times New Roman" w:cs="Times New Roman" w:eastAsia="Times New Roman" w:hAnsi="Times New Roman"/>
          <w:sz w:val="14"/>
          <w:szCs w:val="14"/>
          <w:u w:val="single" w:color="auto"/>
          <w:color w:val="auto"/>
        </w:rPr>
        <w:t>Annual Meeting</w:t>
      </w:r>
      <w:r>
        <w:rPr>
          <w:rFonts w:ascii="Times New Roman" w:cs="Times New Roman" w:eastAsia="Times New Roman" w:hAnsi="Times New Roman"/>
          <w:sz w:val="14"/>
          <w:szCs w:val="14"/>
          <w:color w:val="auto"/>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spacing w:after="0" w:line="144"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1.2. </w:t>
      </w:r>
      <w:r>
        <w:rPr>
          <w:rFonts w:ascii="Times New Roman" w:cs="Times New Roman" w:eastAsia="Times New Roman" w:hAnsi="Times New Roman"/>
          <w:sz w:val="14"/>
          <w:szCs w:val="14"/>
          <w:u w:val="single" w:color="auto"/>
          <w:color w:val="auto"/>
        </w:rPr>
        <w:t>Special Meetings</w:t>
      </w:r>
      <w:r>
        <w:rPr>
          <w:rFonts w:ascii="Times New Roman" w:cs="Times New Roman" w:eastAsia="Times New Roman" w:hAnsi="Times New Roman"/>
          <w:sz w:val="14"/>
          <w:szCs w:val="14"/>
          <w:color w:val="auto"/>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Every such special meeting, unless otherwise provided by law, shall be called upon not less than ten (10) days nor more than sixty (60) days prior notice stating the purpose of the meeting.</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1.3. </w:t>
      </w:r>
      <w:r>
        <w:rPr>
          <w:rFonts w:ascii="Times New Roman" w:cs="Times New Roman" w:eastAsia="Times New Roman" w:hAnsi="Times New Roman"/>
          <w:sz w:val="14"/>
          <w:szCs w:val="14"/>
          <w:u w:val="single" w:color="auto"/>
          <w:color w:val="auto"/>
        </w:rPr>
        <w:t>Nominations for Directors</w:t>
      </w:r>
      <w:r>
        <w:rPr>
          <w:rFonts w:ascii="Times New Roman" w:cs="Times New Roman" w:eastAsia="Times New Roman" w:hAnsi="Times New Roman"/>
          <w:sz w:val="14"/>
          <w:szCs w:val="14"/>
          <w:color w:val="auto"/>
        </w:rPr>
        <w:t>. Nominations for election to the Board may be made by the Board or by any shareholder.</w:t>
      </w:r>
    </w:p>
    <w:p>
      <w:pPr>
        <w:spacing w:after="0" w:line="178"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1.4. </w:t>
      </w:r>
      <w:r>
        <w:rPr>
          <w:rFonts w:ascii="Times New Roman" w:cs="Times New Roman" w:eastAsia="Times New Roman" w:hAnsi="Times New Roman"/>
          <w:sz w:val="14"/>
          <w:szCs w:val="14"/>
          <w:u w:val="single" w:color="auto"/>
          <w:color w:val="auto"/>
        </w:rPr>
        <w:t>Proxies</w:t>
      </w:r>
      <w:r>
        <w:rPr>
          <w:rFonts w:ascii="Times New Roman" w:cs="Times New Roman" w:eastAsia="Times New Roman" w:hAnsi="Times New Roman"/>
          <w:sz w:val="14"/>
          <w:szCs w:val="14"/>
          <w:color w:val="auto"/>
        </w:rPr>
        <w:t>. Shareholders may vote at any meeting of the shareholders by proxies duly authorized in writing. Proxies shall be valid only for one meeting and any adjournments of such meeting and shall be filed with the records of the meeting.</w:t>
      </w:r>
    </w:p>
    <w:p>
      <w:pPr>
        <w:spacing w:after="0" w:line="125"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1.5. </w:t>
      </w:r>
      <w:r>
        <w:rPr>
          <w:rFonts w:ascii="Times New Roman" w:cs="Times New Roman" w:eastAsia="Times New Roman" w:hAnsi="Times New Roman"/>
          <w:sz w:val="14"/>
          <w:szCs w:val="14"/>
          <w:u w:val="single" w:color="auto"/>
          <w:color w:val="auto"/>
        </w:rPr>
        <w:t>Record Date</w:t>
      </w:r>
      <w:r>
        <w:rPr>
          <w:rFonts w:ascii="Times New Roman" w:cs="Times New Roman" w:eastAsia="Times New Roman" w:hAnsi="Times New Roman"/>
          <w:sz w:val="14"/>
          <w:szCs w:val="14"/>
          <w:color w:val="auto"/>
        </w:rPr>
        <w:t>. The record date for determining shareholders entitled to notice and to vote at any meeting will be thirty days before the date of such meeting, unless otherwise determined by the Board.</w:t>
      </w:r>
    </w:p>
    <w:p>
      <w:pPr>
        <w:spacing w:after="0" w:line="125" w:lineRule="exact"/>
        <w:rPr>
          <w:sz w:val="20"/>
          <w:szCs w:val="20"/>
          <w:color w:val="auto"/>
        </w:rPr>
      </w:pPr>
    </w:p>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 xml:space="preserve">Section 1.6. </w:t>
      </w:r>
      <w:r>
        <w:rPr>
          <w:rFonts w:ascii="Times New Roman" w:cs="Times New Roman" w:eastAsia="Times New Roman" w:hAnsi="Times New Roman"/>
          <w:sz w:val="14"/>
          <w:szCs w:val="14"/>
          <w:u w:val="single" w:color="auto"/>
          <w:color w:val="auto"/>
        </w:rPr>
        <w:t>Quorum and Voting</w:t>
      </w:r>
      <w:r>
        <w:rPr>
          <w:rFonts w:ascii="Times New Roman" w:cs="Times New Roman" w:eastAsia="Times New Roman" w:hAnsi="Times New Roman"/>
          <w:sz w:val="14"/>
          <w:szCs w:val="14"/>
          <w:color w:val="auto"/>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324485</wp:posOffset>
            </wp:positionV>
            <wp:extent cx="716216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7" w:right="319" w:bottom="1440" w:gutter="0" w:footer="0" w:header="0"/>
        </w:sectPr>
      </w:pPr>
    </w:p>
    <w:bookmarkStart w:id="76" w:name="page77"/>
    <w:bookmarkEnd w:id="76"/>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1.7. </w:t>
      </w:r>
      <w:r>
        <w:rPr>
          <w:rFonts w:ascii="Times New Roman" w:cs="Times New Roman" w:eastAsia="Times New Roman" w:hAnsi="Times New Roman"/>
          <w:sz w:val="14"/>
          <w:szCs w:val="14"/>
          <w:u w:val="single" w:color="auto"/>
          <w:color w:val="auto"/>
        </w:rPr>
        <w:t>Inspectors</w:t>
      </w:r>
      <w:r>
        <w:rPr>
          <w:rFonts w:ascii="Times New Roman" w:cs="Times New Roman" w:eastAsia="Times New Roman" w:hAnsi="Times New Roman"/>
          <w:sz w:val="14"/>
          <w:szCs w:val="14"/>
          <w:color w:val="auto"/>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1.8. </w:t>
      </w:r>
      <w:r>
        <w:rPr>
          <w:rFonts w:ascii="Times New Roman" w:cs="Times New Roman" w:eastAsia="Times New Roman" w:hAnsi="Times New Roman"/>
          <w:sz w:val="14"/>
          <w:szCs w:val="14"/>
          <w:u w:val="single" w:color="auto"/>
          <w:color w:val="auto"/>
        </w:rPr>
        <w:t>Waiver and Consent</w:t>
      </w:r>
      <w:r>
        <w:rPr>
          <w:rFonts w:ascii="Times New Roman" w:cs="Times New Roman" w:eastAsia="Times New Roman" w:hAnsi="Times New Roman"/>
          <w:sz w:val="14"/>
          <w:szCs w:val="14"/>
          <w:color w:val="auto"/>
        </w:rPr>
        <w:t>. The shareholders may act without notice or a meeting by a unanimous written consent by all shareholders.</w:t>
      </w:r>
    </w:p>
    <w:p>
      <w:pPr>
        <w:spacing w:after="0" w:line="178"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1.9. </w:t>
      </w:r>
      <w:r>
        <w:rPr>
          <w:rFonts w:ascii="Times New Roman" w:cs="Times New Roman" w:eastAsia="Times New Roman" w:hAnsi="Times New Roman"/>
          <w:sz w:val="14"/>
          <w:szCs w:val="14"/>
          <w:u w:val="single" w:color="auto"/>
          <w:color w:val="auto"/>
        </w:rPr>
        <w:t>Remote Meetings</w:t>
      </w:r>
      <w:r>
        <w:rPr>
          <w:rFonts w:ascii="Times New Roman" w:cs="Times New Roman" w:eastAsia="Times New Roman" w:hAnsi="Times New Roman"/>
          <w:sz w:val="14"/>
          <w:szCs w:val="14"/>
          <w:color w:val="auto"/>
        </w:rPr>
        <w:t>. The Board shall have the right to determine that a shareholder meeting not be held at a place, but instead be held solely by means of remote communication in the manner and to the extent permitted by the General Corporation Law of the State of Delaware.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II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Directors</w:t>
      </w:r>
    </w:p>
    <w:p>
      <w:pPr>
        <w:spacing w:after="0" w:line="164"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2.1. </w:t>
      </w:r>
      <w:r>
        <w:rPr>
          <w:rFonts w:ascii="Times New Roman" w:cs="Times New Roman" w:eastAsia="Times New Roman" w:hAnsi="Times New Roman"/>
          <w:sz w:val="14"/>
          <w:szCs w:val="14"/>
          <w:u w:val="single" w:color="auto"/>
          <w:color w:val="auto"/>
        </w:rPr>
        <w:t>Board of Directors</w:t>
      </w:r>
      <w:r>
        <w:rPr>
          <w:rFonts w:ascii="Times New Roman" w:cs="Times New Roman" w:eastAsia="Times New Roman" w:hAnsi="Times New Roman"/>
          <w:sz w:val="14"/>
          <w:szCs w:val="14"/>
          <w:color w:val="auto"/>
        </w:rPr>
        <w:t>. The Board shall have the power to manage and administer the business and affairs of the Association. Except as expressly limited by law, all corporate powers of the Association shall be vested in and may be exercised by the Board.</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2.2. </w:t>
      </w:r>
      <w:r>
        <w:rPr>
          <w:rFonts w:ascii="Times New Roman" w:cs="Times New Roman" w:eastAsia="Times New Roman" w:hAnsi="Times New Roman"/>
          <w:sz w:val="14"/>
          <w:szCs w:val="14"/>
          <w:u w:val="single" w:color="auto"/>
          <w:color w:val="auto"/>
        </w:rPr>
        <w:t>Term of Office</w:t>
      </w:r>
      <w:r>
        <w:rPr>
          <w:rFonts w:ascii="Times New Roman" w:cs="Times New Roman" w:eastAsia="Times New Roman" w:hAnsi="Times New Roman"/>
          <w:sz w:val="14"/>
          <w:szCs w:val="14"/>
          <w:color w:val="auto"/>
        </w:rPr>
        <w:t>. The directors of this Association shall hold office for one year and until their successors are duly elected and qualified, or until their earlier resignation 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removal.</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2.3. </w:t>
      </w:r>
      <w:r>
        <w:rPr>
          <w:rFonts w:ascii="Times New Roman" w:cs="Times New Roman" w:eastAsia="Times New Roman" w:hAnsi="Times New Roman"/>
          <w:sz w:val="14"/>
          <w:szCs w:val="14"/>
          <w:u w:val="single" w:color="auto"/>
          <w:color w:val="auto"/>
        </w:rPr>
        <w:t>Powers</w:t>
      </w:r>
      <w:r>
        <w:rPr>
          <w:rFonts w:ascii="Times New Roman" w:cs="Times New Roman" w:eastAsia="Times New Roman" w:hAnsi="Times New Roman"/>
          <w:sz w:val="14"/>
          <w:szCs w:val="14"/>
          <w:color w:val="auto"/>
        </w:rPr>
        <w:t>. In addition to the foregoing, the Board shall have and may exercise all of the powers granted to or conferred upon it by the Articles of Association, the Bylaws and by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law.</w:t>
      </w:r>
    </w:p>
    <w:p>
      <w:pPr>
        <w:spacing w:after="0" w:line="164" w:lineRule="exact"/>
        <w:rPr>
          <w:sz w:val="20"/>
          <w:szCs w:val="20"/>
          <w:color w:val="auto"/>
        </w:rPr>
      </w:pPr>
    </w:p>
    <w:p>
      <w:pPr>
        <w:jc w:val="both"/>
        <w:ind w:firstLine="508"/>
        <w:spacing w:after="0" w:line="258" w:lineRule="auto"/>
        <w:rPr>
          <w:sz w:val="20"/>
          <w:szCs w:val="20"/>
          <w:color w:val="auto"/>
        </w:rPr>
      </w:pPr>
      <w:r>
        <w:rPr>
          <w:rFonts w:ascii="Times New Roman" w:cs="Times New Roman" w:eastAsia="Times New Roman" w:hAnsi="Times New Roman"/>
          <w:sz w:val="14"/>
          <w:szCs w:val="14"/>
          <w:color w:val="auto"/>
        </w:rPr>
        <w:t xml:space="preserve">Section 2.4. </w:t>
      </w:r>
      <w:r>
        <w:rPr>
          <w:rFonts w:ascii="Times New Roman" w:cs="Times New Roman" w:eastAsia="Times New Roman" w:hAnsi="Times New Roman"/>
          <w:sz w:val="14"/>
          <w:szCs w:val="14"/>
          <w:u w:val="single" w:color="auto"/>
          <w:color w:val="auto"/>
        </w:rPr>
        <w:t>Number</w:t>
      </w:r>
      <w:r>
        <w:rPr>
          <w:rFonts w:ascii="Times New Roman" w:cs="Times New Roman" w:eastAsia="Times New Roman" w:hAnsi="Times New Roman"/>
          <w:sz w:val="14"/>
          <w:szCs w:val="14"/>
          <w:color w:val="auto"/>
        </w:rPr>
        <w:t>. As provided in the Articles of Association, the Board of this Association shall consist of no less than five nor more than twenty-five members, unless the OCC has exempted the Association from the twenty-five- 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 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16216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77" w:name="page78"/>
    <w:bookmarkEnd w:id="77"/>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 xml:space="preserve">Section 2.5. </w:t>
      </w:r>
      <w:r>
        <w:rPr>
          <w:rFonts w:ascii="Times New Roman" w:cs="Times New Roman" w:eastAsia="Times New Roman" w:hAnsi="Times New Roman"/>
          <w:sz w:val="14"/>
          <w:szCs w:val="14"/>
          <w:u w:val="single" w:color="auto"/>
          <w:color w:val="auto"/>
        </w:rPr>
        <w:t>Organization Meeting</w:t>
      </w:r>
      <w:r>
        <w:rPr>
          <w:rFonts w:ascii="Times New Roman" w:cs="Times New Roman" w:eastAsia="Times New Roman" w:hAnsi="Times New Roman"/>
          <w:sz w:val="14"/>
          <w:szCs w:val="14"/>
          <w:color w:val="auto"/>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2.6. </w:t>
      </w:r>
      <w:r>
        <w:rPr>
          <w:rFonts w:ascii="Times New Roman" w:cs="Times New Roman" w:eastAsia="Times New Roman" w:hAnsi="Times New Roman"/>
          <w:sz w:val="14"/>
          <w:szCs w:val="14"/>
          <w:u w:val="single" w:color="auto"/>
          <w:color w:val="auto"/>
        </w:rPr>
        <w:t>Regular Meetings</w:t>
      </w:r>
      <w:r>
        <w:rPr>
          <w:rFonts w:ascii="Times New Roman" w:cs="Times New Roman" w:eastAsia="Times New Roman" w:hAnsi="Times New Roman"/>
          <w:sz w:val="14"/>
          <w:szCs w:val="14"/>
          <w:color w:val="auto"/>
        </w:rPr>
        <w:t>. The regular meetings of the Board shall be held, without notice, as the Chairman or President may designate and deem suitable.</w:t>
      </w:r>
    </w:p>
    <w:p>
      <w:pPr>
        <w:spacing w:after="0" w:line="178" w:lineRule="exact"/>
        <w:rPr>
          <w:sz w:val="20"/>
          <w:szCs w:val="20"/>
          <w:color w:val="auto"/>
        </w:rPr>
      </w:pPr>
    </w:p>
    <w:p>
      <w:pPr>
        <w:jc w:val="both"/>
        <w:ind w:firstLine="508"/>
        <w:spacing w:after="0" w:line="263" w:lineRule="auto"/>
        <w:rPr>
          <w:sz w:val="20"/>
          <w:szCs w:val="20"/>
          <w:color w:val="auto"/>
        </w:rPr>
      </w:pPr>
      <w:r>
        <w:rPr>
          <w:rFonts w:ascii="Times New Roman" w:cs="Times New Roman" w:eastAsia="Times New Roman" w:hAnsi="Times New Roman"/>
          <w:sz w:val="14"/>
          <w:szCs w:val="14"/>
          <w:color w:val="auto"/>
        </w:rPr>
        <w:t xml:space="preserve">Section 2.7. </w:t>
      </w:r>
      <w:r>
        <w:rPr>
          <w:rFonts w:ascii="Times New Roman" w:cs="Times New Roman" w:eastAsia="Times New Roman" w:hAnsi="Times New Roman"/>
          <w:sz w:val="14"/>
          <w:szCs w:val="14"/>
          <w:u w:val="single" w:color="auto"/>
          <w:color w:val="auto"/>
        </w:rPr>
        <w:t>Special Meetings</w:t>
      </w:r>
      <w:r>
        <w:rPr>
          <w:rFonts w:ascii="Times New Roman" w:cs="Times New Roman" w:eastAsia="Times New Roman" w:hAnsi="Times New Roman"/>
          <w:sz w:val="14"/>
          <w:szCs w:val="14"/>
          <w:color w:val="auto"/>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spacing w:after="0" w:line="142" w:lineRule="exact"/>
        <w:rPr>
          <w:sz w:val="20"/>
          <w:szCs w:val="20"/>
          <w:color w:val="auto"/>
        </w:rPr>
      </w:pPr>
    </w:p>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 xml:space="preserve">Section 2.8. </w:t>
      </w:r>
      <w:r>
        <w:rPr>
          <w:rFonts w:ascii="Times New Roman" w:cs="Times New Roman" w:eastAsia="Times New Roman" w:hAnsi="Times New Roman"/>
          <w:sz w:val="14"/>
          <w:szCs w:val="14"/>
          <w:u w:val="single" w:color="auto"/>
          <w:color w:val="auto"/>
        </w:rPr>
        <w:t>Quorum and Necessary Vote</w:t>
      </w:r>
      <w:r>
        <w:rPr>
          <w:rFonts w:ascii="Times New Roman" w:cs="Times New Roman" w:eastAsia="Times New Roman" w:hAnsi="Times New Roman"/>
          <w:sz w:val="14"/>
          <w:szCs w:val="14"/>
          <w:color w:val="auto"/>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spacing w:after="0" w:line="136"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2.9. </w:t>
      </w:r>
      <w:r>
        <w:rPr>
          <w:rFonts w:ascii="Times New Roman" w:cs="Times New Roman" w:eastAsia="Times New Roman" w:hAnsi="Times New Roman"/>
          <w:sz w:val="14"/>
          <w:szCs w:val="14"/>
          <w:u w:val="single" w:color="auto"/>
          <w:color w:val="auto"/>
        </w:rPr>
        <w:t>Written Consent</w:t>
      </w:r>
      <w:r>
        <w:rPr>
          <w:rFonts w:ascii="Times New Roman" w:cs="Times New Roman" w:eastAsia="Times New Roman" w:hAnsi="Times New Roman"/>
          <w:sz w:val="14"/>
          <w:szCs w:val="14"/>
          <w:color w:val="auto"/>
        </w:rPr>
        <w:t>. Except as otherwise required by applicable laws and regulations, the Board may act without a meeting by a unanimous written consent by all directors, to be filed with the Secretary of the Association as part of the corporate records.</w:t>
      </w:r>
    </w:p>
    <w:p>
      <w:pPr>
        <w:spacing w:after="0" w:line="125"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2.10. </w:t>
      </w:r>
      <w:r>
        <w:rPr>
          <w:rFonts w:ascii="Times New Roman" w:cs="Times New Roman" w:eastAsia="Times New Roman" w:hAnsi="Times New Roman"/>
          <w:sz w:val="14"/>
          <w:szCs w:val="14"/>
          <w:u w:val="single" w:color="auto"/>
          <w:color w:val="auto"/>
        </w:rPr>
        <w:t>Remote Meetings</w:t>
      </w:r>
      <w:r>
        <w:rPr>
          <w:rFonts w:ascii="Times New Roman" w:cs="Times New Roman" w:eastAsia="Times New Roman" w:hAnsi="Times New Roman"/>
          <w:sz w:val="14"/>
          <w:szCs w:val="14"/>
          <w:color w:val="auto"/>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spacing w:after="0" w:line="125"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2.11. </w:t>
      </w:r>
      <w:r>
        <w:rPr>
          <w:rFonts w:ascii="Times New Roman" w:cs="Times New Roman" w:eastAsia="Times New Roman" w:hAnsi="Times New Roman"/>
          <w:sz w:val="14"/>
          <w:szCs w:val="14"/>
          <w:u w:val="single" w:color="auto"/>
          <w:color w:val="auto"/>
        </w:rPr>
        <w:t>Vacancies</w:t>
      </w:r>
      <w:r>
        <w:rPr>
          <w:rFonts w:ascii="Times New Roman" w:cs="Times New Roman" w:eastAsia="Times New Roman" w:hAnsi="Times New Roman"/>
          <w:sz w:val="14"/>
          <w:szCs w:val="14"/>
          <w:color w:val="auto"/>
        </w:rPr>
        <w:t>. When any vacancy occurs among the directors, the remaining members of the Board may appoint a director to fill such vacancy at any regular meeting of the Board, or at a special meeting called for that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316865</wp:posOffset>
            </wp:positionV>
            <wp:extent cx="716216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78" w:name="page79"/>
    <w:bookmarkEnd w:id="78"/>
    <w:p>
      <w:pPr>
        <w:ind w:left="5260"/>
        <w:spacing w:after="0"/>
        <w:rPr>
          <w:sz w:val="20"/>
          <w:szCs w:val="20"/>
          <w:color w:val="auto"/>
        </w:rPr>
      </w:pPr>
      <w:r>
        <w:rPr>
          <w:rFonts w:ascii="Times New Roman" w:cs="Times New Roman" w:eastAsia="Times New Roman" w:hAnsi="Times New Roman"/>
          <w:sz w:val="14"/>
          <w:szCs w:val="14"/>
          <w:u w:val="single" w:color="auto"/>
          <w:color w:val="auto"/>
        </w:rPr>
        <w:t>ARTICLE III</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u w:val="single" w:color="auto"/>
          <w:color w:val="auto"/>
        </w:rPr>
        <w:t>Committees</w:t>
      </w:r>
    </w:p>
    <w:p>
      <w:pPr>
        <w:spacing w:after="0" w:line="164" w:lineRule="exact"/>
        <w:rPr>
          <w:sz w:val="20"/>
          <w:szCs w:val="20"/>
          <w:color w:val="auto"/>
        </w:rPr>
      </w:pPr>
    </w:p>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 xml:space="preserve">Section 3.1. </w:t>
      </w:r>
      <w:r>
        <w:rPr>
          <w:rFonts w:ascii="Times New Roman" w:cs="Times New Roman" w:eastAsia="Times New Roman" w:hAnsi="Times New Roman"/>
          <w:sz w:val="14"/>
          <w:szCs w:val="14"/>
          <w:u w:val="single" w:color="auto"/>
          <w:color w:val="auto"/>
        </w:rPr>
        <w:t>Advisory Board of Directors</w:t>
      </w:r>
      <w:r>
        <w:rPr>
          <w:rFonts w:ascii="Times New Roman" w:cs="Times New Roman" w:eastAsia="Times New Roman" w:hAnsi="Times New Roman"/>
          <w:sz w:val="14"/>
          <w:szCs w:val="14"/>
          <w:color w:val="auto"/>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spacing w:after="0" w:line="136" w:lineRule="exact"/>
        <w:rPr>
          <w:sz w:val="20"/>
          <w:szCs w:val="20"/>
          <w:color w:val="auto"/>
        </w:rPr>
      </w:pPr>
    </w:p>
    <w:p>
      <w:pPr>
        <w:jc w:val="both"/>
        <w:ind w:firstLine="508"/>
        <w:spacing w:after="0" w:line="263" w:lineRule="auto"/>
        <w:rPr>
          <w:sz w:val="20"/>
          <w:szCs w:val="20"/>
          <w:color w:val="auto"/>
        </w:rPr>
      </w:pPr>
      <w:r>
        <w:rPr>
          <w:rFonts w:ascii="Times New Roman" w:cs="Times New Roman" w:eastAsia="Times New Roman" w:hAnsi="Times New Roman"/>
          <w:sz w:val="14"/>
          <w:szCs w:val="14"/>
          <w:color w:val="auto"/>
        </w:rPr>
        <w:t xml:space="preserve">Section 3.2. </w:t>
      </w:r>
      <w:r>
        <w:rPr>
          <w:rFonts w:ascii="Times New Roman" w:cs="Times New Roman" w:eastAsia="Times New Roman" w:hAnsi="Times New Roman"/>
          <w:sz w:val="14"/>
          <w:szCs w:val="14"/>
          <w:u w:val="single" w:color="auto"/>
          <w:color w:val="auto"/>
        </w:rPr>
        <w:t>Trust Audit Committee</w:t>
      </w:r>
      <w:r>
        <w:rPr>
          <w:rFonts w:ascii="Times New Roman" w:cs="Times New Roman" w:eastAsia="Times New Roman" w:hAnsi="Times New Roman"/>
          <w:sz w:val="14"/>
          <w:szCs w:val="14"/>
          <w:color w:val="auto"/>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Audit Committee of the financial holding company that is the ultimate parent of this Association, fulfilling the function of the trust audit committee:</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(1)            Must not include any officers of the Association or an affiliate who participate significantly in the administration of the Association’s fiduciary activities; and</w:t>
      </w:r>
    </w:p>
    <w:p>
      <w:pPr>
        <w:spacing w:after="0" w:line="178"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4"/>
          <w:szCs w:val="14"/>
          <w:color w:val="auto"/>
        </w:rPr>
        <w:t>(2)            Must consist of a majority of members who are not also members of any committee to which the Board has delegated power to manage and control the fiduciary activities of the Association.</w:t>
      </w:r>
    </w:p>
    <w:p>
      <w:pPr>
        <w:spacing w:after="0" w:line="125"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3.3. </w:t>
      </w:r>
      <w:r>
        <w:rPr>
          <w:rFonts w:ascii="Times New Roman" w:cs="Times New Roman" w:eastAsia="Times New Roman" w:hAnsi="Times New Roman"/>
          <w:sz w:val="14"/>
          <w:szCs w:val="14"/>
          <w:u w:val="single" w:color="auto"/>
          <w:color w:val="auto"/>
        </w:rPr>
        <w:t>Executive Committee</w:t>
      </w:r>
      <w:r>
        <w:rPr>
          <w:rFonts w:ascii="Times New Roman" w:cs="Times New Roman" w:eastAsia="Times New Roman" w:hAnsi="Times New Roman"/>
          <w:sz w:val="14"/>
          <w:szCs w:val="14"/>
          <w:color w:val="auto"/>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spacing w:after="0" w:line="125" w:lineRule="exact"/>
        <w:rPr>
          <w:sz w:val="20"/>
          <w:szCs w:val="20"/>
          <w:color w:val="auto"/>
        </w:rPr>
      </w:pPr>
    </w:p>
    <w:p>
      <w:pPr>
        <w:jc w:val="both"/>
        <w:ind w:firstLine="508"/>
        <w:spacing w:after="0" w:line="263" w:lineRule="auto"/>
        <w:rPr>
          <w:sz w:val="20"/>
          <w:szCs w:val="20"/>
          <w:color w:val="auto"/>
        </w:rPr>
      </w:pPr>
      <w:r>
        <w:rPr>
          <w:rFonts w:ascii="Times New Roman" w:cs="Times New Roman" w:eastAsia="Times New Roman" w:hAnsi="Times New Roman"/>
          <w:sz w:val="14"/>
          <w:szCs w:val="14"/>
          <w:color w:val="auto"/>
        </w:rPr>
        <w:t xml:space="preserve">Section 3.4. </w:t>
      </w:r>
      <w:r>
        <w:rPr>
          <w:rFonts w:ascii="Times New Roman" w:cs="Times New Roman" w:eastAsia="Times New Roman" w:hAnsi="Times New Roman"/>
          <w:sz w:val="14"/>
          <w:szCs w:val="14"/>
          <w:u w:val="single" w:color="auto"/>
          <w:color w:val="auto"/>
        </w:rPr>
        <w:t>Trust Management Committee</w:t>
      </w:r>
      <w:r>
        <w:rPr>
          <w:rFonts w:ascii="Times New Roman" w:cs="Times New Roman" w:eastAsia="Times New Roman" w:hAnsi="Times New Roman"/>
          <w:sz w:val="14"/>
          <w:szCs w:val="14"/>
          <w:color w:val="auto"/>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spacing w:after="0" w:line="142" w:lineRule="exact"/>
        <w:rPr>
          <w:sz w:val="20"/>
          <w:szCs w:val="20"/>
          <w:color w:val="auto"/>
        </w:rPr>
      </w:pPr>
    </w:p>
    <w:p>
      <w:pPr>
        <w:jc w:val="both"/>
        <w:ind w:firstLine="508"/>
        <w:spacing w:after="0" w:line="263" w:lineRule="auto"/>
        <w:rPr>
          <w:sz w:val="20"/>
          <w:szCs w:val="20"/>
          <w:color w:val="auto"/>
        </w:rPr>
      </w:pPr>
      <w:r>
        <w:rPr>
          <w:rFonts w:ascii="Times New Roman" w:cs="Times New Roman" w:eastAsia="Times New Roman" w:hAnsi="Times New Roman"/>
          <w:sz w:val="14"/>
          <w:szCs w:val="14"/>
          <w:color w:val="auto"/>
        </w:rPr>
        <w:t xml:space="preserve">Section 3.5. </w:t>
      </w:r>
      <w:r>
        <w:rPr>
          <w:rFonts w:ascii="Times New Roman" w:cs="Times New Roman" w:eastAsia="Times New Roman" w:hAnsi="Times New Roman"/>
          <w:sz w:val="14"/>
          <w:szCs w:val="14"/>
          <w:u w:val="single" w:color="auto"/>
          <w:color w:val="auto"/>
        </w:rPr>
        <w:t>Other Committees</w:t>
      </w:r>
      <w:r>
        <w:rPr>
          <w:rFonts w:ascii="Times New Roman" w:cs="Times New Roman" w:eastAsia="Times New Roman" w:hAnsi="Times New Roman"/>
          <w:sz w:val="14"/>
          <w:szCs w:val="14"/>
          <w:color w:val="auto"/>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327660</wp:posOffset>
            </wp:positionV>
            <wp:extent cx="716216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79" w:name="page80"/>
    <w:bookmarkEnd w:id="79"/>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 xml:space="preserve">Section 3.6. </w:t>
      </w:r>
      <w:r>
        <w:rPr>
          <w:rFonts w:ascii="Times New Roman" w:cs="Times New Roman" w:eastAsia="Times New Roman" w:hAnsi="Times New Roman"/>
          <w:sz w:val="14"/>
          <w:szCs w:val="14"/>
          <w:u w:val="single" w:color="auto"/>
          <w:color w:val="auto"/>
        </w:rPr>
        <w:t>Meetings, Minutes and Rules</w:t>
      </w:r>
      <w:r>
        <w:rPr>
          <w:rFonts w:ascii="Times New Roman" w:cs="Times New Roman" w:eastAsia="Times New Roman" w:hAnsi="Times New Roman"/>
          <w:sz w:val="14"/>
          <w:szCs w:val="14"/>
          <w:color w:val="auto"/>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IV</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Officers</w:t>
      </w:r>
    </w:p>
    <w:p>
      <w:pPr>
        <w:spacing w:after="0" w:line="164" w:lineRule="exact"/>
        <w:rPr>
          <w:sz w:val="20"/>
          <w:szCs w:val="20"/>
          <w:color w:val="auto"/>
        </w:rPr>
      </w:pPr>
    </w:p>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 xml:space="preserve">Section 4.1. </w:t>
      </w:r>
      <w:r>
        <w:rPr>
          <w:rFonts w:ascii="Times New Roman" w:cs="Times New Roman" w:eastAsia="Times New Roman" w:hAnsi="Times New Roman"/>
          <w:sz w:val="14"/>
          <w:szCs w:val="14"/>
          <w:u w:val="single" w:color="auto"/>
          <w:color w:val="auto"/>
        </w:rPr>
        <w:t>Chairman of the Board</w:t>
      </w:r>
      <w:r>
        <w:rPr>
          <w:rFonts w:ascii="Times New Roman" w:cs="Times New Roman" w:eastAsia="Times New Roman" w:hAnsi="Times New Roman"/>
          <w:sz w:val="14"/>
          <w:szCs w:val="14"/>
          <w:color w:val="auto"/>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spacing w:after="0" w:line="136" w:lineRule="exact"/>
        <w:rPr>
          <w:sz w:val="20"/>
          <w:szCs w:val="20"/>
          <w:color w:val="auto"/>
        </w:rPr>
      </w:pPr>
    </w:p>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 xml:space="preserve">Section 4.2. </w:t>
      </w:r>
      <w:r>
        <w:rPr>
          <w:rFonts w:ascii="Times New Roman" w:cs="Times New Roman" w:eastAsia="Times New Roman" w:hAnsi="Times New Roman"/>
          <w:sz w:val="14"/>
          <w:szCs w:val="14"/>
          <w:u w:val="single" w:color="auto"/>
          <w:color w:val="auto"/>
        </w:rPr>
        <w:t>President</w:t>
      </w:r>
      <w:r>
        <w:rPr>
          <w:rFonts w:ascii="Times New Roman" w:cs="Times New Roman" w:eastAsia="Times New Roman" w:hAnsi="Times New Roman"/>
          <w:sz w:val="14"/>
          <w:szCs w:val="14"/>
          <w:color w:val="auto"/>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spacing w:after="0" w:line="136"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4.3. </w:t>
      </w:r>
      <w:r>
        <w:rPr>
          <w:rFonts w:ascii="Times New Roman" w:cs="Times New Roman" w:eastAsia="Times New Roman" w:hAnsi="Times New Roman"/>
          <w:sz w:val="14"/>
          <w:szCs w:val="14"/>
          <w:u w:val="single" w:color="auto"/>
          <w:color w:val="auto"/>
        </w:rPr>
        <w:t>Vice President</w:t>
      </w:r>
      <w:r>
        <w:rPr>
          <w:rFonts w:ascii="Times New Roman" w:cs="Times New Roman" w:eastAsia="Times New Roman" w:hAnsi="Times New Roman"/>
          <w:sz w:val="14"/>
          <w:szCs w:val="14"/>
          <w:color w:val="auto"/>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spacing w:after="0" w:line="125" w:lineRule="exact"/>
        <w:rPr>
          <w:sz w:val="20"/>
          <w:szCs w:val="20"/>
          <w:color w:val="auto"/>
        </w:rPr>
      </w:pPr>
    </w:p>
    <w:p>
      <w:pPr>
        <w:jc w:val="both"/>
        <w:ind w:firstLine="508"/>
        <w:spacing w:after="0" w:line="261" w:lineRule="auto"/>
        <w:rPr>
          <w:sz w:val="20"/>
          <w:szCs w:val="20"/>
          <w:color w:val="auto"/>
        </w:rPr>
      </w:pPr>
      <w:r>
        <w:rPr>
          <w:rFonts w:ascii="Times New Roman" w:cs="Times New Roman" w:eastAsia="Times New Roman" w:hAnsi="Times New Roman"/>
          <w:sz w:val="14"/>
          <w:szCs w:val="14"/>
          <w:color w:val="auto"/>
        </w:rPr>
        <w:t xml:space="preserve">Section 4.4. </w:t>
      </w:r>
      <w:r>
        <w:rPr>
          <w:rFonts w:ascii="Times New Roman" w:cs="Times New Roman" w:eastAsia="Times New Roman" w:hAnsi="Times New Roman"/>
          <w:sz w:val="14"/>
          <w:szCs w:val="14"/>
          <w:u w:val="single" w:color="auto"/>
          <w:color w:val="auto"/>
        </w:rPr>
        <w:t>Secretary</w:t>
      </w:r>
      <w:r>
        <w:rPr>
          <w:rFonts w:ascii="Times New Roman" w:cs="Times New Roman" w:eastAsia="Times New Roman" w:hAnsi="Times New Roman"/>
          <w:sz w:val="14"/>
          <w:szCs w:val="14"/>
          <w:color w:val="auto"/>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327660</wp:posOffset>
            </wp:positionV>
            <wp:extent cx="716216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80" w:name="page81"/>
    <w:bookmarkEnd w:id="80"/>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 xml:space="preserve">Section 4.5. </w:t>
      </w:r>
      <w:r>
        <w:rPr>
          <w:rFonts w:ascii="Times New Roman" w:cs="Times New Roman" w:eastAsia="Times New Roman" w:hAnsi="Times New Roman"/>
          <w:sz w:val="14"/>
          <w:szCs w:val="14"/>
          <w:u w:val="single" w:color="auto"/>
          <w:color w:val="auto"/>
        </w:rPr>
        <w:t>Other Officers</w:t>
      </w:r>
      <w:r>
        <w:rPr>
          <w:rFonts w:ascii="Times New Roman" w:cs="Times New Roman" w:eastAsia="Times New Roman" w:hAnsi="Times New Roman"/>
          <w:sz w:val="14"/>
          <w:szCs w:val="14"/>
          <w:color w:val="auto"/>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 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spacing w:after="0" w:line="136"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4.6. </w:t>
      </w:r>
      <w:r>
        <w:rPr>
          <w:rFonts w:ascii="Times New Roman" w:cs="Times New Roman" w:eastAsia="Times New Roman" w:hAnsi="Times New Roman"/>
          <w:sz w:val="14"/>
          <w:szCs w:val="14"/>
          <w:u w:val="single" w:color="auto"/>
          <w:color w:val="auto"/>
        </w:rPr>
        <w:t>Tenure of Office</w:t>
      </w:r>
      <w:r>
        <w:rPr>
          <w:rFonts w:ascii="Times New Roman" w:cs="Times New Roman" w:eastAsia="Times New Roman" w:hAnsi="Times New Roman"/>
          <w:sz w:val="14"/>
          <w:szCs w:val="14"/>
          <w:color w:val="auto"/>
        </w:rPr>
        <w:t>. The Chairman or the President and all other officers shall hold office until their respective successors are elected and qualified or until their earlier death, resignation, retirement, disqualification or removal from office, subject to the right of the Board or authorized officer to discharge any officer at any time.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V</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Stock</w:t>
      </w:r>
    </w:p>
    <w:p>
      <w:pPr>
        <w:spacing w:after="0" w:line="164" w:lineRule="exact"/>
        <w:rPr>
          <w:sz w:val="20"/>
          <w:szCs w:val="20"/>
          <w:color w:val="auto"/>
        </w:rPr>
      </w:pPr>
    </w:p>
    <w:p>
      <w:pPr>
        <w:jc w:val="both"/>
        <w:ind w:firstLine="508"/>
        <w:spacing w:after="0" w:line="259" w:lineRule="auto"/>
        <w:rPr>
          <w:sz w:val="20"/>
          <w:szCs w:val="20"/>
          <w:color w:val="auto"/>
        </w:rPr>
      </w:pPr>
      <w:r>
        <w:rPr>
          <w:rFonts w:ascii="Times New Roman" w:cs="Times New Roman" w:eastAsia="Times New Roman" w:hAnsi="Times New Roman"/>
          <w:sz w:val="14"/>
          <w:szCs w:val="14"/>
          <w:color w:val="auto"/>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spacing w:after="0" w:line="14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u w:val="single" w:color="auto"/>
          <w:color w:val="auto"/>
        </w:rPr>
        <w:t>ARTICLE VI</w:t>
      </w:r>
    </w:p>
    <w:p>
      <w:pPr>
        <w:spacing w:after="0" w:line="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u w:val="single" w:color="auto"/>
          <w:color w:val="auto"/>
        </w:rPr>
        <w:t>Corporate Seal</w:t>
      </w:r>
    </w:p>
    <w:p>
      <w:pPr>
        <w:spacing w:after="0" w:line="164"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316865</wp:posOffset>
            </wp:positionV>
            <wp:extent cx="716216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VII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Miscellaneous Provisions</w:t>
      </w:r>
    </w:p>
    <w:p>
      <w:pPr>
        <w:spacing w:after="0" w:line="164" w:lineRule="exact"/>
        <w:rPr>
          <w:sz w:val="20"/>
          <w:szCs w:val="20"/>
          <w:color w:val="auto"/>
        </w:rPr>
      </w:pPr>
    </w:p>
    <w:p>
      <w:pPr>
        <w:jc w:val="both"/>
        <w:ind w:firstLine="508"/>
        <w:spacing w:after="0" w:line="261" w:lineRule="auto"/>
        <w:rPr>
          <w:sz w:val="20"/>
          <w:szCs w:val="20"/>
          <w:color w:val="auto"/>
        </w:rPr>
      </w:pPr>
      <w:r>
        <w:rPr>
          <w:rFonts w:ascii="Times New Roman" w:cs="Times New Roman" w:eastAsia="Times New Roman" w:hAnsi="Times New Roman"/>
          <w:sz w:val="14"/>
          <w:szCs w:val="14"/>
          <w:color w:val="auto"/>
        </w:rPr>
        <w:t xml:space="preserve">Section 7.1. </w:t>
      </w:r>
      <w:r>
        <w:rPr>
          <w:rFonts w:ascii="Times New Roman" w:cs="Times New Roman" w:eastAsia="Times New Roman" w:hAnsi="Times New Roman"/>
          <w:sz w:val="14"/>
          <w:szCs w:val="14"/>
          <w:u w:val="single" w:color="auto"/>
          <w:color w:val="auto"/>
        </w:rPr>
        <w:t>Execution of Instruments</w:t>
      </w:r>
      <w:r>
        <w:rPr>
          <w:rFonts w:ascii="Times New Roman" w:cs="Times New Roman" w:eastAsia="Times New Roman" w:hAnsi="Times New Roman"/>
          <w:sz w:val="14"/>
          <w:szCs w:val="14"/>
          <w:color w:val="auto"/>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spacing w:after="0" w:line="141" w:lineRule="exact"/>
        <w:rPr>
          <w:sz w:val="20"/>
          <w:szCs w:val="20"/>
          <w:color w:val="auto"/>
        </w:rPr>
      </w:pPr>
    </w:p>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 xml:space="preserve">Section 7.2. </w:t>
      </w:r>
      <w:r>
        <w:rPr>
          <w:rFonts w:ascii="Times New Roman" w:cs="Times New Roman" w:eastAsia="Times New Roman" w:hAnsi="Times New Roman"/>
          <w:sz w:val="14"/>
          <w:szCs w:val="14"/>
          <w:u w:val="single" w:color="auto"/>
          <w:color w:val="auto"/>
        </w:rPr>
        <w:t>Records</w:t>
      </w:r>
      <w:r>
        <w:rPr>
          <w:rFonts w:ascii="Times New Roman" w:cs="Times New Roman" w:eastAsia="Times New Roman" w:hAnsi="Times New Roman"/>
          <w:sz w:val="14"/>
          <w:szCs w:val="14"/>
          <w:color w:val="auto"/>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spacing w:after="0" w:line="136"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7.3. </w:t>
      </w:r>
      <w:r>
        <w:rPr>
          <w:rFonts w:ascii="Times New Roman" w:cs="Times New Roman" w:eastAsia="Times New Roman" w:hAnsi="Times New Roman"/>
          <w:sz w:val="14"/>
          <w:szCs w:val="14"/>
          <w:u w:val="single" w:color="auto"/>
          <w:color w:val="auto"/>
        </w:rPr>
        <w:t>Trust Files</w:t>
      </w:r>
      <w:r>
        <w:rPr>
          <w:rFonts w:ascii="Times New Roman" w:cs="Times New Roman" w:eastAsia="Times New Roman" w:hAnsi="Times New Roman"/>
          <w:sz w:val="14"/>
          <w:szCs w:val="14"/>
          <w:color w:val="auto"/>
        </w:rPr>
        <w:t>. There shall be maintained in the Association files all fiduciary records necessary to assure that its fiduciary responsibilities have been properly undertaken and discharged.</w:t>
      </w:r>
    </w:p>
    <w:p>
      <w:pPr>
        <w:spacing w:after="0" w:line="125" w:lineRule="exact"/>
        <w:rPr>
          <w:sz w:val="20"/>
          <w:szCs w:val="20"/>
          <w:color w:val="auto"/>
        </w:rPr>
      </w:pPr>
    </w:p>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 xml:space="preserve">Section 7.4. </w:t>
      </w:r>
      <w:r>
        <w:rPr>
          <w:rFonts w:ascii="Times New Roman" w:cs="Times New Roman" w:eastAsia="Times New Roman" w:hAnsi="Times New Roman"/>
          <w:sz w:val="14"/>
          <w:szCs w:val="14"/>
          <w:u w:val="single" w:color="auto"/>
          <w:color w:val="auto"/>
        </w:rPr>
        <w:t>Trust Investments</w:t>
      </w:r>
      <w:r>
        <w:rPr>
          <w:rFonts w:ascii="Times New Roman" w:cs="Times New Roman" w:eastAsia="Times New Roman" w:hAnsi="Times New Roman"/>
          <w:sz w:val="14"/>
          <w:szCs w:val="14"/>
          <w:color w:val="auto"/>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spacing w:after="0" w:line="136" w:lineRule="exact"/>
        <w:rPr>
          <w:sz w:val="20"/>
          <w:szCs w:val="20"/>
          <w:color w:val="auto"/>
        </w:rPr>
      </w:pPr>
    </w:p>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 xml:space="preserve">Section 7.5. </w:t>
      </w:r>
      <w:r>
        <w:rPr>
          <w:rFonts w:ascii="Times New Roman" w:cs="Times New Roman" w:eastAsia="Times New Roman" w:hAnsi="Times New Roman"/>
          <w:sz w:val="14"/>
          <w:szCs w:val="14"/>
          <w:u w:val="single" w:color="auto"/>
          <w:color w:val="auto"/>
        </w:rPr>
        <w:t>Notice</w:t>
      </w:r>
      <w:r>
        <w:rPr>
          <w:rFonts w:ascii="Times New Roman" w:cs="Times New Roman" w:eastAsia="Times New Roman" w:hAnsi="Times New Roman"/>
          <w:sz w:val="14"/>
          <w:szCs w:val="14"/>
          <w:color w:val="auto"/>
        </w:rPr>
        <w:t>. Whenever notice is required by the Articles of Association, the Bylaws or law, such notice shall be by mail, postage prepaid, e- mail, in person, or by any other means by which such notice can reasonably be expected to be received, using the address of the person to receive such notice, or such other personal data, as may appear on the records of the Association. Except where specified otherwise in these Bylaws, prior notice shall be proper if given not more than 30 days nor less than 10 days prior to the event for which notice is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324485</wp:posOffset>
            </wp:positionV>
            <wp:extent cx="716216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82" w:name="page83"/>
    <w:bookmarkEnd w:id="82"/>
    <w:p>
      <w:pPr>
        <w:ind w:left="5220"/>
        <w:spacing w:after="0"/>
        <w:rPr>
          <w:sz w:val="20"/>
          <w:szCs w:val="20"/>
          <w:color w:val="auto"/>
        </w:rPr>
      </w:pPr>
      <w:r>
        <w:rPr>
          <w:rFonts w:ascii="Times New Roman" w:cs="Times New Roman" w:eastAsia="Times New Roman" w:hAnsi="Times New Roman"/>
          <w:sz w:val="14"/>
          <w:szCs w:val="14"/>
          <w:u w:val="single" w:color="auto"/>
          <w:color w:val="auto"/>
        </w:rPr>
        <w:t>ARTICLE VIII</w:t>
      </w:r>
    </w:p>
    <w:p>
      <w:pPr>
        <w:spacing w:after="0" w:line="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u w:val="single" w:color="auto"/>
          <w:color w:val="auto"/>
        </w:rPr>
        <w:t>Indemnification</w:t>
      </w:r>
    </w:p>
    <w:p>
      <w:pPr>
        <w:spacing w:after="0" w:line="164" w:lineRule="exact"/>
        <w:rPr>
          <w:sz w:val="20"/>
          <w:szCs w:val="20"/>
          <w:color w:val="auto"/>
        </w:rPr>
      </w:pPr>
    </w:p>
    <w:p>
      <w:pPr>
        <w:jc w:val="both"/>
        <w:ind w:firstLine="508"/>
        <w:spacing w:after="0" w:line="261" w:lineRule="auto"/>
        <w:rPr>
          <w:sz w:val="20"/>
          <w:szCs w:val="20"/>
          <w:color w:val="auto"/>
        </w:rPr>
      </w:pPr>
      <w:r>
        <w:rPr>
          <w:rFonts w:ascii="Times New Roman" w:cs="Times New Roman" w:eastAsia="Times New Roman" w:hAnsi="Times New Roman"/>
          <w:sz w:val="14"/>
          <w:szCs w:val="14"/>
          <w:color w:val="auto"/>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spacing w:after="0" w:line="141" w:lineRule="exact"/>
        <w:rPr>
          <w:sz w:val="20"/>
          <w:szCs w:val="20"/>
          <w:color w:val="auto"/>
        </w:rPr>
      </w:pPr>
    </w:p>
    <w:p>
      <w:pPr>
        <w:jc w:val="both"/>
        <w:ind w:firstLine="508"/>
        <w:spacing w:after="0" w:line="263" w:lineRule="auto"/>
        <w:rPr>
          <w:sz w:val="20"/>
          <w:szCs w:val="20"/>
          <w:color w:val="auto"/>
        </w:rPr>
      </w:pPr>
      <w:r>
        <w:rPr>
          <w:rFonts w:ascii="Times New Roman" w:cs="Times New Roman" w:eastAsia="Times New Roman" w:hAnsi="Times New Roman"/>
          <w:sz w:val="14"/>
          <w:szCs w:val="14"/>
          <w:color w:val="auto"/>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IX</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Bylaws: Interpretation and Amendment</w:t>
      </w:r>
    </w:p>
    <w:p>
      <w:pPr>
        <w:spacing w:after="0" w:line="164"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Section 9.1. These Bylaws shall be interpreted in accordance with and subject to appropriate provisions of law, and may be added to, altered, amended, or repealed, at any regular or special meeting of the Board.</w:t>
      </w:r>
    </w:p>
    <w:p>
      <w:pPr>
        <w:spacing w:after="0" w:line="125"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Section 9.2. A copy of the Bylaws and all amendments shall at all times be kept in a convenient place at the principal office of the Association, and shall be open for inspection to all shareholders during Association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316865</wp:posOffset>
            </wp:positionV>
            <wp:extent cx="716216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X</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Miscellaneous Provisions</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10.1. </w:t>
      </w:r>
      <w:r>
        <w:rPr>
          <w:rFonts w:ascii="Times New Roman" w:cs="Times New Roman" w:eastAsia="Times New Roman" w:hAnsi="Times New Roman"/>
          <w:sz w:val="14"/>
          <w:szCs w:val="14"/>
          <w:u w:val="single" w:color="auto"/>
          <w:color w:val="auto"/>
        </w:rPr>
        <w:t>Fiscal Year</w:t>
      </w:r>
      <w:r>
        <w:rPr>
          <w:rFonts w:ascii="Times New Roman" w:cs="Times New Roman" w:eastAsia="Times New Roman" w:hAnsi="Times New Roman"/>
          <w:sz w:val="14"/>
          <w:szCs w:val="14"/>
          <w:color w:val="auto"/>
        </w:rPr>
        <w:t>. The fiscal year of the Association shall begin on the first day of January in each year and shall end on the thirty-first day of December following.</w:t>
      </w:r>
    </w:p>
    <w:p>
      <w:pPr>
        <w:spacing w:after="0" w:line="178" w:lineRule="exact"/>
        <w:rPr>
          <w:sz w:val="20"/>
          <w:szCs w:val="20"/>
          <w:color w:val="auto"/>
        </w:rPr>
      </w:pPr>
    </w:p>
    <w:p>
      <w:pPr>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10.2. </w:t>
      </w: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(February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351155</wp:posOffset>
            </wp:positionV>
            <wp:extent cx="716216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Exhibit 6</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w:t>
      </w:r>
    </w:p>
    <w:p>
      <w:pPr>
        <w:spacing w:after="0" w:line="180" w:lineRule="exact"/>
        <w:rPr>
          <w:sz w:val="20"/>
          <w:szCs w:val="20"/>
          <w:color w:val="auto"/>
        </w:rPr>
      </w:pPr>
    </w:p>
    <w:p>
      <w:pPr>
        <w:ind w:firstLine="508"/>
        <w:spacing w:after="0" w:line="286" w:lineRule="auto"/>
        <w:rPr>
          <w:sz w:val="20"/>
          <w:szCs w:val="20"/>
          <w:color w:val="auto"/>
        </w:rPr>
      </w:pPr>
      <w:r>
        <w:rPr>
          <w:rFonts w:ascii="Times New Roman" w:cs="Times New Roman" w:eastAsia="Times New Roman" w:hAnsi="Times New Roman"/>
          <w:sz w:val="14"/>
          <w:szCs w:val="14"/>
          <w:color w:val="auto"/>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August 21, 2024</w:t>
      </w:r>
    </w:p>
    <w:p>
      <w:pPr>
        <w:spacing w:after="0" w:line="188" w:lineRule="exact"/>
        <w:rPr>
          <w:sz w:val="20"/>
          <w:szCs w:val="20"/>
          <w:color w:val="auto"/>
        </w:rPr>
      </w:pPr>
    </w:p>
    <w:p>
      <w:pPr>
        <w:ind w:left="5640"/>
        <w:spacing w:after="0"/>
        <w:tabs>
          <w:tab w:leader="none" w:pos="5960" w:val="left"/>
        </w:tabs>
        <w:rPr>
          <w:sz w:val="20"/>
          <w:szCs w:val="20"/>
          <w:color w:val="auto"/>
        </w:rPr>
      </w:pPr>
      <w:r>
        <w:rPr>
          <w:rFonts w:ascii="Times New Roman" w:cs="Times New Roman" w:eastAsia="Times New Roman" w:hAnsi="Times New Roman"/>
          <w:sz w:val="14"/>
          <w:szCs w:val="14"/>
          <w:color w:val="auto"/>
        </w:rPr>
        <w:t>By:</w:t>
        <w:tab/>
        <w:t>/s/ Michael K. Herberger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Michael K. Herberger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-101600</wp:posOffset>
            </wp:positionV>
            <wp:extent cx="336232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3362325" cy="698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4"/>
          <w:szCs w:val="14"/>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16216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7" w:right="31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940" w:type="dxa"/>
            <w:vAlign w:val="bottom"/>
            <w:gridSpan w:val="3"/>
          </w:tcPr>
          <w:p>
            <w:pPr>
              <w:jc w:val="center"/>
              <w:ind w:right="4325"/>
              <w:spacing w:after="0"/>
              <w:rPr>
                <w:sz w:val="20"/>
                <w:szCs w:val="20"/>
                <w:color w:val="auto"/>
              </w:rPr>
            </w:pPr>
            <w:r>
              <w:rPr>
                <w:rFonts w:ascii="Times New Roman" w:cs="Times New Roman" w:eastAsia="Times New Roman" w:hAnsi="Times New Roman"/>
                <w:sz w:val="14"/>
                <w:szCs w:val="14"/>
                <w:b w:val="1"/>
                <w:bCs w:val="1"/>
                <w:color w:val="auto"/>
              </w:rPr>
              <w:t>Exhibit 7</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3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4"/>
        </w:trPr>
        <w:tc>
          <w:tcPr>
            <w:tcW w:w="3660" w:type="dxa"/>
            <w:vAlign w:val="bottom"/>
          </w:tcPr>
          <w:p>
            <w:pPr>
              <w:spacing w:after="0"/>
              <w:rPr>
                <w:sz w:val="24"/>
                <w:szCs w:val="24"/>
                <w:color w:val="auto"/>
              </w:rPr>
            </w:pPr>
          </w:p>
        </w:tc>
        <w:tc>
          <w:tcPr>
            <w:tcW w:w="6640" w:type="dxa"/>
            <w:vAlign w:val="bottom"/>
            <w:gridSpan w:val="4"/>
          </w:tcPr>
          <w:p>
            <w:pPr>
              <w:jc w:val="center"/>
              <w:ind w:right="2605"/>
              <w:spacing w:after="0"/>
              <w:rPr>
                <w:sz w:val="20"/>
                <w:szCs w:val="20"/>
                <w:color w:val="auto"/>
              </w:rPr>
            </w:pPr>
            <w:r>
              <w:rPr>
                <w:rFonts w:ascii="Times New Roman" w:cs="Times New Roman" w:eastAsia="Times New Roman" w:hAnsi="Times New Roman"/>
                <w:sz w:val="14"/>
                <w:szCs w:val="14"/>
                <w:b w:val="1"/>
                <w:bCs w:val="1"/>
                <w:color w:val="auto"/>
              </w:rPr>
              <w:t>U.S. Bank Trust Company, National Association</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3660" w:type="dxa"/>
            <w:vAlign w:val="bottom"/>
          </w:tcPr>
          <w:p>
            <w:pPr>
              <w:spacing w:after="0"/>
              <w:rPr>
                <w:sz w:val="14"/>
                <w:szCs w:val="14"/>
                <w:color w:val="auto"/>
              </w:rPr>
            </w:pPr>
          </w:p>
        </w:tc>
        <w:tc>
          <w:tcPr>
            <w:tcW w:w="6640" w:type="dxa"/>
            <w:vAlign w:val="bottom"/>
            <w:gridSpan w:val="4"/>
          </w:tcPr>
          <w:p>
            <w:pPr>
              <w:jc w:val="center"/>
              <w:ind w:right="2625"/>
              <w:spacing w:after="0"/>
              <w:rPr>
                <w:sz w:val="20"/>
                <w:szCs w:val="20"/>
                <w:color w:val="auto"/>
              </w:rPr>
            </w:pPr>
            <w:r>
              <w:rPr>
                <w:rFonts w:ascii="Times New Roman" w:cs="Times New Roman" w:eastAsia="Times New Roman" w:hAnsi="Times New Roman"/>
                <w:sz w:val="14"/>
                <w:szCs w:val="14"/>
                <w:b w:val="1"/>
                <w:bCs w:val="1"/>
                <w:color w:val="auto"/>
              </w:rPr>
              <w:t>Statement of Financial Condition</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3660" w:type="dxa"/>
            <w:vAlign w:val="bottom"/>
          </w:tcPr>
          <w:p>
            <w:pPr>
              <w:spacing w:after="0"/>
              <w:rPr>
                <w:sz w:val="16"/>
                <w:szCs w:val="16"/>
                <w:color w:val="auto"/>
              </w:rPr>
            </w:pPr>
          </w:p>
        </w:tc>
        <w:tc>
          <w:tcPr>
            <w:tcW w:w="6640" w:type="dxa"/>
            <w:vAlign w:val="bottom"/>
            <w:gridSpan w:val="4"/>
          </w:tcPr>
          <w:p>
            <w:pPr>
              <w:jc w:val="center"/>
              <w:ind w:right="2625"/>
              <w:spacing w:after="0"/>
              <w:rPr>
                <w:sz w:val="20"/>
                <w:szCs w:val="20"/>
                <w:color w:val="auto"/>
              </w:rPr>
            </w:pPr>
            <w:r>
              <w:rPr>
                <w:rFonts w:ascii="Times New Roman" w:cs="Times New Roman" w:eastAsia="Times New Roman" w:hAnsi="Times New Roman"/>
                <w:sz w:val="14"/>
                <w:szCs w:val="14"/>
                <w:b w:val="1"/>
                <w:bCs w:val="1"/>
                <w:color w:val="auto"/>
              </w:rPr>
              <w:t>as of 6/30/2024</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39"/>
        </w:trPr>
        <w:tc>
          <w:tcPr>
            <w:tcW w:w="3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940" w:type="dxa"/>
            <w:vAlign w:val="bottom"/>
            <w:gridSpan w:val="3"/>
          </w:tcPr>
          <w:p>
            <w:pPr>
              <w:jc w:val="center"/>
              <w:ind w:right="4325"/>
              <w:spacing w:after="0"/>
              <w:rPr>
                <w:sz w:val="20"/>
                <w:szCs w:val="20"/>
                <w:color w:val="auto"/>
              </w:rPr>
            </w:pPr>
            <w:r>
              <w:rPr>
                <w:rFonts w:ascii="Times New Roman" w:cs="Times New Roman" w:eastAsia="Times New Roman" w:hAnsi="Times New Roman"/>
                <w:sz w:val="14"/>
                <w:szCs w:val="14"/>
                <w:b w:val="1"/>
                <w:bCs w:val="1"/>
                <w:color w:val="auto"/>
              </w:rPr>
              <w:t>($000’s)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4"/>
        </w:trPr>
        <w:tc>
          <w:tcPr>
            <w:tcW w:w="3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6/30/2024</w:t>
            </w:r>
          </w:p>
        </w:tc>
      </w:tr>
      <w:tr>
        <w:trPr>
          <w:trHeight w:val="166"/>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7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40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69"/>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Balances Due From Depository Institutions</w:t>
            </w:r>
          </w:p>
        </w:tc>
        <w:tc>
          <w:tcPr>
            <w:tcW w:w="6640" w:type="dxa"/>
            <w:vAlign w:val="bottom"/>
            <w:gridSpan w:val="4"/>
          </w:tcPr>
          <w:p>
            <w:pPr>
              <w:jc w:val="right"/>
              <w:ind w:right="245"/>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1,420,557</w:t>
            </w:r>
          </w:p>
        </w:tc>
      </w:tr>
      <w:tr>
        <w:trPr>
          <w:trHeight w:val="16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w:t>
            </w:r>
          </w:p>
        </w:tc>
        <w:tc>
          <w:tcPr>
            <w:tcW w:w="1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4,393</w:t>
            </w:r>
          </w:p>
        </w:tc>
      </w:tr>
      <w:tr>
        <w:trPr>
          <w:trHeight w:val="169"/>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Federal Funds</w:t>
            </w: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 &amp; Lease Financing Receivables</w:t>
            </w:r>
          </w:p>
        </w:tc>
        <w:tc>
          <w:tcPr>
            <w:tcW w:w="1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9"/>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Assets</w:t>
            </w: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1,164</w:t>
            </w:r>
          </w:p>
        </w:tc>
      </w:tr>
      <w:tr>
        <w:trPr>
          <w:trHeight w:val="16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Intangible Assets</w:t>
            </w:r>
          </w:p>
        </w:tc>
        <w:tc>
          <w:tcPr>
            <w:tcW w:w="1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577,338</w:t>
            </w:r>
          </w:p>
        </w:tc>
      </w:tr>
      <w:tr>
        <w:trPr>
          <w:trHeight w:val="180"/>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Assets</w:t>
            </w:r>
          </w:p>
        </w:tc>
        <w:tc>
          <w:tcPr>
            <w:tcW w:w="1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153,812</w:t>
            </w:r>
          </w:p>
        </w:tc>
      </w:tr>
      <w:tr>
        <w:trPr>
          <w:trHeight w:val="160"/>
        </w:trPr>
        <w:tc>
          <w:tcPr>
            <w:tcW w:w="36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7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40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2,157,264</w:t>
            </w:r>
          </w:p>
        </w:tc>
        <w:tc>
          <w:tcPr>
            <w:tcW w:w="100" w:type="dxa"/>
            <w:vAlign w:val="bottom"/>
            <w:tcBorders>
              <w:top w:val="single" w:sz="8" w:color="CCEEFF"/>
            </w:tcBorders>
            <w:shd w:val="clear" w:color="auto" w:fill="CCEEFF"/>
          </w:tcPr>
          <w:p>
            <w:pPr>
              <w:spacing w:after="0"/>
              <w:rPr>
                <w:sz w:val="13"/>
                <w:szCs w:val="13"/>
                <w:color w:val="auto"/>
              </w:rPr>
            </w:pPr>
          </w:p>
        </w:tc>
      </w:tr>
      <w:tr>
        <w:trPr>
          <w:trHeight w:val="169"/>
        </w:trPr>
        <w:tc>
          <w:tcPr>
            <w:tcW w:w="3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9"/>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Deposits</w:t>
            </w:r>
          </w:p>
        </w:tc>
        <w:tc>
          <w:tcPr>
            <w:tcW w:w="6640" w:type="dxa"/>
            <w:vAlign w:val="bottom"/>
            <w:gridSpan w:val="4"/>
          </w:tcPr>
          <w:p>
            <w:pPr>
              <w:jc w:val="right"/>
              <w:ind w:right="245"/>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 Funds</w:t>
            </w:r>
          </w:p>
        </w:tc>
        <w:tc>
          <w:tcPr>
            <w:tcW w:w="1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9"/>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Treasury Demand Notes</w:t>
            </w: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Trading Liabilities</w:t>
            </w:r>
          </w:p>
        </w:tc>
        <w:tc>
          <w:tcPr>
            <w:tcW w:w="1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9"/>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Borrowed Money</w:t>
            </w: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Acceptances</w:t>
            </w:r>
          </w:p>
        </w:tc>
        <w:tc>
          <w:tcPr>
            <w:tcW w:w="1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9"/>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Subordinated Notes and Debentures</w:t>
            </w: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80"/>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Liabilities</w:t>
            </w:r>
          </w:p>
        </w:tc>
        <w:tc>
          <w:tcPr>
            <w:tcW w:w="1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215,138</w:t>
            </w:r>
          </w:p>
        </w:tc>
      </w:tr>
      <w:tr>
        <w:trPr>
          <w:trHeight w:val="160"/>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360" w:type="dxa"/>
            <w:vAlign w:val="bottom"/>
            <w:tcBorders>
              <w:top w:val="single" w:sz="8" w:color="auto"/>
            </w:tcBorders>
          </w:tcPr>
          <w:p>
            <w:pPr>
              <w:jc w:val="right"/>
              <w:ind w:right="2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215,138</w:t>
            </w:r>
          </w:p>
        </w:tc>
        <w:tc>
          <w:tcPr>
            <w:tcW w:w="100" w:type="dxa"/>
            <w:vAlign w:val="bottom"/>
          </w:tcPr>
          <w:p>
            <w:pPr>
              <w:spacing w:after="0"/>
              <w:rPr>
                <w:sz w:val="13"/>
                <w:szCs w:val="13"/>
                <w:color w:val="auto"/>
              </w:rPr>
            </w:pPr>
          </w:p>
        </w:tc>
      </w:tr>
      <w:tr>
        <w:trPr>
          <w:trHeight w:val="169"/>
        </w:trPr>
        <w:tc>
          <w:tcPr>
            <w:tcW w:w="36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9"/>
        </w:trPr>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and Preferred Stock</w:t>
            </w:r>
          </w:p>
        </w:tc>
        <w:tc>
          <w:tcPr>
            <w:tcW w:w="1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200</w:t>
            </w:r>
          </w:p>
        </w:tc>
      </w:tr>
      <w:tr>
        <w:trPr>
          <w:trHeight w:val="169"/>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Surplus</w:t>
            </w: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1,171,635</w:t>
            </w:r>
          </w:p>
        </w:tc>
      </w:tr>
      <w:tr>
        <w:trPr>
          <w:trHeight w:val="16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Undivided Profits</w:t>
            </w:r>
          </w:p>
        </w:tc>
        <w:tc>
          <w:tcPr>
            <w:tcW w:w="1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770,291</w:t>
            </w:r>
          </w:p>
        </w:tc>
      </w:tr>
      <w:tr>
        <w:trPr>
          <w:trHeight w:val="180"/>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Minority Interest in Subsidiaries</w:t>
            </w:r>
          </w:p>
        </w:tc>
        <w:tc>
          <w:tcPr>
            <w:tcW w:w="1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0"/>
        </w:trPr>
        <w:tc>
          <w:tcPr>
            <w:tcW w:w="366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Total Equity Capital</w:t>
            </w:r>
          </w:p>
        </w:tc>
        <w:tc>
          <w:tcPr>
            <w:tcW w:w="17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40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1,942,126</w:t>
            </w:r>
          </w:p>
        </w:tc>
        <w:tc>
          <w:tcPr>
            <w:tcW w:w="100" w:type="dxa"/>
            <w:vAlign w:val="bottom"/>
            <w:tcBorders>
              <w:top w:val="single" w:sz="8" w:color="CCEEFF"/>
            </w:tcBorders>
            <w:shd w:val="clear" w:color="auto" w:fill="CCEEFF"/>
          </w:tcPr>
          <w:p>
            <w:pPr>
              <w:spacing w:after="0"/>
              <w:rPr>
                <w:sz w:val="13"/>
                <w:szCs w:val="13"/>
                <w:color w:val="auto"/>
              </w:rPr>
            </w:pPr>
          </w:p>
        </w:tc>
      </w:tr>
      <w:tr>
        <w:trPr>
          <w:trHeight w:val="169"/>
        </w:trPr>
        <w:tc>
          <w:tcPr>
            <w:tcW w:w="3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Equity Capital</w:t>
            </w:r>
          </w:p>
        </w:tc>
        <w:tc>
          <w:tcPr>
            <w:tcW w:w="6640" w:type="dxa"/>
            <w:vAlign w:val="bottom"/>
            <w:gridSpan w:val="4"/>
            <w:shd w:val="clear" w:color="auto" w:fill="CCEEFF"/>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2,157,264</w:t>
            </w:r>
          </w:p>
        </w:tc>
      </w:tr>
      <w:tr>
        <w:trPr>
          <w:trHeight w:val="530"/>
        </w:trPr>
        <w:tc>
          <w:tcPr>
            <w:tcW w:w="36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51" w:right="319" w:bottom="1440" w:gutter="0" w:footer="0" w:header="0"/>
        </w:sectPr>
      </w:pPr>
    </w:p>
    <w:bookmarkStart w:id="86" w:name="page87"/>
    <w:bookmarkEnd w:id="86"/>
    <w:p>
      <w:pPr>
        <w:ind w:left="10400"/>
        <w:spacing w:after="0"/>
        <w:rPr>
          <w:sz w:val="20"/>
          <w:szCs w:val="20"/>
          <w:color w:val="auto"/>
        </w:rPr>
      </w:pPr>
      <w:r>
        <w:rPr>
          <w:rFonts w:ascii="Times New Roman" w:cs="Times New Roman" w:eastAsia="Times New Roman" w:hAnsi="Times New Roman"/>
          <w:sz w:val="17"/>
          <w:szCs w:val="17"/>
          <w:b w:val="1"/>
          <w:bCs w:val="1"/>
          <w:color w:val="auto"/>
        </w:rPr>
        <w:t>Exhibit 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6216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16216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146685</wp:posOffset>
            </wp:positionV>
            <wp:extent cx="716216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2686050</wp:posOffset>
            </wp:positionH>
            <wp:positionV relativeFrom="paragraph">
              <wp:posOffset>120015</wp:posOffset>
            </wp:positionV>
            <wp:extent cx="179578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1795780" cy="6985"/>
                    </a:xfrm>
                    <a:prstGeom prst="rect">
                      <a:avLst/>
                    </a:prstGeom>
                    <a:noFill/>
                  </pic:spPr>
                </pic:pic>
              </a:graphicData>
            </a:graphic>
          </wp:anchor>
        </w:drawing>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T-1</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STATEMENT OF ELIGIBILITY UNDER</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THE TRUST INDENTURE ACT OF 1939 OF A</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CORPORATION DESIGNATED TO ACT AS TRUSTEE</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Check if an Application to Determine Eligibility of</w:t>
      </w:r>
    </w:p>
    <w:p>
      <w:pPr>
        <w:spacing w:after="0" w:line="8" w:lineRule="exact"/>
        <w:rPr>
          <w:sz w:val="20"/>
          <w:szCs w:val="20"/>
          <w:color w:val="auto"/>
        </w:rPr>
      </w:pPr>
    </w:p>
    <w:p>
      <w:pPr>
        <w:ind w:left="4460"/>
        <w:spacing w:after="0" w:line="161" w:lineRule="exact"/>
        <w:rPr>
          <w:sz w:val="20"/>
          <w:szCs w:val="20"/>
          <w:color w:val="auto"/>
        </w:rPr>
      </w:pPr>
      <w:r>
        <w:rPr>
          <w:rFonts w:ascii="Times New Roman" w:cs="Times New Roman" w:eastAsia="Times New Roman" w:hAnsi="Times New Roman"/>
          <w:sz w:val="14"/>
          <w:szCs w:val="14"/>
          <w:color w:val="auto"/>
        </w:rPr>
        <w:t xml:space="preserve">a Trustee Pursuant to Section 305(b)(2)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113030</wp:posOffset>
            </wp:positionV>
            <wp:extent cx="358457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3584575" cy="6985"/>
                    </a:xfrm>
                    <a:prstGeom prst="rect">
                      <a:avLst/>
                    </a:prstGeom>
                    <a:noFill/>
                  </pic:spPr>
                </pic:pic>
              </a:graphicData>
            </a:graphic>
          </wp:anchor>
        </w:drawing>
      </w:r>
    </w:p>
    <w:p>
      <w:pPr>
        <w:spacing w:after="0" w:line="3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U.S. BANK TRUST COMPANY, NATIONAL ASSOCIATION</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7320" w:type="dxa"/>
            <w:vAlign w:val="bottom"/>
            <w:gridSpan w:val="4"/>
          </w:tcPr>
          <w:p>
            <w:pPr>
              <w:jc w:val="center"/>
              <w:ind w:left="3887"/>
              <w:spacing w:after="0"/>
              <w:rPr>
                <w:sz w:val="20"/>
                <w:szCs w:val="20"/>
                <w:color w:val="auto"/>
              </w:rPr>
            </w:pPr>
            <w:r>
              <w:rPr>
                <w:rFonts w:ascii="Times New Roman" w:cs="Times New Roman" w:eastAsia="Times New Roman" w:hAnsi="Times New Roman"/>
                <w:sz w:val="14"/>
                <w:szCs w:val="14"/>
                <w:color w:val="auto"/>
              </w:rPr>
              <w:t>(Exact name of Trustee as specified in its charter)</w:t>
            </w:r>
          </w:p>
        </w:tc>
        <w:tc>
          <w:tcPr>
            <w:tcW w:w="3980" w:type="dxa"/>
            <w:vAlign w:val="bottom"/>
          </w:tcPr>
          <w:p>
            <w:pPr>
              <w:spacing w:after="0"/>
              <w:rPr>
                <w:sz w:val="15"/>
                <w:szCs w:val="15"/>
                <w:color w:val="auto"/>
              </w:rPr>
            </w:pPr>
          </w:p>
        </w:tc>
      </w:tr>
      <w:tr>
        <w:trPr>
          <w:trHeight w:val="309"/>
        </w:trPr>
        <w:tc>
          <w:tcPr>
            <w:tcW w:w="7320" w:type="dxa"/>
            <w:vAlign w:val="bottom"/>
            <w:gridSpan w:val="4"/>
          </w:tcPr>
          <w:p>
            <w:pPr>
              <w:jc w:val="right"/>
              <w:ind w:right="1360"/>
              <w:spacing w:after="0"/>
              <w:rPr>
                <w:sz w:val="20"/>
                <w:szCs w:val="20"/>
                <w:color w:val="auto"/>
              </w:rPr>
            </w:pPr>
            <w:r>
              <w:rPr>
                <w:rFonts w:ascii="Times New Roman" w:cs="Times New Roman" w:eastAsia="Times New Roman" w:hAnsi="Times New Roman"/>
                <w:sz w:val="14"/>
                <w:szCs w:val="14"/>
                <w:b w:val="1"/>
                <w:bCs w:val="1"/>
                <w:color w:val="auto"/>
              </w:rPr>
              <w:t>91-1821036</w:t>
            </w:r>
          </w:p>
        </w:tc>
        <w:tc>
          <w:tcPr>
            <w:tcW w:w="3980" w:type="dxa"/>
            <w:vAlign w:val="bottom"/>
          </w:tcPr>
          <w:p>
            <w:pPr>
              <w:spacing w:after="0"/>
              <w:rPr>
                <w:sz w:val="24"/>
                <w:szCs w:val="24"/>
                <w:color w:val="auto"/>
              </w:rPr>
            </w:pPr>
          </w:p>
        </w:tc>
      </w:tr>
      <w:tr>
        <w:trPr>
          <w:trHeight w:val="184"/>
        </w:trPr>
        <w:tc>
          <w:tcPr>
            <w:tcW w:w="7320" w:type="dxa"/>
            <w:vAlign w:val="bottom"/>
            <w:gridSpan w:val="4"/>
          </w:tcPr>
          <w:p>
            <w:pPr>
              <w:jc w:val="center"/>
              <w:ind w:left="3887"/>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3980" w:type="dxa"/>
            <w:vAlign w:val="bottom"/>
          </w:tcPr>
          <w:p>
            <w:pPr>
              <w:spacing w:after="0"/>
              <w:rPr>
                <w:sz w:val="15"/>
                <w:szCs w:val="15"/>
                <w:color w:val="auto"/>
              </w:rPr>
            </w:pPr>
          </w:p>
        </w:tc>
      </w:tr>
      <w:tr>
        <w:trPr>
          <w:trHeight w:val="170"/>
        </w:trPr>
        <w:tc>
          <w:tcPr>
            <w:tcW w:w="5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3980" w:type="dxa"/>
            <w:vAlign w:val="bottom"/>
            <w:tcBorders>
              <w:bottom w:val="single" w:sz="8" w:color="auto"/>
            </w:tcBorders>
          </w:tcPr>
          <w:p>
            <w:pPr>
              <w:spacing w:after="0"/>
              <w:rPr>
                <w:sz w:val="14"/>
                <w:szCs w:val="14"/>
                <w:color w:val="auto"/>
              </w:rPr>
            </w:pPr>
          </w:p>
        </w:tc>
      </w:tr>
      <w:tr>
        <w:trPr>
          <w:trHeight w:val="145"/>
        </w:trPr>
        <w:tc>
          <w:tcPr>
            <w:tcW w:w="5660" w:type="dxa"/>
            <w:vAlign w:val="bottom"/>
            <w:tcBorders>
              <w:left w:val="single" w:sz="8" w:color="auto"/>
              <w:right w:val="single" w:sz="8" w:color="auto"/>
            </w:tcBorders>
            <w:gridSpan w:val="3"/>
          </w:tcPr>
          <w:p>
            <w:pPr>
              <w:jc w:val="center"/>
              <w:ind w:right="20"/>
              <w:spacing w:after="0" w:line="145" w:lineRule="exact"/>
              <w:rPr>
                <w:sz w:val="20"/>
                <w:szCs w:val="20"/>
                <w:color w:val="auto"/>
              </w:rPr>
            </w:pPr>
            <w:r>
              <w:rPr>
                <w:rFonts w:ascii="Times New Roman" w:cs="Times New Roman" w:eastAsia="Times New Roman" w:hAnsi="Times New Roman"/>
                <w:sz w:val="14"/>
                <w:szCs w:val="14"/>
                <w:color w:val="auto"/>
              </w:rPr>
              <w:t>800 Nicollet Mall</w:t>
            </w:r>
          </w:p>
        </w:tc>
        <w:tc>
          <w:tcPr>
            <w:tcW w:w="1660" w:type="dxa"/>
            <w:vAlign w:val="bottom"/>
          </w:tcPr>
          <w:p>
            <w:pPr>
              <w:spacing w:after="0"/>
              <w:rPr>
                <w:sz w:val="12"/>
                <w:szCs w:val="12"/>
                <w:color w:val="auto"/>
              </w:rPr>
            </w:pPr>
          </w:p>
        </w:tc>
        <w:tc>
          <w:tcPr>
            <w:tcW w:w="3980" w:type="dxa"/>
            <w:vAlign w:val="bottom"/>
            <w:tcBorders>
              <w:right w:val="single" w:sz="8" w:color="auto"/>
            </w:tcBorders>
          </w:tcPr>
          <w:p>
            <w:pPr>
              <w:spacing w:after="0"/>
              <w:rPr>
                <w:sz w:val="12"/>
                <w:szCs w:val="12"/>
                <w:color w:val="auto"/>
              </w:rPr>
            </w:pPr>
          </w:p>
        </w:tc>
      </w:tr>
      <w:tr>
        <w:trPr>
          <w:trHeight w:val="184"/>
        </w:trPr>
        <w:tc>
          <w:tcPr>
            <w:tcW w:w="566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Minneapolis, Minnesota</w:t>
            </w:r>
          </w:p>
        </w:tc>
        <w:tc>
          <w:tcPr>
            <w:tcW w:w="1660" w:type="dxa"/>
            <w:vAlign w:val="bottom"/>
            <w:tcBorders>
              <w:bottom w:val="single" w:sz="8" w:color="auto"/>
            </w:tcBorders>
          </w:tcPr>
          <w:p>
            <w:pPr>
              <w:spacing w:after="0"/>
              <w:rPr>
                <w:sz w:val="15"/>
                <w:szCs w:val="15"/>
                <w:color w:val="auto"/>
              </w:rPr>
            </w:pPr>
          </w:p>
        </w:tc>
        <w:tc>
          <w:tcPr>
            <w:tcW w:w="3980" w:type="dxa"/>
            <w:vAlign w:val="bottom"/>
            <w:tcBorders>
              <w:bottom w:val="single" w:sz="8" w:color="auto"/>
              <w:right w:val="single" w:sz="8" w:color="auto"/>
            </w:tcBorders>
          </w:tcPr>
          <w:p>
            <w:pPr>
              <w:jc w:val="right"/>
              <w:ind w:right="2589"/>
              <w:spacing w:after="0"/>
              <w:rPr>
                <w:sz w:val="20"/>
                <w:szCs w:val="20"/>
                <w:color w:val="auto"/>
              </w:rPr>
            </w:pPr>
            <w:r>
              <w:rPr>
                <w:rFonts w:ascii="Times New Roman" w:cs="Times New Roman" w:eastAsia="Times New Roman" w:hAnsi="Times New Roman"/>
                <w:sz w:val="14"/>
                <w:szCs w:val="14"/>
                <w:color w:val="auto"/>
              </w:rPr>
              <w:t>55402</w:t>
            </w:r>
          </w:p>
        </w:tc>
      </w:tr>
      <w:tr>
        <w:trPr>
          <w:trHeight w:val="160"/>
        </w:trPr>
        <w:tc>
          <w:tcPr>
            <w:tcW w:w="5660" w:type="dxa"/>
            <w:vAlign w:val="bottom"/>
            <w:tcBorders>
              <w:left w:val="single" w:sz="8" w:color="auto"/>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660" w:type="dxa"/>
            <w:vAlign w:val="bottom"/>
            <w:tcBorders>
              <w:bottom w:val="single" w:sz="8" w:color="auto"/>
            </w:tcBorders>
          </w:tcPr>
          <w:p>
            <w:pPr>
              <w:spacing w:after="0"/>
              <w:rPr>
                <w:sz w:val="13"/>
                <w:szCs w:val="13"/>
                <w:color w:val="auto"/>
              </w:rPr>
            </w:pPr>
          </w:p>
        </w:tc>
        <w:tc>
          <w:tcPr>
            <w:tcW w:w="3980" w:type="dxa"/>
            <w:vAlign w:val="bottom"/>
            <w:tcBorders>
              <w:bottom w:val="single" w:sz="8" w:color="auto"/>
              <w:right w:val="single" w:sz="8" w:color="auto"/>
            </w:tcBorders>
          </w:tcPr>
          <w:p>
            <w:pPr>
              <w:jc w:val="center"/>
              <w:ind w:right="1629"/>
              <w:spacing w:after="0"/>
              <w:rPr>
                <w:sz w:val="20"/>
                <w:szCs w:val="20"/>
                <w:color w:val="auto"/>
              </w:rPr>
            </w:pPr>
            <w:r>
              <w:rPr>
                <w:rFonts w:ascii="Times New Roman" w:cs="Times New Roman" w:eastAsia="Times New Roman" w:hAnsi="Times New Roman"/>
                <w:sz w:val="14"/>
                <w:szCs w:val="14"/>
                <w:color w:val="auto"/>
              </w:rPr>
              <w:t>(Zip Code)</w:t>
            </w:r>
          </w:p>
        </w:tc>
      </w:tr>
      <w:tr>
        <w:trPr>
          <w:trHeight w:val="315"/>
        </w:trPr>
        <w:tc>
          <w:tcPr>
            <w:tcW w:w="7320" w:type="dxa"/>
            <w:vAlign w:val="bottom"/>
            <w:gridSpan w:val="4"/>
          </w:tcPr>
          <w:p>
            <w:pPr>
              <w:jc w:val="center"/>
              <w:ind w:left="3847"/>
              <w:spacing w:after="0"/>
              <w:rPr>
                <w:sz w:val="20"/>
                <w:szCs w:val="20"/>
                <w:color w:val="auto"/>
              </w:rPr>
            </w:pPr>
            <w:r>
              <w:rPr>
                <w:rFonts w:ascii="Times New Roman" w:cs="Times New Roman" w:eastAsia="Times New Roman" w:hAnsi="Times New Roman"/>
                <w:sz w:val="14"/>
                <w:szCs w:val="14"/>
                <w:color w:val="auto"/>
              </w:rPr>
              <w:t>Michael K. Herberger</w:t>
            </w:r>
          </w:p>
        </w:tc>
        <w:tc>
          <w:tcPr>
            <w:tcW w:w="3980" w:type="dxa"/>
            <w:vAlign w:val="bottom"/>
          </w:tcPr>
          <w:p>
            <w:pPr>
              <w:spacing w:after="0"/>
              <w:rPr>
                <w:sz w:val="24"/>
                <w:szCs w:val="24"/>
                <w:color w:val="auto"/>
              </w:rPr>
            </w:pPr>
          </w:p>
        </w:tc>
      </w:tr>
      <w:tr>
        <w:trPr>
          <w:trHeight w:val="173"/>
        </w:trPr>
        <w:tc>
          <w:tcPr>
            <w:tcW w:w="7320" w:type="dxa"/>
            <w:vAlign w:val="bottom"/>
            <w:gridSpan w:val="4"/>
          </w:tcPr>
          <w:p>
            <w:pPr>
              <w:jc w:val="center"/>
              <w:ind w:left="3867"/>
              <w:spacing w:after="0"/>
              <w:rPr>
                <w:sz w:val="20"/>
                <w:szCs w:val="20"/>
                <w:color w:val="auto"/>
              </w:rPr>
            </w:pPr>
            <w:r>
              <w:rPr>
                <w:rFonts w:ascii="Times New Roman" w:cs="Times New Roman" w:eastAsia="Times New Roman" w:hAnsi="Times New Roman"/>
                <w:sz w:val="14"/>
                <w:szCs w:val="14"/>
                <w:color w:val="auto"/>
              </w:rPr>
              <w:t>U.S. Bank Trust Company, National Association</w:t>
            </w:r>
          </w:p>
        </w:tc>
        <w:tc>
          <w:tcPr>
            <w:tcW w:w="3980" w:type="dxa"/>
            <w:vAlign w:val="bottom"/>
          </w:tcPr>
          <w:p>
            <w:pPr>
              <w:spacing w:after="0"/>
              <w:rPr>
                <w:sz w:val="15"/>
                <w:szCs w:val="15"/>
                <w:color w:val="auto"/>
              </w:rPr>
            </w:pPr>
          </w:p>
        </w:tc>
      </w:tr>
      <w:tr>
        <w:trPr>
          <w:trHeight w:val="197"/>
        </w:trPr>
        <w:tc>
          <w:tcPr>
            <w:tcW w:w="7320" w:type="dxa"/>
            <w:vAlign w:val="bottom"/>
            <w:gridSpan w:val="4"/>
          </w:tcPr>
          <w:p>
            <w:pPr>
              <w:jc w:val="center"/>
              <w:ind w:left="3867"/>
              <w:spacing w:after="0" w:line="198" w:lineRule="exact"/>
              <w:rPr>
                <w:sz w:val="20"/>
                <w:szCs w:val="20"/>
                <w:color w:val="auto"/>
              </w:rPr>
            </w:pPr>
            <w:r>
              <w:rPr>
                <w:rFonts w:ascii="Times New Roman" w:cs="Times New Roman" w:eastAsia="Times New Roman" w:hAnsi="Times New Roman"/>
                <w:sz w:val="14"/>
                <w:szCs w:val="14"/>
                <w:color w:val="auto"/>
                <w:w w:val="99"/>
              </w:rPr>
              <w:t>13737 Noel Road, 8</w:t>
            </w:r>
            <w:r>
              <w:rPr>
                <w:rFonts w:ascii="Times New Roman" w:cs="Times New Roman" w:eastAsia="Times New Roman" w:hAnsi="Times New Roman"/>
                <w:sz w:val="22"/>
                <w:szCs w:val="22"/>
                <w:color w:val="auto"/>
                <w:w w:val="99"/>
                <w:vertAlign w:val="superscript"/>
              </w:rPr>
              <w:t>th</w:t>
            </w:r>
            <w:r>
              <w:rPr>
                <w:rFonts w:ascii="Times New Roman" w:cs="Times New Roman" w:eastAsia="Times New Roman" w:hAnsi="Times New Roman"/>
                <w:sz w:val="14"/>
                <w:szCs w:val="14"/>
                <w:color w:val="auto"/>
                <w:w w:val="99"/>
              </w:rPr>
              <w:t xml:space="preserve"> Floor</w:t>
            </w:r>
          </w:p>
        </w:tc>
        <w:tc>
          <w:tcPr>
            <w:tcW w:w="3980" w:type="dxa"/>
            <w:vAlign w:val="bottom"/>
          </w:tcPr>
          <w:p>
            <w:pPr>
              <w:spacing w:after="0"/>
              <w:rPr>
                <w:sz w:val="17"/>
                <w:szCs w:val="17"/>
                <w:color w:val="auto"/>
              </w:rPr>
            </w:pPr>
          </w:p>
        </w:tc>
      </w:tr>
      <w:tr>
        <w:trPr>
          <w:trHeight w:val="169"/>
        </w:trPr>
        <w:tc>
          <w:tcPr>
            <w:tcW w:w="7320" w:type="dxa"/>
            <w:vAlign w:val="bottom"/>
            <w:gridSpan w:val="4"/>
          </w:tcPr>
          <w:p>
            <w:pPr>
              <w:jc w:val="center"/>
              <w:ind w:left="3867"/>
              <w:spacing w:after="0"/>
              <w:rPr>
                <w:sz w:val="20"/>
                <w:szCs w:val="20"/>
                <w:color w:val="auto"/>
              </w:rPr>
            </w:pPr>
            <w:r>
              <w:rPr>
                <w:rFonts w:ascii="Times New Roman" w:cs="Times New Roman" w:eastAsia="Times New Roman" w:hAnsi="Times New Roman"/>
                <w:sz w:val="14"/>
                <w:szCs w:val="14"/>
                <w:color w:val="auto"/>
              </w:rPr>
              <w:t>Dallas, TX 75240</w:t>
            </w:r>
          </w:p>
        </w:tc>
        <w:tc>
          <w:tcPr>
            <w:tcW w:w="3980" w:type="dxa"/>
            <w:vAlign w:val="bottom"/>
          </w:tcPr>
          <w:p>
            <w:pPr>
              <w:spacing w:after="0"/>
              <w:rPr>
                <w:sz w:val="14"/>
                <w:szCs w:val="14"/>
                <w:color w:val="auto"/>
              </w:rPr>
            </w:pPr>
          </w:p>
        </w:tc>
      </w:tr>
      <w:tr>
        <w:trPr>
          <w:trHeight w:val="169"/>
        </w:trPr>
        <w:tc>
          <w:tcPr>
            <w:tcW w:w="7320" w:type="dxa"/>
            <w:vAlign w:val="bottom"/>
            <w:gridSpan w:val="4"/>
          </w:tcPr>
          <w:p>
            <w:pPr>
              <w:jc w:val="right"/>
              <w:ind w:right="1260"/>
              <w:spacing w:after="0"/>
              <w:rPr>
                <w:sz w:val="20"/>
                <w:szCs w:val="20"/>
                <w:color w:val="auto"/>
              </w:rPr>
            </w:pPr>
            <w:r>
              <w:rPr>
                <w:rFonts w:ascii="Times New Roman" w:cs="Times New Roman" w:eastAsia="Times New Roman" w:hAnsi="Times New Roman"/>
                <w:sz w:val="14"/>
                <w:szCs w:val="14"/>
                <w:color w:val="auto"/>
              </w:rPr>
              <w:t>(972) 581-1612</w:t>
            </w:r>
          </w:p>
        </w:tc>
        <w:tc>
          <w:tcPr>
            <w:tcW w:w="3980" w:type="dxa"/>
            <w:vAlign w:val="bottom"/>
          </w:tcPr>
          <w:p>
            <w:pPr>
              <w:spacing w:after="0"/>
              <w:rPr>
                <w:sz w:val="14"/>
                <w:szCs w:val="14"/>
                <w:color w:val="auto"/>
              </w:rPr>
            </w:pPr>
          </w:p>
        </w:tc>
      </w:tr>
      <w:tr>
        <w:trPr>
          <w:trHeight w:val="184"/>
        </w:trPr>
        <w:tc>
          <w:tcPr>
            <w:tcW w:w="7320" w:type="dxa"/>
            <w:vAlign w:val="bottom"/>
            <w:gridSpan w:val="4"/>
          </w:tcPr>
          <w:p>
            <w:pPr>
              <w:jc w:val="center"/>
              <w:ind w:left="3907"/>
              <w:spacing w:after="0"/>
              <w:rPr>
                <w:sz w:val="20"/>
                <w:szCs w:val="20"/>
                <w:color w:val="auto"/>
              </w:rPr>
            </w:pPr>
            <w:r>
              <w:rPr>
                <w:rFonts w:ascii="Times New Roman" w:cs="Times New Roman" w:eastAsia="Times New Roman" w:hAnsi="Times New Roman"/>
                <w:sz w:val="14"/>
                <w:szCs w:val="14"/>
                <w:color w:val="auto"/>
              </w:rPr>
              <w:t>(Name, address and telephone number of agent for service)</w:t>
            </w:r>
          </w:p>
        </w:tc>
        <w:tc>
          <w:tcPr>
            <w:tcW w:w="3980" w:type="dxa"/>
            <w:vAlign w:val="bottom"/>
          </w:tcPr>
          <w:p>
            <w:pPr>
              <w:spacing w:after="0"/>
              <w:rPr>
                <w:sz w:val="15"/>
                <w:szCs w:val="15"/>
                <w:color w:val="auto"/>
              </w:rPr>
            </w:pPr>
          </w:p>
        </w:tc>
      </w:tr>
      <w:tr>
        <w:trPr>
          <w:trHeight w:val="381"/>
        </w:trPr>
        <w:tc>
          <w:tcPr>
            <w:tcW w:w="7320" w:type="dxa"/>
            <w:vAlign w:val="bottom"/>
            <w:gridSpan w:val="4"/>
          </w:tcPr>
          <w:p>
            <w:pPr>
              <w:jc w:val="center"/>
              <w:ind w:left="3847"/>
              <w:spacing w:after="0"/>
              <w:rPr>
                <w:sz w:val="20"/>
                <w:szCs w:val="20"/>
                <w:color w:val="auto"/>
              </w:rPr>
            </w:pPr>
            <w:r>
              <w:rPr>
                <w:rFonts w:ascii="Times New Roman" w:cs="Times New Roman" w:eastAsia="Times New Roman" w:hAnsi="Times New Roman"/>
                <w:sz w:val="20"/>
                <w:szCs w:val="20"/>
                <w:b w:val="1"/>
                <w:bCs w:val="1"/>
                <w:color w:val="auto"/>
                <w:w w:val="98"/>
              </w:rPr>
              <w:t>Plains All American Pipeline, L.P.</w:t>
            </w:r>
          </w:p>
        </w:tc>
        <w:tc>
          <w:tcPr>
            <w:tcW w:w="3980" w:type="dxa"/>
            <w:vAlign w:val="bottom"/>
          </w:tcPr>
          <w:p>
            <w:pPr>
              <w:spacing w:after="0"/>
              <w:rPr>
                <w:sz w:val="24"/>
                <w:szCs w:val="24"/>
                <w:color w:val="auto"/>
              </w:rPr>
            </w:pPr>
          </w:p>
        </w:tc>
      </w:tr>
      <w:tr>
        <w:trPr>
          <w:trHeight w:val="240"/>
        </w:trPr>
        <w:tc>
          <w:tcPr>
            <w:tcW w:w="7320" w:type="dxa"/>
            <w:vAlign w:val="bottom"/>
            <w:gridSpan w:val="4"/>
          </w:tcPr>
          <w:p>
            <w:pPr>
              <w:jc w:val="center"/>
              <w:ind w:left="3847"/>
              <w:spacing w:after="0"/>
              <w:rPr>
                <w:sz w:val="20"/>
                <w:szCs w:val="20"/>
                <w:color w:val="auto"/>
              </w:rPr>
            </w:pPr>
            <w:r>
              <w:rPr>
                <w:rFonts w:ascii="Times New Roman" w:cs="Times New Roman" w:eastAsia="Times New Roman" w:hAnsi="Times New Roman"/>
                <w:sz w:val="20"/>
                <w:szCs w:val="20"/>
                <w:b w:val="1"/>
                <w:bCs w:val="1"/>
                <w:color w:val="auto"/>
                <w:w w:val="97"/>
              </w:rPr>
              <w:t>PAA Finance Corp.</w:t>
            </w:r>
          </w:p>
        </w:tc>
        <w:tc>
          <w:tcPr>
            <w:tcW w:w="3980" w:type="dxa"/>
            <w:vAlign w:val="bottom"/>
          </w:tcPr>
          <w:p>
            <w:pPr>
              <w:spacing w:after="0"/>
              <w:rPr>
                <w:sz w:val="20"/>
                <w:szCs w:val="20"/>
                <w:color w:val="auto"/>
              </w:rPr>
            </w:pPr>
          </w:p>
        </w:tc>
      </w:tr>
      <w:tr>
        <w:trPr>
          <w:trHeight w:val="184"/>
        </w:trPr>
        <w:tc>
          <w:tcPr>
            <w:tcW w:w="7320" w:type="dxa"/>
            <w:vAlign w:val="bottom"/>
            <w:gridSpan w:val="4"/>
          </w:tcPr>
          <w:p>
            <w:pPr>
              <w:jc w:val="center"/>
              <w:ind w:left="3907"/>
              <w:spacing w:after="0"/>
              <w:rPr>
                <w:sz w:val="20"/>
                <w:szCs w:val="20"/>
                <w:color w:val="auto"/>
              </w:rPr>
            </w:pPr>
            <w:r>
              <w:rPr>
                <w:rFonts w:ascii="Times New Roman" w:cs="Times New Roman" w:eastAsia="Times New Roman" w:hAnsi="Times New Roman"/>
                <w:sz w:val="14"/>
                <w:szCs w:val="14"/>
                <w:color w:val="auto"/>
              </w:rPr>
              <w:t>(Issuer with respect to the Securities)</w:t>
            </w:r>
          </w:p>
        </w:tc>
        <w:tc>
          <w:tcPr>
            <w:tcW w:w="3980" w:type="dxa"/>
            <w:vAlign w:val="bottom"/>
          </w:tcPr>
          <w:p>
            <w:pPr>
              <w:spacing w:after="0"/>
              <w:rPr>
                <w:sz w:val="15"/>
                <w:szCs w:val="15"/>
                <w:color w:val="auto"/>
              </w:rPr>
            </w:pPr>
          </w:p>
        </w:tc>
      </w:tr>
      <w:tr>
        <w:trPr>
          <w:trHeight w:val="170"/>
        </w:trPr>
        <w:tc>
          <w:tcPr>
            <w:tcW w:w="5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spacing w:after="0"/>
              <w:rPr>
                <w:sz w:val="14"/>
                <w:szCs w:val="14"/>
                <w:color w:val="auto"/>
              </w:rPr>
            </w:pPr>
          </w:p>
        </w:tc>
        <w:tc>
          <w:tcPr>
            <w:tcW w:w="3980" w:type="dxa"/>
            <w:vAlign w:val="bottom"/>
            <w:tcBorders>
              <w:bottom w:val="single" w:sz="8" w:color="auto"/>
            </w:tcBorders>
          </w:tcPr>
          <w:p>
            <w:pPr>
              <w:spacing w:after="0"/>
              <w:rPr>
                <w:sz w:val="14"/>
                <w:szCs w:val="14"/>
                <w:color w:val="auto"/>
              </w:rPr>
            </w:pPr>
          </w:p>
        </w:tc>
      </w:tr>
      <w:tr>
        <w:trPr>
          <w:trHeight w:val="145"/>
        </w:trPr>
        <w:tc>
          <w:tcPr>
            <w:tcW w:w="5440" w:type="dxa"/>
            <w:vAlign w:val="bottom"/>
            <w:tcBorders>
              <w:left w:val="single" w:sz="8" w:color="auto"/>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Delaware</w:t>
            </w:r>
          </w:p>
        </w:tc>
        <w:tc>
          <w:tcPr>
            <w:tcW w:w="120" w:type="dxa"/>
            <w:vAlign w:val="bottom"/>
          </w:tcPr>
          <w:p>
            <w:pPr>
              <w:spacing w:after="0"/>
              <w:rPr>
                <w:sz w:val="12"/>
                <w:szCs w:val="12"/>
                <w:color w:val="auto"/>
              </w:rPr>
            </w:pPr>
          </w:p>
        </w:tc>
        <w:tc>
          <w:tcPr>
            <w:tcW w:w="1760" w:type="dxa"/>
            <w:vAlign w:val="bottom"/>
            <w:gridSpan w:val="2"/>
          </w:tcPr>
          <w:p>
            <w:pPr>
              <w:spacing w:after="0"/>
              <w:rPr>
                <w:sz w:val="12"/>
                <w:szCs w:val="12"/>
                <w:color w:val="auto"/>
              </w:rPr>
            </w:pPr>
          </w:p>
        </w:tc>
        <w:tc>
          <w:tcPr>
            <w:tcW w:w="3980" w:type="dxa"/>
            <w:vAlign w:val="bottom"/>
            <w:tcBorders>
              <w:right w:val="single" w:sz="8" w:color="auto"/>
            </w:tcBorders>
          </w:tcPr>
          <w:p>
            <w:pPr>
              <w:jc w:val="center"/>
              <w:ind w:right="1849"/>
              <w:spacing w:after="0" w:line="145" w:lineRule="exact"/>
              <w:rPr>
                <w:sz w:val="20"/>
                <w:szCs w:val="20"/>
                <w:color w:val="auto"/>
              </w:rPr>
            </w:pPr>
            <w:r>
              <w:rPr>
                <w:rFonts w:ascii="Times New Roman" w:cs="Times New Roman" w:eastAsia="Times New Roman" w:hAnsi="Times New Roman"/>
                <w:sz w:val="14"/>
                <w:szCs w:val="14"/>
                <w:color w:val="auto"/>
              </w:rPr>
              <w:t>76-0582150</w:t>
            </w:r>
          </w:p>
        </w:tc>
      </w:tr>
      <w:tr>
        <w:trPr>
          <w:trHeight w:val="184"/>
        </w:trPr>
        <w:tc>
          <w:tcPr>
            <w:tcW w:w="5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spacing w:after="0"/>
              <w:rPr>
                <w:sz w:val="15"/>
                <w:szCs w:val="15"/>
                <w:color w:val="auto"/>
              </w:rPr>
            </w:pPr>
          </w:p>
        </w:tc>
        <w:tc>
          <w:tcPr>
            <w:tcW w:w="3980" w:type="dxa"/>
            <w:vAlign w:val="bottom"/>
            <w:tcBorders>
              <w:bottom w:val="single" w:sz="8" w:color="auto"/>
              <w:right w:val="single" w:sz="8" w:color="auto"/>
            </w:tcBorders>
          </w:tcPr>
          <w:p>
            <w:pPr>
              <w:jc w:val="center"/>
              <w:ind w:right="1849"/>
              <w:spacing w:after="0"/>
              <w:rPr>
                <w:sz w:val="20"/>
                <w:szCs w:val="20"/>
                <w:color w:val="auto"/>
              </w:rPr>
            </w:pPr>
            <w:r>
              <w:rPr>
                <w:rFonts w:ascii="Times New Roman" w:cs="Times New Roman" w:eastAsia="Times New Roman" w:hAnsi="Times New Roman"/>
                <w:sz w:val="14"/>
                <w:szCs w:val="14"/>
                <w:color w:val="auto"/>
              </w:rPr>
              <w:t>56-2464313</w:t>
            </w:r>
          </w:p>
        </w:tc>
      </w:tr>
      <w:tr>
        <w:trPr>
          <w:trHeight w:val="160"/>
        </w:trPr>
        <w:tc>
          <w:tcPr>
            <w:tcW w:w="5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1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2"/>
          </w:tcPr>
          <w:p>
            <w:pPr>
              <w:spacing w:after="0"/>
              <w:rPr>
                <w:sz w:val="13"/>
                <w:szCs w:val="13"/>
                <w:color w:val="auto"/>
              </w:rPr>
            </w:pPr>
          </w:p>
        </w:tc>
        <w:tc>
          <w:tcPr>
            <w:tcW w:w="3980" w:type="dxa"/>
            <w:vAlign w:val="bottom"/>
            <w:tcBorders>
              <w:bottom w:val="single" w:sz="8" w:color="auto"/>
              <w:right w:val="single" w:sz="8" w:color="auto"/>
            </w:tcBorders>
          </w:tcPr>
          <w:p>
            <w:pPr>
              <w:jc w:val="center"/>
              <w:ind w:right="184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160"/>
        </w:trPr>
        <w:tc>
          <w:tcPr>
            <w:tcW w:w="5440" w:type="dxa"/>
            <w:vAlign w:val="bottom"/>
            <w:tcBorders>
              <w:left w:val="single" w:sz="8" w:color="auto"/>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c>
          <w:tcPr>
            <w:tcW w:w="3980" w:type="dxa"/>
            <w:vAlign w:val="bottom"/>
            <w:tcBorders>
              <w:bottom w:val="single" w:sz="8" w:color="auto"/>
              <w:right w:val="single" w:sz="8" w:color="auto"/>
            </w:tcBorders>
          </w:tcPr>
          <w:p>
            <w:pPr>
              <w:spacing w:after="0"/>
              <w:rPr>
                <w:sz w:val="13"/>
                <w:szCs w:val="13"/>
                <w:color w:val="auto"/>
              </w:rPr>
            </w:pPr>
          </w:p>
        </w:tc>
      </w:tr>
      <w:tr>
        <w:trPr>
          <w:trHeight w:val="160"/>
        </w:trPr>
        <w:tc>
          <w:tcPr>
            <w:tcW w:w="5560" w:type="dxa"/>
            <w:vAlign w:val="bottom"/>
            <w:tcBorders>
              <w:bottom w:val="single" w:sz="8" w:color="auto"/>
            </w:tcBorders>
            <w:gridSpan w:val="2"/>
          </w:tcPr>
          <w:p>
            <w:pPr>
              <w:spacing w:after="0"/>
              <w:rPr>
                <w:sz w:val="13"/>
                <w:szCs w:val="13"/>
                <w:color w:val="auto"/>
              </w:rPr>
            </w:pPr>
          </w:p>
        </w:tc>
        <w:tc>
          <w:tcPr>
            <w:tcW w:w="1760" w:type="dxa"/>
            <w:vAlign w:val="bottom"/>
            <w:tcBorders>
              <w:bottom w:val="single" w:sz="8" w:color="auto"/>
            </w:tcBorders>
            <w:gridSpan w:val="2"/>
          </w:tcPr>
          <w:p>
            <w:pPr>
              <w:spacing w:after="0"/>
              <w:rPr>
                <w:sz w:val="13"/>
                <w:szCs w:val="13"/>
                <w:color w:val="auto"/>
              </w:rPr>
            </w:pPr>
          </w:p>
        </w:tc>
        <w:tc>
          <w:tcPr>
            <w:tcW w:w="3980" w:type="dxa"/>
            <w:vAlign w:val="bottom"/>
            <w:tcBorders>
              <w:bottom w:val="single" w:sz="8" w:color="auto"/>
            </w:tcBorders>
          </w:tcPr>
          <w:p>
            <w:pPr>
              <w:spacing w:after="0"/>
              <w:rPr>
                <w:sz w:val="13"/>
                <w:szCs w:val="13"/>
                <w:color w:val="auto"/>
              </w:rPr>
            </w:pPr>
          </w:p>
        </w:tc>
      </w:tr>
      <w:tr>
        <w:trPr>
          <w:trHeight w:val="145"/>
        </w:trPr>
        <w:tc>
          <w:tcPr>
            <w:tcW w:w="5560" w:type="dxa"/>
            <w:vAlign w:val="bottom"/>
            <w:tcBorders>
              <w:left w:val="single" w:sz="8" w:color="auto"/>
              <w:right w:val="single" w:sz="8" w:color="auto"/>
            </w:tcBorders>
            <w:gridSpan w:val="2"/>
          </w:tcPr>
          <w:p>
            <w:pPr>
              <w:jc w:val="center"/>
              <w:spacing w:after="0" w:line="145" w:lineRule="exact"/>
              <w:rPr>
                <w:sz w:val="20"/>
                <w:szCs w:val="20"/>
                <w:color w:val="auto"/>
              </w:rPr>
            </w:pPr>
            <w:r>
              <w:rPr>
                <w:rFonts w:ascii="Times New Roman" w:cs="Times New Roman" w:eastAsia="Times New Roman" w:hAnsi="Times New Roman"/>
                <w:sz w:val="14"/>
                <w:szCs w:val="14"/>
                <w:color w:val="auto"/>
              </w:rPr>
              <w:t>333 Clay Street, Suite 1600</w:t>
            </w:r>
          </w:p>
        </w:tc>
        <w:tc>
          <w:tcPr>
            <w:tcW w:w="1760" w:type="dxa"/>
            <w:vAlign w:val="bottom"/>
            <w:gridSpan w:val="2"/>
          </w:tcPr>
          <w:p>
            <w:pPr>
              <w:spacing w:after="0"/>
              <w:rPr>
                <w:sz w:val="12"/>
                <w:szCs w:val="12"/>
                <w:color w:val="auto"/>
              </w:rPr>
            </w:pPr>
          </w:p>
        </w:tc>
        <w:tc>
          <w:tcPr>
            <w:tcW w:w="3980" w:type="dxa"/>
            <w:vAlign w:val="bottom"/>
            <w:tcBorders>
              <w:right w:val="single" w:sz="8" w:color="auto"/>
            </w:tcBorders>
          </w:tcPr>
          <w:p>
            <w:pPr>
              <w:spacing w:after="0"/>
              <w:rPr>
                <w:sz w:val="12"/>
                <w:szCs w:val="12"/>
                <w:color w:val="auto"/>
              </w:rPr>
            </w:pPr>
          </w:p>
        </w:tc>
      </w:tr>
      <w:tr>
        <w:trPr>
          <w:trHeight w:val="184"/>
        </w:trPr>
        <w:tc>
          <w:tcPr>
            <w:tcW w:w="556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Houston, Texas</w:t>
            </w:r>
          </w:p>
        </w:tc>
        <w:tc>
          <w:tcPr>
            <w:tcW w:w="1760" w:type="dxa"/>
            <w:vAlign w:val="bottom"/>
            <w:tcBorders>
              <w:bottom w:val="single" w:sz="8" w:color="auto"/>
            </w:tcBorders>
            <w:gridSpan w:val="2"/>
          </w:tcPr>
          <w:p>
            <w:pPr>
              <w:spacing w:after="0"/>
              <w:rPr>
                <w:sz w:val="15"/>
                <w:szCs w:val="15"/>
                <w:color w:val="auto"/>
              </w:rPr>
            </w:pPr>
          </w:p>
        </w:tc>
        <w:tc>
          <w:tcPr>
            <w:tcW w:w="3980" w:type="dxa"/>
            <w:vAlign w:val="bottom"/>
            <w:tcBorders>
              <w:bottom w:val="single" w:sz="8" w:color="auto"/>
              <w:right w:val="single" w:sz="8" w:color="auto"/>
            </w:tcBorders>
          </w:tcPr>
          <w:p>
            <w:pPr>
              <w:jc w:val="right"/>
              <w:ind w:right="2649"/>
              <w:spacing w:after="0"/>
              <w:rPr>
                <w:sz w:val="20"/>
                <w:szCs w:val="20"/>
                <w:color w:val="auto"/>
              </w:rPr>
            </w:pPr>
            <w:r>
              <w:rPr>
                <w:rFonts w:ascii="Times New Roman" w:cs="Times New Roman" w:eastAsia="Times New Roman" w:hAnsi="Times New Roman"/>
                <w:sz w:val="14"/>
                <w:szCs w:val="14"/>
                <w:color w:val="auto"/>
              </w:rPr>
              <w:t>77002</w:t>
            </w:r>
          </w:p>
        </w:tc>
      </w:tr>
      <w:tr>
        <w:trPr>
          <w:trHeight w:val="160"/>
        </w:trPr>
        <w:tc>
          <w:tcPr>
            <w:tcW w:w="5560" w:type="dxa"/>
            <w:vAlign w:val="bottom"/>
            <w:tcBorders>
              <w:left w:val="single" w:sz="8" w:color="auto"/>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760" w:type="dxa"/>
            <w:vAlign w:val="bottom"/>
            <w:tcBorders>
              <w:bottom w:val="single" w:sz="8" w:color="auto"/>
            </w:tcBorders>
            <w:gridSpan w:val="2"/>
          </w:tcPr>
          <w:p>
            <w:pPr>
              <w:spacing w:after="0"/>
              <w:rPr>
                <w:sz w:val="13"/>
                <w:szCs w:val="13"/>
                <w:color w:val="auto"/>
              </w:rPr>
            </w:pPr>
          </w:p>
        </w:tc>
        <w:tc>
          <w:tcPr>
            <w:tcW w:w="3980" w:type="dxa"/>
            <w:vAlign w:val="bottom"/>
            <w:tcBorders>
              <w:bottom w:val="single" w:sz="8" w:color="auto"/>
              <w:right w:val="single" w:sz="8" w:color="auto"/>
            </w:tcBorders>
          </w:tcPr>
          <w:p>
            <w:pPr>
              <w:jc w:val="center"/>
              <w:ind w:right="1729"/>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Subordinated Debt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16216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716216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125730</wp:posOffset>
            </wp:positionV>
            <wp:extent cx="716216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716216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474980</wp:posOffset>
            </wp:positionV>
            <wp:extent cx="716216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115" w:right="319" w:bottom="1440" w:gutter="0" w:footer="0" w:header="0"/>
        </w:sectPr>
      </w:pPr>
    </w:p>
    <w:bookmarkStart w:id="87" w:name="page88"/>
    <w:bookmarkEnd w:id="87"/>
    <w:p>
      <w:pPr>
        <w:ind w:left="5320"/>
        <w:spacing w:after="0"/>
        <w:rPr>
          <w:sz w:val="20"/>
          <w:szCs w:val="20"/>
          <w:color w:val="auto"/>
        </w:rPr>
      </w:pPr>
      <w:r>
        <w:rPr>
          <w:rFonts w:ascii="Times New Roman" w:cs="Times New Roman" w:eastAsia="Times New Roman" w:hAnsi="Times New Roman"/>
          <w:sz w:val="14"/>
          <w:szCs w:val="14"/>
          <w:b w:val="1"/>
          <w:bCs w:val="1"/>
          <w:u w:val="single" w:color="auto"/>
          <w:color w:val="auto"/>
        </w:rPr>
        <w:t>FORM T-1</w:t>
      </w:r>
    </w:p>
    <w:p>
      <w:pPr>
        <w:spacing w:after="0" w:line="17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GENERAL INFORMATION</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Furnish the following information as to the Trustee.</w:t>
      </w:r>
    </w:p>
    <w:p>
      <w:pPr>
        <w:spacing w:after="0" w:line="178" w:lineRule="exact"/>
        <w:rPr>
          <w:sz w:val="20"/>
          <w:szCs w:val="20"/>
          <w:color w:val="auto"/>
        </w:rPr>
      </w:pPr>
    </w:p>
    <w:p>
      <w:pPr>
        <w:ind w:left="1520" w:right="4620" w:hanging="753"/>
        <w:spacing w:after="0" w:line="264" w:lineRule="auto"/>
        <w:tabs>
          <w:tab w:leader="none" w:pos="1012"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Name and address of each examining or supervising authority to which it is subject. </w:t>
      </w:r>
      <w:r>
        <w:rPr>
          <w:rFonts w:ascii="Times New Roman" w:cs="Times New Roman" w:eastAsia="Times New Roman" w:hAnsi="Times New Roman"/>
          <w:sz w:val="14"/>
          <w:szCs w:val="14"/>
          <w:color w:val="auto"/>
        </w:rPr>
        <w:t>Comptroller of the Currency</w:t>
      </w:r>
    </w:p>
    <w:p>
      <w:pPr>
        <w:spacing w:after="0" w:line="1" w:lineRule="exact"/>
        <w:rPr>
          <w:rFonts w:ascii="Times New Roman" w:cs="Times New Roman" w:eastAsia="Times New Roman" w:hAnsi="Times New Roman"/>
          <w:sz w:val="14"/>
          <w:szCs w:val="14"/>
          <w:color w:val="auto"/>
        </w:rPr>
      </w:pPr>
    </w:p>
    <w:p>
      <w:pPr>
        <w:ind w:left="1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Washington, D.C.</w:t>
      </w:r>
    </w:p>
    <w:p>
      <w:pPr>
        <w:spacing w:after="0" w:line="161" w:lineRule="exact"/>
        <w:rPr>
          <w:rFonts w:ascii="Times New Roman" w:cs="Times New Roman" w:eastAsia="Times New Roman" w:hAnsi="Times New Roman"/>
          <w:sz w:val="14"/>
          <w:szCs w:val="14"/>
          <w:color w:val="auto"/>
        </w:rPr>
      </w:pPr>
    </w:p>
    <w:p>
      <w:pPr>
        <w:ind w:left="1020" w:hanging="253"/>
        <w:spacing w:after="0"/>
        <w:tabs>
          <w:tab w:leader="none" w:pos="10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Whether it is authorized to exercise corporate trust powers.</w:t>
      </w:r>
    </w:p>
    <w:p>
      <w:pPr>
        <w:spacing w:after="0" w:line="2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Yes</w:t>
      </w:r>
    </w:p>
    <w:p>
      <w:pPr>
        <w:spacing w:after="0" w:line="16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2.  </w:t>
      </w:r>
      <w:r>
        <w:rPr>
          <w:sz w:val="20"/>
          <w:szCs w:val="20"/>
          <w:color w:val="auto"/>
        </w:rPr>
        <w:tab/>
      </w:r>
      <w:r>
        <w:rPr>
          <w:rFonts w:ascii="Times New Roman" w:cs="Times New Roman" w:eastAsia="Times New Roman" w:hAnsi="Times New Roman"/>
          <w:sz w:val="14"/>
          <w:szCs w:val="14"/>
          <w:b w:val="1"/>
          <w:bCs w:val="1"/>
          <w:color w:val="auto"/>
        </w:rPr>
        <w:t xml:space="preserve">AFFILIATIONS WITH THE OBLIGOR. </w:t>
      </w:r>
      <w:r>
        <w:rPr>
          <w:rFonts w:ascii="Times New Roman" w:cs="Times New Roman" w:eastAsia="Times New Roman" w:hAnsi="Times New Roman"/>
          <w:sz w:val="14"/>
          <w:szCs w:val="14"/>
          <w:i w:val="1"/>
          <w:iCs w:val="1"/>
          <w:color w:val="auto"/>
        </w:rPr>
        <w:t>If the obligor is an affiliate of the Trustee, describe each such affiliation.</w:t>
      </w:r>
    </w:p>
    <w:p>
      <w:pPr>
        <w:spacing w:after="0" w:line="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None</w:t>
      </w:r>
    </w:p>
    <w:p>
      <w:pPr>
        <w:spacing w:after="0" w:line="16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Items 3-15</w:t>
      </w:r>
      <w:r>
        <w:rPr>
          <w:sz w:val="20"/>
          <w:szCs w:val="20"/>
          <w:color w:val="auto"/>
        </w:rPr>
        <w:tab/>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Items 3-15 are not applicable because to the best of the Trustee's knowledge, the obligor is not in default under any Indenture for which the Trustee acts as Trustee.</w:t>
      </w:r>
    </w:p>
    <w:p>
      <w:pPr>
        <w:spacing w:after="0" w:line="17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4"/>
          <w:szCs w:val="14"/>
          <w:b w:val="1"/>
          <w:bCs w:val="1"/>
          <w:color w:val="auto"/>
        </w:rPr>
        <w:t xml:space="preserve">LIST OF EXHIBITS: </w:t>
      </w:r>
      <w:r>
        <w:rPr>
          <w:rFonts w:ascii="Times New Roman" w:cs="Times New Roman" w:eastAsia="Times New Roman" w:hAnsi="Times New Roman"/>
          <w:sz w:val="14"/>
          <w:szCs w:val="14"/>
          <w:i w:val="1"/>
          <w:iCs w:val="1"/>
          <w:color w:val="auto"/>
        </w:rPr>
        <w:t>List below all exhibits filed as a part of this statement of eligibility and qualification.</w:t>
      </w:r>
    </w:p>
    <w:p>
      <w:pPr>
        <w:spacing w:after="0" w:line="180" w:lineRule="exact"/>
        <w:rPr>
          <w:sz w:val="20"/>
          <w:szCs w:val="20"/>
          <w:color w:val="auto"/>
        </w:rPr>
      </w:pPr>
    </w:p>
    <w:p>
      <w:pPr>
        <w:ind w:left="1020" w:hanging="253"/>
        <w:spacing w:after="0"/>
        <w:tabs>
          <w:tab w:leader="none" w:pos="10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Articles of Association of the Trustee, attached as Exhibit 1.</w:t>
      </w:r>
    </w:p>
    <w:p>
      <w:pPr>
        <w:spacing w:after="0" w:line="177" w:lineRule="exact"/>
        <w:rPr>
          <w:rFonts w:ascii="Times New Roman" w:cs="Times New Roman" w:eastAsia="Times New Roman" w:hAnsi="Times New Roman"/>
          <w:sz w:val="14"/>
          <w:szCs w:val="14"/>
          <w:color w:val="auto"/>
        </w:rPr>
      </w:pPr>
    </w:p>
    <w:p>
      <w:pPr>
        <w:ind w:left="1020" w:hanging="253"/>
        <w:spacing w:after="0"/>
        <w:tabs>
          <w:tab w:leader="none" w:pos="10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Certificate of Corporate Existence and Fiduciary Powers of the Trustee, attached as Exhibit 2.</w:t>
      </w:r>
    </w:p>
    <w:p>
      <w:pPr>
        <w:spacing w:after="0" w:line="177" w:lineRule="exact"/>
        <w:rPr>
          <w:rFonts w:ascii="Times New Roman" w:cs="Times New Roman" w:eastAsia="Times New Roman" w:hAnsi="Times New Roman"/>
          <w:sz w:val="14"/>
          <w:szCs w:val="14"/>
          <w:color w:val="auto"/>
        </w:rPr>
      </w:pPr>
    </w:p>
    <w:p>
      <w:pPr>
        <w:ind w:left="1020" w:hanging="253"/>
        <w:spacing w:after="0"/>
        <w:tabs>
          <w:tab w:leader="none" w:pos="10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authorization of the Trustee to exercise corporate trust powers, included as Exhibit 2.</w:t>
      </w:r>
    </w:p>
    <w:p>
      <w:pPr>
        <w:spacing w:after="0" w:line="177" w:lineRule="exact"/>
        <w:rPr>
          <w:rFonts w:ascii="Times New Roman" w:cs="Times New Roman" w:eastAsia="Times New Roman" w:hAnsi="Times New Roman"/>
          <w:sz w:val="14"/>
          <w:szCs w:val="14"/>
          <w:color w:val="auto"/>
        </w:rPr>
      </w:pPr>
    </w:p>
    <w:p>
      <w:pPr>
        <w:ind w:left="1020" w:hanging="253"/>
        <w:spacing w:after="0"/>
        <w:tabs>
          <w:tab w:leader="none" w:pos="10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existing bylaws of the Trustee, attached as Exhibit 4.</w:t>
      </w:r>
    </w:p>
    <w:p>
      <w:pPr>
        <w:spacing w:after="0" w:line="177" w:lineRule="exact"/>
        <w:rPr>
          <w:rFonts w:ascii="Times New Roman" w:cs="Times New Roman" w:eastAsia="Times New Roman" w:hAnsi="Times New Roman"/>
          <w:sz w:val="14"/>
          <w:szCs w:val="14"/>
          <w:color w:val="auto"/>
        </w:rPr>
      </w:pPr>
    </w:p>
    <w:p>
      <w:pPr>
        <w:ind w:left="1020" w:hanging="253"/>
        <w:spacing w:after="0"/>
        <w:tabs>
          <w:tab w:leader="none" w:pos="10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each Indenture referred to in Item 4. Not applicable.</w:t>
      </w:r>
    </w:p>
    <w:p>
      <w:pPr>
        <w:spacing w:after="0" w:line="177" w:lineRule="exact"/>
        <w:rPr>
          <w:rFonts w:ascii="Times New Roman" w:cs="Times New Roman" w:eastAsia="Times New Roman" w:hAnsi="Times New Roman"/>
          <w:sz w:val="14"/>
          <w:szCs w:val="14"/>
          <w:color w:val="auto"/>
        </w:rPr>
      </w:pPr>
    </w:p>
    <w:p>
      <w:pPr>
        <w:ind w:left="1020" w:hanging="253"/>
        <w:spacing w:after="0"/>
        <w:tabs>
          <w:tab w:leader="none" w:pos="10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consent of the Trustee required by Section 321(b) of the Trust Indenture Act of 1939, attached as Exhibit 6.</w:t>
      </w:r>
    </w:p>
    <w:p>
      <w:pPr>
        <w:spacing w:after="0" w:line="177" w:lineRule="exact"/>
        <w:rPr>
          <w:rFonts w:ascii="Times New Roman" w:cs="Times New Roman" w:eastAsia="Times New Roman" w:hAnsi="Times New Roman"/>
          <w:sz w:val="14"/>
          <w:szCs w:val="14"/>
          <w:color w:val="auto"/>
        </w:rPr>
      </w:pPr>
    </w:p>
    <w:p>
      <w:pPr>
        <w:ind w:left="1020" w:hanging="253"/>
        <w:spacing w:after="0"/>
        <w:tabs>
          <w:tab w:leader="none" w:pos="10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 of Condition of the Trustee as of June 30, 2024, published pursuant to law or the requirements of its supervising or examining authority, attached as 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351155</wp:posOffset>
            </wp:positionV>
            <wp:extent cx="716216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0380"/>
          </w:cols>
          <w:pgMar w:left="300" w:top="737" w:right="121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80" w:lineRule="exact"/>
        <w:rPr>
          <w:sz w:val="20"/>
          <w:szCs w:val="20"/>
          <w:color w:val="auto"/>
        </w:rPr>
      </w:pPr>
    </w:p>
    <w:p>
      <w:pPr>
        <w:ind w:firstLine="508"/>
        <w:spacing w:after="0" w:line="263" w:lineRule="auto"/>
        <w:rPr>
          <w:sz w:val="20"/>
          <w:szCs w:val="20"/>
          <w:color w:val="auto"/>
        </w:rPr>
      </w:pPr>
      <w:r>
        <w:rPr>
          <w:rFonts w:ascii="Times New Roman" w:cs="Times New Roman" w:eastAsia="Times New Roman" w:hAnsi="Times New Roman"/>
          <w:sz w:val="14"/>
          <w:szCs w:val="14"/>
          <w:color w:val="auto"/>
        </w:rPr>
        <w:t>Pursuant to the requirements of the Trust Indenture Act of 1939, as amended, the Trustee, U.S. BANK TRUST COMPANY, NATIONAL ASSOCIATION, a national banking association organized and existing under the laws of the United States of America, has duly caused this statement of eligibility and qualification to be signed on its behalf by the undersigned, thereunto duly</w:t>
      </w:r>
    </w:p>
    <w:p>
      <w:pPr>
        <w:sectPr>
          <w:pgSz w:w="11900" w:h="16838" w:orient="portrait"/>
          <w:cols w:equalWidth="0" w:num="1">
            <w:col w:w="11280"/>
          </w:cols>
          <w:pgMar w:left="300" w:top="737" w:right="319"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authorized, all in the City of Dallas, State of Texas on the 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4"/>
          <w:szCs w:val="14"/>
          <w:color w:val="auto"/>
        </w:rPr>
        <w:t xml:space="preserve"> of August, 2024.</w:t>
      </w:r>
    </w:p>
    <w:p>
      <w:pPr>
        <w:spacing w:after="0" w:line="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572770</wp:posOffset>
            </wp:positionV>
            <wp:extent cx="716216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Michael K. Herberger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Michael K. Herberger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336232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336232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Vice President</w:t>
      </w:r>
    </w:p>
    <w:p>
      <w:pPr>
        <w:sectPr>
          <w:pgSz w:w="11900" w:h="16838" w:orient="portrait"/>
          <w:cols w:equalWidth="0" w:num="2">
            <w:col w:w="5860" w:space="120"/>
            <w:col w:w="5300"/>
          </w:cols>
          <w:pgMar w:left="300" w:top="737" w:right="319" w:bottom="1440" w:gutter="0" w:footer="0" w:header="0"/>
          <w:type w:val="continuous"/>
        </w:sectPr>
      </w:pPr>
    </w:p>
    <w:bookmarkStart w:id="89" w:name="page90"/>
    <w:bookmarkEnd w:id="89"/>
    <w:p>
      <w:pPr>
        <w:jc w:val="center"/>
        <w:ind w:right="40"/>
        <w:spacing w:after="0"/>
        <w:rPr>
          <w:sz w:val="20"/>
          <w:szCs w:val="20"/>
          <w:color w:val="auto"/>
        </w:rPr>
      </w:pPr>
      <w:r>
        <w:rPr>
          <w:rFonts w:ascii="Times New Roman" w:cs="Times New Roman" w:eastAsia="Times New Roman" w:hAnsi="Times New Roman"/>
          <w:sz w:val="14"/>
          <w:szCs w:val="14"/>
          <w:b w:val="1"/>
          <w:bCs w:val="1"/>
          <w:u w:val="single" w:color="auto"/>
          <w:color w:val="auto"/>
        </w:rPr>
        <w:t>Exhibit 1</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ARTICLES OF ASSOCIATION</w:t>
      </w:r>
    </w:p>
    <w:p>
      <w:pPr>
        <w:spacing w:after="0" w:line="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 S. BANK TRUST COMPANY, NATIONAL ASSOCIATION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purpose of organizing an association (the “Association”) to perform any lawful activities of national banks, the undersigned enter into the following Articles of Association: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FIRST. </w:t>
      </w:r>
      <w:r>
        <w:rPr>
          <w:rFonts w:ascii="Times New Roman" w:cs="Times New Roman" w:eastAsia="Times New Roman" w:hAnsi="Times New Roman"/>
          <w:sz w:val="14"/>
          <w:szCs w:val="14"/>
          <w:color w:val="auto"/>
        </w:rPr>
        <w:t>The title of this Association shall be U. S. Bank Trust Company, National Association.</w:t>
      </w:r>
    </w:p>
    <w:p>
      <w:pPr>
        <w:spacing w:after="0" w:line="17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SECOND. </w:t>
      </w:r>
      <w:r>
        <w:rPr>
          <w:rFonts w:ascii="Times New Roman" w:cs="Times New Roman" w:eastAsia="Times New Roman" w:hAnsi="Times New Roman"/>
          <w:sz w:val="14"/>
          <w:szCs w:val="14"/>
          <w:color w:val="auto"/>
        </w:rPr>
        <w:t>The main office of the Association shall be in the city of Portland, county of Multnomah, state of Oregon. The business of the Association will be limited to fiduciary powers and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support of activities incidental to the exercise of those powers. The Association may not expand or alter its business beyond that stated in this article without the prior approval of the Comptroller of the Currency.</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b w:val="1"/>
          <w:bCs w:val="1"/>
          <w:color w:val="auto"/>
        </w:rPr>
        <w:t xml:space="preserve">THIRD. </w:t>
      </w:r>
      <w:r>
        <w:rPr>
          <w:rFonts w:ascii="Times New Roman" w:cs="Times New Roman" w:eastAsia="Times New Roman" w:hAnsi="Times New Roman"/>
          <w:sz w:val="14"/>
          <w:szCs w:val="14"/>
          <w:color w:val="auto"/>
        </w:rPr>
        <w:t>The board of directors of the Association shall consist of not less than five nor more than twenty-five persons, the exact number to be fixed and determined from time to time by resolution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 (iii) the date of that person's most recent election to the board of directors, whichever is more recent. Any combination of common or preferred stock of the Association or holding company may be used.</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spacing w:after="0" w:line="14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b w:val="1"/>
          <w:bCs w:val="1"/>
          <w:color w:val="auto"/>
        </w:rPr>
        <w:t xml:space="preserve">FOURTH. </w:t>
      </w:r>
      <w:r>
        <w:rPr>
          <w:rFonts w:ascii="Times New Roman" w:cs="Times New Roman" w:eastAsia="Times New Roman" w:hAnsi="Times New Roman"/>
          <w:sz w:val="14"/>
          <w:szCs w:val="14"/>
          <w:color w:val="auto"/>
        </w:rPr>
        <w:t>There shall be an annual meeting of the shareholders to elect directors and transact whatever other business may be brought before the meeting. It shall be held at the main office or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other convenient place the board of directors may designate, on the day of each year specified therefor in the Bylaws, or if that day falls on a legal holiday in the state in which the 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7" w:right="319" w:bottom="1440" w:gutter="0" w:footer="0" w:header="0"/>
        </w:sectPr>
      </w:pPr>
    </w:p>
    <w:bookmarkStart w:id="90" w:name="page91"/>
    <w:bookmarkEnd w:id="90"/>
    <w:p>
      <w:pPr>
        <w:jc w:val="both"/>
        <w:spacing w:after="0" w:line="269" w:lineRule="auto"/>
        <w:rPr>
          <w:sz w:val="20"/>
          <w:szCs w:val="20"/>
          <w:color w:val="auto"/>
        </w:rPr>
      </w:pPr>
      <w:r>
        <w:rPr>
          <w:rFonts w:ascii="Times New Roman" w:cs="Times New Roman" w:eastAsia="Times New Roman" w:hAnsi="Times New Roman"/>
          <w:sz w:val="14"/>
          <w:szCs w:val="14"/>
          <w:color w:val="auto"/>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A director may resign at any time by delivering written notice to the board of directors, its chairperson, or to the Association, which resignation shall be effective when the notice is delivered unless the notice specifies a later effective date.</w:t>
      </w:r>
    </w:p>
    <w:p>
      <w:pPr>
        <w:spacing w:after="0" w:line="12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w:t>
      </w:r>
    </w:p>
    <w:p>
      <w:pPr>
        <w:spacing w:after="0" w:line="13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b w:val="1"/>
          <w:bCs w:val="1"/>
          <w:color w:val="auto"/>
        </w:rPr>
        <w:t xml:space="preserve">FIFTH. </w:t>
      </w:r>
      <w:r>
        <w:rPr>
          <w:rFonts w:ascii="Times New Roman" w:cs="Times New Roman" w:eastAsia="Times New Roman" w:hAnsi="Times New Roman"/>
          <w:sz w:val="14"/>
          <w:szCs w:val="14"/>
          <w:color w:val="auto"/>
        </w:rPr>
        <w:t>The authorized amount of capital stock of the Association shall be 1,000,000 shares of common stock of the par value of ten dollars ($10) each; but said capital stock may be increased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decreased from time to time, according to the provisions of the laws of the United States. The Association shall have only one class of capital stock.</w:t>
      </w:r>
    </w:p>
    <w:p>
      <w:pPr>
        <w:spacing w:after="0" w:line="12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Transfers of the Association's stock are subject to the prior written approval of a federal depository institution regulatory agency. If no other agency approval is required, the approval of the Comptroller of the Currency must be obtained prior to any such transfers.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color w:val="auto"/>
        </w:rPr>
        <w:t>Unless otherwise specified in the Articles of Association or required by law, all shares of voting stock shall be voted together as a class, on any matters requiring shareholder approval.</w:t>
      </w:r>
    </w:p>
    <w:p>
      <w:pPr>
        <w:spacing w:after="0" w:line="1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spacing w:after="0" w:line="12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spacing w:after="0" w:line="1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SIXTH. </w:t>
      </w:r>
      <w:r>
        <w:rPr>
          <w:rFonts w:ascii="Times New Roman" w:cs="Times New Roman" w:eastAsia="Times New Roman" w:hAnsi="Times New Roman"/>
          <w:sz w:val="14"/>
          <w:szCs w:val="14"/>
          <w:color w:val="auto"/>
        </w:rPr>
        <w:t>The board of directors shall appoint one of its members president of this Association and one of its members chairperson of the board and shall have the power to appoint one or more vice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board of directors shall have the power to:</w:t>
      </w:r>
    </w:p>
    <w:p>
      <w:pPr>
        <w:spacing w:after="0" w:line="178" w:lineRule="exact"/>
        <w:rPr>
          <w:sz w:val="20"/>
          <w:szCs w:val="20"/>
          <w:color w:val="auto"/>
        </w:rPr>
      </w:pPr>
    </w:p>
    <w:p>
      <w:pPr>
        <w:ind w:left="520" w:hanging="515"/>
        <w:spacing w:after="0"/>
        <w:tabs>
          <w:tab w:leader="none" w:pos="5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 the duties of the officers, employees, and agents of the Association.</w:t>
      </w:r>
    </w:p>
    <w:p>
      <w:pPr>
        <w:spacing w:after="0" w:line="177"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Delegate the performance of its duties, but not the responsibility for its duties, to the officers, employees, and agents of the Association.</w:t>
      </w:r>
    </w:p>
    <w:p>
      <w:pPr>
        <w:spacing w:after="0" w:line="177"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 the compensation and enter employment contracts with its officers and employees upon reasonable terms and conditions consistent with applicable law.</w:t>
      </w:r>
    </w:p>
    <w:p>
      <w:pPr>
        <w:spacing w:after="0" w:line="177"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Dismiss officers and employees.</w:t>
      </w:r>
    </w:p>
    <w:p>
      <w:pPr>
        <w:spacing w:after="0" w:line="177"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bonds from officers and employees and to fix the penalty thereof.</w:t>
      </w:r>
    </w:p>
    <w:p>
      <w:pPr>
        <w:spacing w:after="0" w:line="177"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Ratify written policies authorized by the Association's management or committees of the board.</w:t>
      </w:r>
    </w:p>
    <w:p>
      <w:pPr>
        <w:spacing w:after="0" w:line="177" w:lineRule="exact"/>
        <w:rPr>
          <w:rFonts w:ascii="Times New Roman" w:cs="Times New Roman" w:eastAsia="Times New Roman" w:hAnsi="Times New Roman"/>
          <w:sz w:val="14"/>
          <w:szCs w:val="14"/>
          <w:color w:val="auto"/>
        </w:rPr>
      </w:pPr>
    </w:p>
    <w:p>
      <w:pPr>
        <w:ind w:left="520" w:hanging="515"/>
        <w:spacing w:after="0" w:line="286" w:lineRule="auto"/>
        <w:tabs>
          <w:tab w:leader="none" w:pos="5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p>
      <w:pPr>
        <w:spacing w:after="0" w:line="294" w:lineRule="exact"/>
        <w:rPr>
          <w:rFonts w:ascii="Times New Roman" w:cs="Times New Roman" w:eastAsia="Times New Roman" w:hAnsi="Times New Roman"/>
          <w:sz w:val="14"/>
          <w:szCs w:val="14"/>
          <w:color w:val="auto"/>
        </w:rPr>
      </w:pPr>
    </w:p>
    <w:p>
      <w:pPr>
        <w:ind w:left="5600" w:hanging="74"/>
        <w:spacing w:after="0"/>
        <w:tabs>
          <w:tab w:leader="none" w:pos="5600"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92" w:name="page93"/>
    <w:bookmarkEnd w:id="92"/>
    <w:p>
      <w:pPr>
        <w:ind w:left="520" w:hanging="515"/>
        <w:spacing w:after="0"/>
        <w:tabs>
          <w:tab w:leader="none" w:pos="5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 and administer the business and affairs of the Association.</w:t>
      </w:r>
    </w:p>
    <w:p>
      <w:pPr>
        <w:spacing w:after="0" w:line="177"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initial Bylaws, not inconsistent with law or the Articles of Association, for managing the business and regulating the affairs of the Association.</w:t>
      </w:r>
    </w:p>
    <w:p>
      <w:pPr>
        <w:spacing w:after="0" w:line="177"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or repeal Bylaws, except to the extent that the Articles of Association reserve this power in whole or in part to the shareholders.</w:t>
      </w:r>
    </w:p>
    <w:p>
      <w:pPr>
        <w:spacing w:after="0" w:line="177"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contracts.</w:t>
      </w:r>
    </w:p>
    <w:p>
      <w:pPr>
        <w:spacing w:after="0" w:line="177"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perform all acts that are legal for a board of directors to perform.</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b w:val="1"/>
          <w:bCs w:val="1"/>
          <w:color w:val="auto"/>
        </w:rPr>
        <w:t xml:space="preserve">SEVENTH. </w:t>
      </w:r>
      <w:r>
        <w:rPr>
          <w:rFonts w:ascii="Times New Roman" w:cs="Times New Roman" w:eastAsia="Times New Roman" w:hAnsi="Times New Roman"/>
          <w:sz w:val="14"/>
          <w:szCs w:val="14"/>
          <w:color w:val="auto"/>
        </w:rPr>
        <w:t>The board of directors shall have the power to change the location of the main office to any authorized branch within the limits of the city of Portland, Oregon, without the approval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EIGHTH. </w:t>
      </w:r>
      <w:r>
        <w:rPr>
          <w:rFonts w:ascii="Times New Roman" w:cs="Times New Roman" w:eastAsia="Times New Roman" w:hAnsi="Times New Roman"/>
          <w:sz w:val="14"/>
          <w:szCs w:val="14"/>
          <w:color w:val="auto"/>
        </w:rPr>
        <w:t>The corporate existence of this Association shall continue until termination according to the laws of the United States.</w:t>
      </w:r>
    </w:p>
    <w:p>
      <w:pPr>
        <w:spacing w:after="0" w:line="1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NINTH. </w:t>
      </w:r>
      <w:r>
        <w:rPr>
          <w:rFonts w:ascii="Times New Roman" w:cs="Times New Roman" w:eastAsia="Times New Roman" w:hAnsi="Times New Roman"/>
          <w:sz w:val="14"/>
          <w:szCs w:val="14"/>
          <w:color w:val="auto"/>
        </w:rPr>
        <w:t>The board of directors of the Association, or any shareholder owning, in the aggregate, not less than 25 percent of the stock of the Association, may call a special meeting of shareholders 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spacing w:after="0" w:line="1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TENTH. </w:t>
      </w:r>
      <w:r>
        <w:rPr>
          <w:rFonts w:ascii="Times New Roman" w:cs="Times New Roman" w:eastAsia="Times New Roman" w:hAnsi="Times New Roman"/>
          <w:sz w:val="14"/>
          <w:szCs w:val="14"/>
          <w:color w:val="auto"/>
        </w:rPr>
        <w:t>These Articles of Association may be amended at any regular or special meeting of the shareholders by the affirmative vote of the holders of a majority of the stock of the Association,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color w:val="auto"/>
        </w:rPr>
        <w:t xml:space="preserve">In witness whereof, we have hereunto set our hands this </w:t>
      </w:r>
      <w:r>
        <w:rPr>
          <w:rFonts w:ascii="Times New Roman" w:cs="Times New Roman" w:eastAsia="Times New Roman" w:hAnsi="Times New Roman"/>
          <w:sz w:val="14"/>
          <w:szCs w:val="14"/>
          <w:u w:val="single" w:color="auto"/>
          <w:color w:val="auto"/>
        </w:rPr>
        <w:t>11</w:t>
      </w:r>
      <w:r>
        <w:rPr>
          <w:rFonts w:ascii="Times New Roman" w:cs="Times New Roman" w:eastAsia="Times New Roman" w:hAnsi="Times New Roman"/>
          <w:sz w:val="23"/>
          <w:szCs w:val="23"/>
          <w:u w:val="single" w:color="auto"/>
          <w:color w:val="auto"/>
          <w:vertAlign w:val="superscript"/>
        </w:rPr>
        <w:t>th</w:t>
      </w:r>
      <w:r>
        <w:rPr>
          <w:rFonts w:ascii="Times New Roman" w:cs="Times New Roman" w:eastAsia="Times New Roman" w:hAnsi="Times New Roman"/>
          <w:sz w:val="14"/>
          <w:szCs w:val="14"/>
          <w:color w:val="auto"/>
        </w:rPr>
        <w:t xml:space="preserve"> of June,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2266950</wp:posOffset>
            </wp:positionV>
            <wp:extent cx="716216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extLst>
                        <a:ext uri="{28A0092B-C50C-407E-A947-70E740481C1C}"/>
                      </a:extLst>
                    </a:blip>
                    <a:srcRect/>
                    <a:stretch>
                      <a:fillRect/>
                    </a:stretch>
                  </pic:blipFill>
                  <pic:spPr bwMode="auto">
                    <a:xfrm>
                      <a:off x="0" y="0"/>
                      <a:ext cx="716216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74295</wp:posOffset>
            </wp:positionV>
            <wp:extent cx="1466215" cy="18561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extLst>
                    </a:blip>
                    <a:srcRect/>
                    <a:stretch>
                      <a:fillRect/>
                    </a:stretch>
                  </pic:blipFill>
                  <pic:spPr bwMode="auto">
                    <a:xfrm>
                      <a:off x="0" y="0"/>
                      <a:ext cx="1466215" cy="1856105"/>
                    </a:xfrm>
                    <a:prstGeom prst="rect">
                      <a:avLst/>
                    </a:prstGeom>
                    <a:noFill/>
                  </pic:spPr>
                </pic:pic>
              </a:graphicData>
            </a:graphic>
          </wp:anchor>
        </w:drawing>
      </w:r>
    </w:p>
    <w:p>
      <w:pPr>
        <w:sectPr>
          <w:pgSz w:w="11900" w:h="16838" w:orient="portrait"/>
          <w:cols w:equalWidth="0" w:num="1">
            <w:col w:w="10159"/>
          </w:cols>
          <w:pgMar w:left="300" w:top="743" w:right="1440"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123825</wp:posOffset>
            </wp:positionV>
            <wp:extent cx="7162165" cy="4868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7162165" cy="4868545"/>
                    </a:xfrm>
                    <a:prstGeom prst="rect">
                      <a:avLst/>
                    </a:prstGeom>
                    <a:noFill/>
                  </pic:spPr>
                </pic:pic>
              </a:graphicData>
            </a:graphic>
          </wp:anchor>
        </w:drawing>
      </w:r>
    </w:p>
    <w:p>
      <w:pPr>
        <w:sectPr>
          <w:pgSz w:w="11900" w:h="16838" w:orient="portrait"/>
          <w:cols w:equalWidth="0" w:num="1">
            <w:col w:w="9019"/>
          </w:cols>
          <w:pgMar w:left="1440" w:top="737" w:right="1440"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4</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 BANK TRUST COMPANY, NATIONAL ASSOCIATION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AMENDED AND RESTATED BYLAWS</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u w:val="single" w:color="auto"/>
          <w:color w:val="auto"/>
        </w:rPr>
        <w:t>ARTICLE 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Meetings of Shareholders</w:t>
      </w:r>
    </w:p>
    <w:p>
      <w:pPr>
        <w:spacing w:after="0" w:line="164" w:lineRule="exact"/>
        <w:rPr>
          <w:sz w:val="20"/>
          <w:szCs w:val="20"/>
          <w:color w:val="auto"/>
        </w:rPr>
      </w:pPr>
    </w:p>
    <w:p>
      <w:pPr>
        <w:jc w:val="both"/>
        <w:ind w:firstLine="508"/>
        <w:spacing w:after="0" w:line="259" w:lineRule="auto"/>
        <w:rPr>
          <w:sz w:val="20"/>
          <w:szCs w:val="20"/>
          <w:color w:val="auto"/>
        </w:rPr>
      </w:pPr>
      <w:r>
        <w:rPr>
          <w:rFonts w:ascii="Times New Roman" w:cs="Times New Roman" w:eastAsia="Times New Roman" w:hAnsi="Times New Roman"/>
          <w:sz w:val="14"/>
          <w:szCs w:val="14"/>
          <w:color w:val="auto"/>
        </w:rPr>
        <w:t xml:space="preserve">Section 1.1. </w:t>
      </w:r>
      <w:r>
        <w:rPr>
          <w:rFonts w:ascii="Times New Roman" w:cs="Times New Roman" w:eastAsia="Times New Roman" w:hAnsi="Times New Roman"/>
          <w:sz w:val="14"/>
          <w:szCs w:val="14"/>
          <w:u w:val="single" w:color="auto"/>
          <w:color w:val="auto"/>
        </w:rPr>
        <w:t>Annual Meeting</w:t>
      </w:r>
      <w:r>
        <w:rPr>
          <w:rFonts w:ascii="Times New Roman" w:cs="Times New Roman" w:eastAsia="Times New Roman" w:hAnsi="Times New Roman"/>
          <w:sz w:val="14"/>
          <w:szCs w:val="14"/>
          <w:color w:val="auto"/>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spacing w:after="0" w:line="144"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1.2. </w:t>
      </w:r>
      <w:r>
        <w:rPr>
          <w:rFonts w:ascii="Times New Roman" w:cs="Times New Roman" w:eastAsia="Times New Roman" w:hAnsi="Times New Roman"/>
          <w:sz w:val="14"/>
          <w:szCs w:val="14"/>
          <w:u w:val="single" w:color="auto"/>
          <w:color w:val="auto"/>
        </w:rPr>
        <w:t>Special Meetings</w:t>
      </w:r>
      <w:r>
        <w:rPr>
          <w:rFonts w:ascii="Times New Roman" w:cs="Times New Roman" w:eastAsia="Times New Roman" w:hAnsi="Times New Roman"/>
          <w:sz w:val="14"/>
          <w:szCs w:val="14"/>
          <w:color w:val="auto"/>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Every such special meeting, unless otherwise provided by law, shall be called upon not less than ten (10) days nor more than sixty (60) days prior notice stating the purpose of the meeting.</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1.3. </w:t>
      </w:r>
      <w:r>
        <w:rPr>
          <w:rFonts w:ascii="Times New Roman" w:cs="Times New Roman" w:eastAsia="Times New Roman" w:hAnsi="Times New Roman"/>
          <w:sz w:val="14"/>
          <w:szCs w:val="14"/>
          <w:u w:val="single" w:color="auto"/>
          <w:color w:val="auto"/>
        </w:rPr>
        <w:t>Nominations for Directors</w:t>
      </w:r>
      <w:r>
        <w:rPr>
          <w:rFonts w:ascii="Times New Roman" w:cs="Times New Roman" w:eastAsia="Times New Roman" w:hAnsi="Times New Roman"/>
          <w:sz w:val="14"/>
          <w:szCs w:val="14"/>
          <w:color w:val="auto"/>
        </w:rPr>
        <w:t>. Nominations for election to the Board may be made by the Board or by any shareholder.</w:t>
      </w:r>
    </w:p>
    <w:p>
      <w:pPr>
        <w:spacing w:after="0" w:line="178"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1.4. </w:t>
      </w:r>
      <w:r>
        <w:rPr>
          <w:rFonts w:ascii="Times New Roman" w:cs="Times New Roman" w:eastAsia="Times New Roman" w:hAnsi="Times New Roman"/>
          <w:sz w:val="14"/>
          <w:szCs w:val="14"/>
          <w:u w:val="single" w:color="auto"/>
          <w:color w:val="auto"/>
        </w:rPr>
        <w:t>Proxies</w:t>
      </w:r>
      <w:r>
        <w:rPr>
          <w:rFonts w:ascii="Times New Roman" w:cs="Times New Roman" w:eastAsia="Times New Roman" w:hAnsi="Times New Roman"/>
          <w:sz w:val="14"/>
          <w:szCs w:val="14"/>
          <w:color w:val="auto"/>
        </w:rPr>
        <w:t>. Shareholders may vote at any meeting of the shareholders by proxies duly authorized in writing. Proxies shall be valid only for one meeting and any adjournments of such meeting and shall be filed with the records of the meeting.</w:t>
      </w:r>
    </w:p>
    <w:p>
      <w:pPr>
        <w:spacing w:after="0" w:line="125"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1.5. </w:t>
      </w:r>
      <w:r>
        <w:rPr>
          <w:rFonts w:ascii="Times New Roman" w:cs="Times New Roman" w:eastAsia="Times New Roman" w:hAnsi="Times New Roman"/>
          <w:sz w:val="14"/>
          <w:szCs w:val="14"/>
          <w:u w:val="single" w:color="auto"/>
          <w:color w:val="auto"/>
        </w:rPr>
        <w:t>Record Date</w:t>
      </w:r>
      <w:r>
        <w:rPr>
          <w:rFonts w:ascii="Times New Roman" w:cs="Times New Roman" w:eastAsia="Times New Roman" w:hAnsi="Times New Roman"/>
          <w:sz w:val="14"/>
          <w:szCs w:val="14"/>
          <w:color w:val="auto"/>
        </w:rPr>
        <w:t>. The record date for determining shareholders entitled to notice and to vote at any meeting will be thirty days before the date of such meeting, unless otherwise determined by the Board.</w:t>
      </w:r>
    </w:p>
    <w:p>
      <w:pPr>
        <w:spacing w:after="0" w:line="125" w:lineRule="exact"/>
        <w:rPr>
          <w:sz w:val="20"/>
          <w:szCs w:val="20"/>
          <w:color w:val="auto"/>
        </w:rPr>
      </w:pPr>
    </w:p>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 xml:space="preserve">Section 1.6. </w:t>
      </w:r>
      <w:r>
        <w:rPr>
          <w:rFonts w:ascii="Times New Roman" w:cs="Times New Roman" w:eastAsia="Times New Roman" w:hAnsi="Times New Roman"/>
          <w:sz w:val="14"/>
          <w:szCs w:val="14"/>
          <w:u w:val="single" w:color="auto"/>
          <w:color w:val="auto"/>
        </w:rPr>
        <w:t>Quorum and Voting</w:t>
      </w:r>
      <w:r>
        <w:rPr>
          <w:rFonts w:ascii="Times New Roman" w:cs="Times New Roman" w:eastAsia="Times New Roman" w:hAnsi="Times New Roman"/>
          <w:sz w:val="14"/>
          <w:szCs w:val="14"/>
          <w:color w:val="auto"/>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324485</wp:posOffset>
            </wp:positionV>
            <wp:extent cx="716216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7" w:right="319" w:bottom="1440" w:gutter="0" w:footer="0" w:header="0"/>
        </w:sectPr>
      </w:pPr>
    </w:p>
    <w:bookmarkStart w:id="96" w:name="page97"/>
    <w:bookmarkEnd w:id="96"/>
    <w:p>
      <w:pPr>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1.7. </w:t>
      </w:r>
      <w:r>
        <w:rPr>
          <w:rFonts w:ascii="Times New Roman" w:cs="Times New Roman" w:eastAsia="Times New Roman" w:hAnsi="Times New Roman"/>
          <w:sz w:val="14"/>
          <w:szCs w:val="14"/>
          <w:u w:val="single" w:color="auto"/>
          <w:color w:val="auto"/>
        </w:rPr>
        <w:t>Inspectors</w:t>
      </w:r>
      <w:r>
        <w:rPr>
          <w:rFonts w:ascii="Times New Roman" w:cs="Times New Roman" w:eastAsia="Times New Roman" w:hAnsi="Times New Roman"/>
          <w:sz w:val="14"/>
          <w:szCs w:val="14"/>
          <w:color w:val="auto"/>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1.8. </w:t>
      </w:r>
      <w:r>
        <w:rPr>
          <w:rFonts w:ascii="Times New Roman" w:cs="Times New Roman" w:eastAsia="Times New Roman" w:hAnsi="Times New Roman"/>
          <w:sz w:val="14"/>
          <w:szCs w:val="14"/>
          <w:u w:val="single" w:color="auto"/>
          <w:color w:val="auto"/>
        </w:rPr>
        <w:t>Waiver and Consent</w:t>
      </w:r>
      <w:r>
        <w:rPr>
          <w:rFonts w:ascii="Times New Roman" w:cs="Times New Roman" w:eastAsia="Times New Roman" w:hAnsi="Times New Roman"/>
          <w:sz w:val="14"/>
          <w:szCs w:val="14"/>
          <w:color w:val="auto"/>
        </w:rPr>
        <w:t>. The shareholders may act without notice or a meeting by a unanimous written consent by all shareholders.</w:t>
      </w:r>
    </w:p>
    <w:p>
      <w:pPr>
        <w:spacing w:after="0" w:line="178" w:lineRule="exact"/>
        <w:rPr>
          <w:sz w:val="20"/>
          <w:szCs w:val="20"/>
          <w:color w:val="auto"/>
        </w:rPr>
      </w:pPr>
    </w:p>
    <w:p>
      <w:pPr>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1.9. </w:t>
      </w:r>
      <w:r>
        <w:rPr>
          <w:rFonts w:ascii="Times New Roman" w:cs="Times New Roman" w:eastAsia="Times New Roman" w:hAnsi="Times New Roman"/>
          <w:sz w:val="14"/>
          <w:szCs w:val="14"/>
          <w:u w:val="single" w:color="auto"/>
          <w:color w:val="auto"/>
        </w:rPr>
        <w:t>Remote Meetings</w:t>
      </w:r>
      <w:r>
        <w:rPr>
          <w:rFonts w:ascii="Times New Roman" w:cs="Times New Roman" w:eastAsia="Times New Roman" w:hAnsi="Times New Roman"/>
          <w:sz w:val="14"/>
          <w:szCs w:val="14"/>
          <w:color w:val="auto"/>
        </w:rPr>
        <w:t>. The Board shall have the right to determine that a shareholder meeting not be held at a place, but instead be held solely by means of remote communication in the manner and to the extent permitted by the General Corporation Law of the State of Delaware.</w:t>
      </w:r>
    </w:p>
    <w:p>
      <w:pPr>
        <w:spacing w:after="0" w:line="12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u w:val="single" w:color="auto"/>
          <w:color w:val="auto"/>
        </w:rPr>
        <w:t>ARTICLE II</w:t>
      </w:r>
    </w:p>
    <w:p>
      <w:pPr>
        <w:spacing w:after="0" w:line="2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u w:val="single" w:color="auto"/>
          <w:color w:val="auto"/>
        </w:rPr>
        <w:t>Directors</w:t>
      </w:r>
    </w:p>
    <w:p>
      <w:pPr>
        <w:spacing w:after="0" w:line="164" w:lineRule="exact"/>
        <w:rPr>
          <w:sz w:val="20"/>
          <w:szCs w:val="20"/>
          <w:color w:val="auto"/>
        </w:rPr>
      </w:pPr>
    </w:p>
    <w:p>
      <w:pPr>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2.1. </w:t>
      </w:r>
      <w:r>
        <w:rPr>
          <w:rFonts w:ascii="Times New Roman" w:cs="Times New Roman" w:eastAsia="Times New Roman" w:hAnsi="Times New Roman"/>
          <w:sz w:val="14"/>
          <w:szCs w:val="14"/>
          <w:u w:val="single" w:color="auto"/>
          <w:color w:val="auto"/>
        </w:rPr>
        <w:t>Board of Directors</w:t>
      </w:r>
      <w:r>
        <w:rPr>
          <w:rFonts w:ascii="Times New Roman" w:cs="Times New Roman" w:eastAsia="Times New Roman" w:hAnsi="Times New Roman"/>
          <w:sz w:val="14"/>
          <w:szCs w:val="14"/>
          <w:color w:val="auto"/>
        </w:rPr>
        <w:t>. The Board shall have the power to manage and administer the business and affairs of the Association. Except as expressly limited by law, all corporate powers of the Association shall be vested in and may be exercised by the Board.</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2.2. </w:t>
      </w:r>
      <w:r>
        <w:rPr>
          <w:rFonts w:ascii="Times New Roman" w:cs="Times New Roman" w:eastAsia="Times New Roman" w:hAnsi="Times New Roman"/>
          <w:sz w:val="14"/>
          <w:szCs w:val="14"/>
          <w:u w:val="single" w:color="auto"/>
          <w:color w:val="auto"/>
        </w:rPr>
        <w:t>Term of Office</w:t>
      </w:r>
      <w:r>
        <w:rPr>
          <w:rFonts w:ascii="Times New Roman" w:cs="Times New Roman" w:eastAsia="Times New Roman" w:hAnsi="Times New Roman"/>
          <w:sz w:val="14"/>
          <w:szCs w:val="14"/>
          <w:color w:val="auto"/>
        </w:rPr>
        <w:t>. The directors of this Association shall hold office for one year and until their successors are duly elected and qualified, or until their earlier resignation 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removal.</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2.3. </w:t>
      </w:r>
      <w:r>
        <w:rPr>
          <w:rFonts w:ascii="Times New Roman" w:cs="Times New Roman" w:eastAsia="Times New Roman" w:hAnsi="Times New Roman"/>
          <w:sz w:val="14"/>
          <w:szCs w:val="14"/>
          <w:u w:val="single" w:color="auto"/>
          <w:color w:val="auto"/>
        </w:rPr>
        <w:t>Powers</w:t>
      </w:r>
      <w:r>
        <w:rPr>
          <w:rFonts w:ascii="Times New Roman" w:cs="Times New Roman" w:eastAsia="Times New Roman" w:hAnsi="Times New Roman"/>
          <w:sz w:val="14"/>
          <w:szCs w:val="14"/>
          <w:color w:val="auto"/>
        </w:rPr>
        <w:t>. In addition to the foregoing, the Board shall have and may exercise all of the powers granted to or conferred upon it by the Articles of Association, the Bylaws and by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341630</wp:posOffset>
            </wp:positionV>
            <wp:extent cx="716216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97" w:name="page98"/>
    <w:bookmarkEnd w:id="97"/>
    <w:p>
      <w:pPr>
        <w:jc w:val="both"/>
        <w:ind w:firstLine="508"/>
        <w:spacing w:after="0" w:line="258" w:lineRule="auto"/>
        <w:rPr>
          <w:sz w:val="20"/>
          <w:szCs w:val="20"/>
          <w:color w:val="auto"/>
        </w:rPr>
      </w:pPr>
      <w:r>
        <w:rPr>
          <w:rFonts w:ascii="Times New Roman" w:cs="Times New Roman" w:eastAsia="Times New Roman" w:hAnsi="Times New Roman"/>
          <w:sz w:val="14"/>
          <w:szCs w:val="14"/>
          <w:color w:val="auto"/>
        </w:rPr>
        <w:t xml:space="preserve">Section 2.4. </w:t>
      </w:r>
      <w:r>
        <w:rPr>
          <w:rFonts w:ascii="Times New Roman" w:cs="Times New Roman" w:eastAsia="Times New Roman" w:hAnsi="Times New Roman"/>
          <w:sz w:val="14"/>
          <w:szCs w:val="14"/>
          <w:u w:val="single" w:color="auto"/>
          <w:color w:val="auto"/>
        </w:rPr>
        <w:t>Number</w:t>
      </w:r>
      <w:r>
        <w:rPr>
          <w:rFonts w:ascii="Times New Roman" w:cs="Times New Roman" w:eastAsia="Times New Roman" w:hAnsi="Times New Roman"/>
          <w:sz w:val="14"/>
          <w:szCs w:val="14"/>
          <w:color w:val="auto"/>
        </w:rPr>
        <w:t>. As provided in the Articles of Association, the Board of this Association shall consist of no less than five nor more than twenty-five members, unless the OCC has exempted the Association from the twenty-five- 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 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spacing w:after="0" w:line="144" w:lineRule="exact"/>
        <w:rPr>
          <w:sz w:val="20"/>
          <w:szCs w:val="20"/>
          <w:color w:val="auto"/>
        </w:rPr>
      </w:pPr>
    </w:p>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 xml:space="preserve">Section 2.5. </w:t>
      </w:r>
      <w:r>
        <w:rPr>
          <w:rFonts w:ascii="Times New Roman" w:cs="Times New Roman" w:eastAsia="Times New Roman" w:hAnsi="Times New Roman"/>
          <w:sz w:val="14"/>
          <w:szCs w:val="14"/>
          <w:u w:val="single" w:color="auto"/>
          <w:color w:val="auto"/>
        </w:rPr>
        <w:t>Organization Meeting</w:t>
      </w:r>
      <w:r>
        <w:rPr>
          <w:rFonts w:ascii="Times New Roman" w:cs="Times New Roman" w:eastAsia="Times New Roman" w:hAnsi="Times New Roman"/>
          <w:sz w:val="14"/>
          <w:szCs w:val="14"/>
          <w:color w:val="auto"/>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2.6. </w:t>
      </w:r>
      <w:r>
        <w:rPr>
          <w:rFonts w:ascii="Times New Roman" w:cs="Times New Roman" w:eastAsia="Times New Roman" w:hAnsi="Times New Roman"/>
          <w:sz w:val="14"/>
          <w:szCs w:val="14"/>
          <w:u w:val="single" w:color="auto"/>
          <w:color w:val="auto"/>
        </w:rPr>
        <w:t>Regular Meetings</w:t>
      </w:r>
      <w:r>
        <w:rPr>
          <w:rFonts w:ascii="Times New Roman" w:cs="Times New Roman" w:eastAsia="Times New Roman" w:hAnsi="Times New Roman"/>
          <w:sz w:val="14"/>
          <w:szCs w:val="14"/>
          <w:color w:val="auto"/>
        </w:rPr>
        <w:t>. The regular meetings of the Board shall be held, without notice, as the Chairman or President may designate and deem suitable.</w:t>
      </w:r>
    </w:p>
    <w:p>
      <w:pPr>
        <w:spacing w:after="0" w:line="178" w:lineRule="exact"/>
        <w:rPr>
          <w:sz w:val="20"/>
          <w:szCs w:val="20"/>
          <w:color w:val="auto"/>
        </w:rPr>
      </w:pPr>
    </w:p>
    <w:p>
      <w:pPr>
        <w:jc w:val="both"/>
        <w:ind w:firstLine="508"/>
        <w:spacing w:after="0" w:line="263" w:lineRule="auto"/>
        <w:rPr>
          <w:sz w:val="20"/>
          <w:szCs w:val="20"/>
          <w:color w:val="auto"/>
        </w:rPr>
      </w:pPr>
      <w:r>
        <w:rPr>
          <w:rFonts w:ascii="Times New Roman" w:cs="Times New Roman" w:eastAsia="Times New Roman" w:hAnsi="Times New Roman"/>
          <w:sz w:val="14"/>
          <w:szCs w:val="14"/>
          <w:color w:val="auto"/>
        </w:rPr>
        <w:t xml:space="preserve">Section 2.7. </w:t>
      </w:r>
      <w:r>
        <w:rPr>
          <w:rFonts w:ascii="Times New Roman" w:cs="Times New Roman" w:eastAsia="Times New Roman" w:hAnsi="Times New Roman"/>
          <w:sz w:val="14"/>
          <w:szCs w:val="14"/>
          <w:u w:val="single" w:color="auto"/>
          <w:color w:val="auto"/>
        </w:rPr>
        <w:t>Special Meetings</w:t>
      </w:r>
      <w:r>
        <w:rPr>
          <w:rFonts w:ascii="Times New Roman" w:cs="Times New Roman" w:eastAsia="Times New Roman" w:hAnsi="Times New Roman"/>
          <w:sz w:val="14"/>
          <w:szCs w:val="14"/>
          <w:color w:val="auto"/>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spacing w:after="0" w:line="142" w:lineRule="exact"/>
        <w:rPr>
          <w:sz w:val="20"/>
          <w:szCs w:val="20"/>
          <w:color w:val="auto"/>
        </w:rPr>
      </w:pPr>
    </w:p>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 xml:space="preserve">Section 2.8. </w:t>
      </w:r>
      <w:r>
        <w:rPr>
          <w:rFonts w:ascii="Times New Roman" w:cs="Times New Roman" w:eastAsia="Times New Roman" w:hAnsi="Times New Roman"/>
          <w:sz w:val="14"/>
          <w:szCs w:val="14"/>
          <w:u w:val="single" w:color="auto"/>
          <w:color w:val="auto"/>
        </w:rPr>
        <w:t>Quorum and Necessary Vote</w:t>
      </w:r>
      <w:r>
        <w:rPr>
          <w:rFonts w:ascii="Times New Roman" w:cs="Times New Roman" w:eastAsia="Times New Roman" w:hAnsi="Times New Roman"/>
          <w:sz w:val="14"/>
          <w:szCs w:val="14"/>
          <w:color w:val="auto"/>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324485</wp:posOffset>
            </wp:positionV>
            <wp:extent cx="716216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98" w:name="page99"/>
    <w:bookmarkEnd w:id="98"/>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2.9. </w:t>
      </w:r>
      <w:r>
        <w:rPr>
          <w:rFonts w:ascii="Times New Roman" w:cs="Times New Roman" w:eastAsia="Times New Roman" w:hAnsi="Times New Roman"/>
          <w:sz w:val="14"/>
          <w:szCs w:val="14"/>
          <w:u w:val="single" w:color="auto"/>
          <w:color w:val="auto"/>
        </w:rPr>
        <w:t>Written Consent</w:t>
      </w:r>
      <w:r>
        <w:rPr>
          <w:rFonts w:ascii="Times New Roman" w:cs="Times New Roman" w:eastAsia="Times New Roman" w:hAnsi="Times New Roman"/>
          <w:sz w:val="14"/>
          <w:szCs w:val="14"/>
          <w:color w:val="auto"/>
        </w:rPr>
        <w:t>. Except as otherwise required by applicable laws and regulations, the Board may act without a meeting by a unanimous written consent by all directors, to be filed with the Secretary of the Association as part of the corporate records.</w:t>
      </w:r>
    </w:p>
    <w:p>
      <w:pPr>
        <w:spacing w:after="0" w:line="125"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2.10. </w:t>
      </w:r>
      <w:r>
        <w:rPr>
          <w:rFonts w:ascii="Times New Roman" w:cs="Times New Roman" w:eastAsia="Times New Roman" w:hAnsi="Times New Roman"/>
          <w:sz w:val="14"/>
          <w:szCs w:val="14"/>
          <w:u w:val="single" w:color="auto"/>
          <w:color w:val="auto"/>
        </w:rPr>
        <w:t>Remote Meetings</w:t>
      </w:r>
      <w:r>
        <w:rPr>
          <w:rFonts w:ascii="Times New Roman" w:cs="Times New Roman" w:eastAsia="Times New Roman" w:hAnsi="Times New Roman"/>
          <w:sz w:val="14"/>
          <w:szCs w:val="14"/>
          <w:color w:val="auto"/>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spacing w:after="0" w:line="125"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2.11. </w:t>
      </w:r>
      <w:r>
        <w:rPr>
          <w:rFonts w:ascii="Times New Roman" w:cs="Times New Roman" w:eastAsia="Times New Roman" w:hAnsi="Times New Roman"/>
          <w:sz w:val="14"/>
          <w:szCs w:val="14"/>
          <w:u w:val="single" w:color="auto"/>
          <w:color w:val="auto"/>
        </w:rPr>
        <w:t>Vacancies</w:t>
      </w:r>
      <w:r>
        <w:rPr>
          <w:rFonts w:ascii="Times New Roman" w:cs="Times New Roman" w:eastAsia="Times New Roman" w:hAnsi="Times New Roman"/>
          <w:sz w:val="14"/>
          <w:szCs w:val="14"/>
          <w:color w:val="auto"/>
        </w:rPr>
        <w:t>. When any vacancy occurs among the directors, the remaining members of the Board may appoint a director to fill such vacancy at any regular meeting of the Board, or at a special meeting called for that purpose.</w:t>
      </w:r>
    </w:p>
    <w:p>
      <w:pPr>
        <w:spacing w:after="0" w:line="125" w:lineRule="exact"/>
        <w:rPr>
          <w:sz w:val="20"/>
          <w:szCs w:val="20"/>
          <w:color w:val="auto"/>
        </w:rPr>
      </w:pPr>
    </w:p>
    <w:p>
      <w:pPr>
        <w:jc w:val="right"/>
        <w:ind w:right="5280"/>
        <w:spacing w:after="0"/>
        <w:rPr>
          <w:sz w:val="20"/>
          <w:szCs w:val="20"/>
          <w:color w:val="auto"/>
        </w:rPr>
      </w:pPr>
      <w:r>
        <w:rPr>
          <w:rFonts w:ascii="Times New Roman" w:cs="Times New Roman" w:eastAsia="Times New Roman" w:hAnsi="Times New Roman"/>
          <w:sz w:val="14"/>
          <w:szCs w:val="14"/>
          <w:u w:val="single" w:color="auto"/>
          <w:color w:val="auto"/>
        </w:rPr>
        <w:t>ARTICLE III</w:t>
      </w:r>
    </w:p>
    <w:p>
      <w:pPr>
        <w:spacing w:after="0" w:line="23" w:lineRule="exact"/>
        <w:rPr>
          <w:sz w:val="20"/>
          <w:szCs w:val="20"/>
          <w:color w:val="auto"/>
        </w:rPr>
      </w:pPr>
    </w:p>
    <w:p>
      <w:pPr>
        <w:jc w:val="right"/>
        <w:ind w:right="5300"/>
        <w:spacing w:after="0"/>
        <w:rPr>
          <w:sz w:val="20"/>
          <w:szCs w:val="20"/>
          <w:color w:val="auto"/>
        </w:rPr>
      </w:pPr>
      <w:r>
        <w:rPr>
          <w:rFonts w:ascii="Times New Roman" w:cs="Times New Roman" w:eastAsia="Times New Roman" w:hAnsi="Times New Roman"/>
          <w:sz w:val="14"/>
          <w:szCs w:val="14"/>
          <w:u w:val="single" w:color="auto"/>
          <w:color w:val="auto"/>
        </w:rPr>
        <w:t>Committees</w:t>
      </w:r>
    </w:p>
    <w:p>
      <w:pPr>
        <w:spacing w:after="0" w:line="164" w:lineRule="exact"/>
        <w:rPr>
          <w:sz w:val="20"/>
          <w:szCs w:val="20"/>
          <w:color w:val="auto"/>
        </w:rPr>
      </w:pPr>
    </w:p>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 xml:space="preserve">Section 3.1. </w:t>
      </w:r>
      <w:r>
        <w:rPr>
          <w:rFonts w:ascii="Times New Roman" w:cs="Times New Roman" w:eastAsia="Times New Roman" w:hAnsi="Times New Roman"/>
          <w:sz w:val="14"/>
          <w:szCs w:val="14"/>
          <w:u w:val="single" w:color="auto"/>
          <w:color w:val="auto"/>
        </w:rPr>
        <w:t>Advisory Board of Directors</w:t>
      </w:r>
      <w:r>
        <w:rPr>
          <w:rFonts w:ascii="Times New Roman" w:cs="Times New Roman" w:eastAsia="Times New Roman" w:hAnsi="Times New Roman"/>
          <w:sz w:val="14"/>
          <w:szCs w:val="14"/>
          <w:color w:val="auto"/>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spacing w:after="0" w:line="136" w:lineRule="exact"/>
        <w:rPr>
          <w:sz w:val="20"/>
          <w:szCs w:val="20"/>
          <w:color w:val="auto"/>
        </w:rPr>
      </w:pPr>
    </w:p>
    <w:p>
      <w:pPr>
        <w:jc w:val="both"/>
        <w:ind w:firstLine="508"/>
        <w:spacing w:after="0" w:line="263" w:lineRule="auto"/>
        <w:rPr>
          <w:sz w:val="20"/>
          <w:szCs w:val="20"/>
          <w:color w:val="auto"/>
        </w:rPr>
      </w:pPr>
      <w:r>
        <w:rPr>
          <w:rFonts w:ascii="Times New Roman" w:cs="Times New Roman" w:eastAsia="Times New Roman" w:hAnsi="Times New Roman"/>
          <w:sz w:val="14"/>
          <w:szCs w:val="14"/>
          <w:color w:val="auto"/>
        </w:rPr>
        <w:t xml:space="preserve">Section 3.2. </w:t>
      </w:r>
      <w:r>
        <w:rPr>
          <w:rFonts w:ascii="Times New Roman" w:cs="Times New Roman" w:eastAsia="Times New Roman" w:hAnsi="Times New Roman"/>
          <w:sz w:val="14"/>
          <w:szCs w:val="14"/>
          <w:u w:val="single" w:color="auto"/>
          <w:color w:val="auto"/>
        </w:rPr>
        <w:t>Trust Audit Committee</w:t>
      </w:r>
      <w:r>
        <w:rPr>
          <w:rFonts w:ascii="Times New Roman" w:cs="Times New Roman" w:eastAsia="Times New Roman" w:hAnsi="Times New Roman"/>
          <w:sz w:val="14"/>
          <w:szCs w:val="14"/>
          <w:color w:val="auto"/>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327660</wp:posOffset>
            </wp:positionV>
            <wp:extent cx="716216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color w:val="auto"/>
        </w:rPr>
        <w:t>The Audit Committee of the financial holding company that is the ultimate parent of this Association, fulfilling the function of the trust audit committee:</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(1) Must not include any officers of the Association or an affiliate who participate significantly in the administration of the Association’s fiduciary activities; and</w:t>
      </w:r>
    </w:p>
    <w:p>
      <w:pPr>
        <w:spacing w:after="0" w:line="178"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4"/>
          <w:szCs w:val="14"/>
          <w:color w:val="auto"/>
        </w:rPr>
        <w:t>(2) Must consist of a majority of members who are not also members of any committee to which the Board has delegated power to manage and control the fiduciary activities of the Association.</w:t>
      </w:r>
    </w:p>
    <w:p>
      <w:pPr>
        <w:spacing w:after="0" w:line="125"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3.3. </w:t>
      </w:r>
      <w:r>
        <w:rPr>
          <w:rFonts w:ascii="Times New Roman" w:cs="Times New Roman" w:eastAsia="Times New Roman" w:hAnsi="Times New Roman"/>
          <w:sz w:val="14"/>
          <w:szCs w:val="14"/>
          <w:u w:val="single" w:color="auto"/>
          <w:color w:val="auto"/>
        </w:rPr>
        <w:t>Executive Committee</w:t>
      </w:r>
      <w:r>
        <w:rPr>
          <w:rFonts w:ascii="Times New Roman" w:cs="Times New Roman" w:eastAsia="Times New Roman" w:hAnsi="Times New Roman"/>
          <w:sz w:val="14"/>
          <w:szCs w:val="14"/>
          <w:color w:val="auto"/>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spacing w:after="0" w:line="125" w:lineRule="exact"/>
        <w:rPr>
          <w:sz w:val="20"/>
          <w:szCs w:val="20"/>
          <w:color w:val="auto"/>
        </w:rPr>
      </w:pPr>
    </w:p>
    <w:p>
      <w:pPr>
        <w:jc w:val="both"/>
        <w:ind w:firstLine="508"/>
        <w:spacing w:after="0" w:line="263" w:lineRule="auto"/>
        <w:rPr>
          <w:sz w:val="20"/>
          <w:szCs w:val="20"/>
          <w:color w:val="auto"/>
        </w:rPr>
      </w:pPr>
      <w:r>
        <w:rPr>
          <w:rFonts w:ascii="Times New Roman" w:cs="Times New Roman" w:eastAsia="Times New Roman" w:hAnsi="Times New Roman"/>
          <w:sz w:val="14"/>
          <w:szCs w:val="14"/>
          <w:color w:val="auto"/>
        </w:rPr>
        <w:t xml:space="preserve">Section 3.4. </w:t>
      </w:r>
      <w:r>
        <w:rPr>
          <w:rFonts w:ascii="Times New Roman" w:cs="Times New Roman" w:eastAsia="Times New Roman" w:hAnsi="Times New Roman"/>
          <w:sz w:val="14"/>
          <w:szCs w:val="14"/>
          <w:u w:val="single" w:color="auto"/>
          <w:color w:val="auto"/>
        </w:rPr>
        <w:t>Trust Management Committee</w:t>
      </w:r>
      <w:r>
        <w:rPr>
          <w:rFonts w:ascii="Times New Roman" w:cs="Times New Roman" w:eastAsia="Times New Roman" w:hAnsi="Times New Roman"/>
          <w:sz w:val="14"/>
          <w:szCs w:val="14"/>
          <w:color w:val="auto"/>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spacing w:after="0" w:line="142" w:lineRule="exact"/>
        <w:rPr>
          <w:sz w:val="20"/>
          <w:szCs w:val="20"/>
          <w:color w:val="auto"/>
        </w:rPr>
      </w:pPr>
    </w:p>
    <w:p>
      <w:pPr>
        <w:jc w:val="both"/>
        <w:ind w:firstLine="508"/>
        <w:spacing w:after="0" w:line="263" w:lineRule="auto"/>
        <w:rPr>
          <w:sz w:val="20"/>
          <w:szCs w:val="20"/>
          <w:color w:val="auto"/>
        </w:rPr>
      </w:pPr>
      <w:r>
        <w:rPr>
          <w:rFonts w:ascii="Times New Roman" w:cs="Times New Roman" w:eastAsia="Times New Roman" w:hAnsi="Times New Roman"/>
          <w:sz w:val="14"/>
          <w:szCs w:val="14"/>
          <w:color w:val="auto"/>
        </w:rPr>
        <w:t xml:space="preserve">Section 3.5. </w:t>
      </w:r>
      <w:r>
        <w:rPr>
          <w:rFonts w:ascii="Times New Roman" w:cs="Times New Roman" w:eastAsia="Times New Roman" w:hAnsi="Times New Roman"/>
          <w:sz w:val="14"/>
          <w:szCs w:val="14"/>
          <w:u w:val="single" w:color="auto"/>
          <w:color w:val="auto"/>
        </w:rPr>
        <w:t>Other Committees</w:t>
      </w:r>
      <w:r>
        <w:rPr>
          <w:rFonts w:ascii="Times New Roman" w:cs="Times New Roman" w:eastAsia="Times New Roman" w:hAnsi="Times New Roman"/>
          <w:sz w:val="14"/>
          <w:szCs w:val="14"/>
          <w:color w:val="auto"/>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spacing w:after="0" w:line="142" w:lineRule="exact"/>
        <w:rPr>
          <w:sz w:val="20"/>
          <w:szCs w:val="20"/>
          <w:color w:val="auto"/>
        </w:rPr>
      </w:pPr>
    </w:p>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 xml:space="preserve">Section 3.6. </w:t>
      </w:r>
      <w:r>
        <w:rPr>
          <w:rFonts w:ascii="Times New Roman" w:cs="Times New Roman" w:eastAsia="Times New Roman" w:hAnsi="Times New Roman"/>
          <w:sz w:val="14"/>
          <w:szCs w:val="14"/>
          <w:u w:val="single" w:color="auto"/>
          <w:color w:val="auto"/>
        </w:rPr>
        <w:t>Meetings, Minutes and Rules</w:t>
      </w:r>
      <w:r>
        <w:rPr>
          <w:rFonts w:ascii="Times New Roman" w:cs="Times New Roman" w:eastAsia="Times New Roman" w:hAnsi="Times New Roman"/>
          <w:sz w:val="14"/>
          <w:szCs w:val="14"/>
          <w:color w:val="auto"/>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324485</wp:posOffset>
            </wp:positionV>
            <wp:extent cx="716216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00" w:name="page101"/>
    <w:bookmarkEnd w:id="100"/>
    <w:p>
      <w:pPr>
        <w:ind w:left="5240"/>
        <w:spacing w:after="0"/>
        <w:rPr>
          <w:sz w:val="20"/>
          <w:szCs w:val="20"/>
          <w:color w:val="auto"/>
        </w:rPr>
      </w:pPr>
      <w:r>
        <w:rPr>
          <w:rFonts w:ascii="Times New Roman" w:cs="Times New Roman" w:eastAsia="Times New Roman" w:hAnsi="Times New Roman"/>
          <w:sz w:val="14"/>
          <w:szCs w:val="14"/>
          <w:u w:val="single" w:color="auto"/>
          <w:color w:val="auto"/>
        </w:rPr>
        <w:t>ARTICLE IV</w:t>
      </w:r>
    </w:p>
    <w:p>
      <w:pPr>
        <w:spacing w:after="0" w:line="2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4"/>
          <w:szCs w:val="14"/>
          <w:u w:val="single" w:color="auto"/>
          <w:color w:val="auto"/>
        </w:rPr>
        <w:t>Officers</w:t>
      </w:r>
    </w:p>
    <w:p>
      <w:pPr>
        <w:spacing w:after="0" w:line="164" w:lineRule="exact"/>
        <w:rPr>
          <w:sz w:val="20"/>
          <w:szCs w:val="20"/>
          <w:color w:val="auto"/>
        </w:rPr>
      </w:pPr>
    </w:p>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 xml:space="preserve">Section 4.1. </w:t>
      </w:r>
      <w:r>
        <w:rPr>
          <w:rFonts w:ascii="Times New Roman" w:cs="Times New Roman" w:eastAsia="Times New Roman" w:hAnsi="Times New Roman"/>
          <w:sz w:val="14"/>
          <w:szCs w:val="14"/>
          <w:u w:val="single" w:color="auto"/>
          <w:color w:val="auto"/>
        </w:rPr>
        <w:t>Chairman of the Board</w:t>
      </w:r>
      <w:r>
        <w:rPr>
          <w:rFonts w:ascii="Times New Roman" w:cs="Times New Roman" w:eastAsia="Times New Roman" w:hAnsi="Times New Roman"/>
          <w:sz w:val="14"/>
          <w:szCs w:val="14"/>
          <w:color w:val="auto"/>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spacing w:after="0" w:line="136" w:lineRule="exact"/>
        <w:rPr>
          <w:sz w:val="20"/>
          <w:szCs w:val="20"/>
          <w:color w:val="auto"/>
        </w:rPr>
      </w:pPr>
    </w:p>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 xml:space="preserve">Section 4.2. </w:t>
      </w:r>
      <w:r>
        <w:rPr>
          <w:rFonts w:ascii="Times New Roman" w:cs="Times New Roman" w:eastAsia="Times New Roman" w:hAnsi="Times New Roman"/>
          <w:sz w:val="14"/>
          <w:szCs w:val="14"/>
          <w:u w:val="single" w:color="auto"/>
          <w:color w:val="auto"/>
        </w:rPr>
        <w:t>President</w:t>
      </w:r>
      <w:r>
        <w:rPr>
          <w:rFonts w:ascii="Times New Roman" w:cs="Times New Roman" w:eastAsia="Times New Roman" w:hAnsi="Times New Roman"/>
          <w:sz w:val="14"/>
          <w:szCs w:val="14"/>
          <w:color w:val="auto"/>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spacing w:after="0" w:line="136"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4.3. </w:t>
      </w:r>
      <w:r>
        <w:rPr>
          <w:rFonts w:ascii="Times New Roman" w:cs="Times New Roman" w:eastAsia="Times New Roman" w:hAnsi="Times New Roman"/>
          <w:sz w:val="14"/>
          <w:szCs w:val="14"/>
          <w:u w:val="single" w:color="auto"/>
          <w:color w:val="auto"/>
        </w:rPr>
        <w:t>Vice President</w:t>
      </w:r>
      <w:r>
        <w:rPr>
          <w:rFonts w:ascii="Times New Roman" w:cs="Times New Roman" w:eastAsia="Times New Roman" w:hAnsi="Times New Roman"/>
          <w:sz w:val="14"/>
          <w:szCs w:val="14"/>
          <w:color w:val="auto"/>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spacing w:after="0" w:line="125" w:lineRule="exact"/>
        <w:rPr>
          <w:sz w:val="20"/>
          <w:szCs w:val="20"/>
          <w:color w:val="auto"/>
        </w:rPr>
      </w:pPr>
    </w:p>
    <w:p>
      <w:pPr>
        <w:jc w:val="both"/>
        <w:ind w:firstLine="508"/>
        <w:spacing w:after="0" w:line="261" w:lineRule="auto"/>
        <w:rPr>
          <w:sz w:val="20"/>
          <w:szCs w:val="20"/>
          <w:color w:val="auto"/>
        </w:rPr>
      </w:pPr>
      <w:r>
        <w:rPr>
          <w:rFonts w:ascii="Times New Roman" w:cs="Times New Roman" w:eastAsia="Times New Roman" w:hAnsi="Times New Roman"/>
          <w:sz w:val="14"/>
          <w:szCs w:val="14"/>
          <w:color w:val="auto"/>
        </w:rPr>
        <w:t xml:space="preserve">Section 4.4. </w:t>
      </w:r>
      <w:r>
        <w:rPr>
          <w:rFonts w:ascii="Times New Roman" w:cs="Times New Roman" w:eastAsia="Times New Roman" w:hAnsi="Times New Roman"/>
          <w:sz w:val="14"/>
          <w:szCs w:val="14"/>
          <w:u w:val="single" w:color="auto"/>
          <w:color w:val="auto"/>
        </w:rPr>
        <w:t>Secretary</w:t>
      </w:r>
      <w:r>
        <w:rPr>
          <w:rFonts w:ascii="Times New Roman" w:cs="Times New Roman" w:eastAsia="Times New Roman" w:hAnsi="Times New Roman"/>
          <w:sz w:val="14"/>
          <w:szCs w:val="14"/>
          <w:color w:val="auto"/>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spacing w:after="0" w:line="141" w:lineRule="exact"/>
        <w:rPr>
          <w:sz w:val="20"/>
          <w:szCs w:val="20"/>
          <w:color w:val="auto"/>
        </w:rPr>
      </w:pPr>
    </w:p>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 xml:space="preserve">Section 4.5. </w:t>
      </w:r>
      <w:r>
        <w:rPr>
          <w:rFonts w:ascii="Times New Roman" w:cs="Times New Roman" w:eastAsia="Times New Roman" w:hAnsi="Times New Roman"/>
          <w:sz w:val="14"/>
          <w:szCs w:val="14"/>
          <w:u w:val="single" w:color="auto"/>
          <w:color w:val="auto"/>
        </w:rPr>
        <w:t>Other Officers</w:t>
      </w:r>
      <w:r>
        <w:rPr>
          <w:rFonts w:ascii="Times New Roman" w:cs="Times New Roman" w:eastAsia="Times New Roman" w:hAnsi="Times New Roman"/>
          <w:sz w:val="14"/>
          <w:szCs w:val="14"/>
          <w:color w:val="auto"/>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 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324485</wp:posOffset>
            </wp:positionV>
            <wp:extent cx="716216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01" w:name="page102"/>
    <w:bookmarkEnd w:id="101"/>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4.6. </w:t>
      </w:r>
      <w:r>
        <w:rPr>
          <w:rFonts w:ascii="Times New Roman" w:cs="Times New Roman" w:eastAsia="Times New Roman" w:hAnsi="Times New Roman"/>
          <w:sz w:val="14"/>
          <w:szCs w:val="14"/>
          <w:u w:val="single" w:color="auto"/>
          <w:color w:val="auto"/>
        </w:rPr>
        <w:t>Tenure of Office</w:t>
      </w:r>
      <w:r>
        <w:rPr>
          <w:rFonts w:ascii="Times New Roman" w:cs="Times New Roman" w:eastAsia="Times New Roman" w:hAnsi="Times New Roman"/>
          <w:sz w:val="14"/>
          <w:szCs w:val="14"/>
          <w:color w:val="auto"/>
        </w:rPr>
        <w:t>. The Chairman or the President and all other officers shall hold office until their respective successors are elected and qualified or until their earlier death, resignation, retirement, disqualification or removal from office, subject to the right of the Board or authorized officer to discharge any officer at any time.</w:t>
      </w:r>
    </w:p>
    <w:p>
      <w:pPr>
        <w:spacing w:after="0" w:line="12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u w:val="single" w:color="auto"/>
          <w:color w:val="auto"/>
        </w:rPr>
        <w:t>ARTICLE V</w:t>
      </w:r>
    </w:p>
    <w:p>
      <w:pPr>
        <w:spacing w:after="0" w:line="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u w:val="single" w:color="auto"/>
          <w:color w:val="auto"/>
        </w:rPr>
        <w:t>Stock</w:t>
      </w:r>
    </w:p>
    <w:p>
      <w:pPr>
        <w:spacing w:after="0" w:line="164" w:lineRule="exact"/>
        <w:rPr>
          <w:sz w:val="20"/>
          <w:szCs w:val="20"/>
          <w:color w:val="auto"/>
        </w:rPr>
      </w:pPr>
    </w:p>
    <w:p>
      <w:pPr>
        <w:jc w:val="both"/>
        <w:ind w:firstLine="508"/>
        <w:spacing w:after="0" w:line="259" w:lineRule="auto"/>
        <w:rPr>
          <w:sz w:val="20"/>
          <w:szCs w:val="20"/>
          <w:color w:val="auto"/>
        </w:rPr>
      </w:pPr>
      <w:r>
        <w:rPr>
          <w:rFonts w:ascii="Times New Roman" w:cs="Times New Roman" w:eastAsia="Times New Roman" w:hAnsi="Times New Roman"/>
          <w:sz w:val="14"/>
          <w:szCs w:val="14"/>
          <w:color w:val="auto"/>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spacing w:after="0" w:line="1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u w:val="single" w:color="auto"/>
          <w:color w:val="auto"/>
        </w:rPr>
        <w:t>ARTICLE VI</w:t>
      </w:r>
    </w:p>
    <w:p>
      <w:pPr>
        <w:spacing w:after="0" w:line="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u w:val="single" w:color="auto"/>
          <w:color w:val="auto"/>
        </w:rPr>
        <w:t>Corporate Seal</w:t>
      </w:r>
    </w:p>
    <w:p>
      <w:pPr>
        <w:spacing w:after="0" w:line="164"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316865</wp:posOffset>
            </wp:positionV>
            <wp:extent cx="716216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02" w:name="page103"/>
    <w:bookmarkEnd w:id="102"/>
    <w:p>
      <w:pPr>
        <w:ind w:left="5220"/>
        <w:spacing w:after="0"/>
        <w:rPr>
          <w:sz w:val="20"/>
          <w:szCs w:val="20"/>
          <w:color w:val="auto"/>
        </w:rPr>
      </w:pPr>
      <w:r>
        <w:rPr>
          <w:rFonts w:ascii="Times New Roman" w:cs="Times New Roman" w:eastAsia="Times New Roman" w:hAnsi="Times New Roman"/>
          <w:sz w:val="14"/>
          <w:szCs w:val="14"/>
          <w:u w:val="single" w:color="auto"/>
          <w:color w:val="auto"/>
        </w:rPr>
        <w:t>ARTICLE VII</w:t>
      </w:r>
    </w:p>
    <w:p>
      <w:pPr>
        <w:spacing w:after="0" w:line="2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u w:val="single" w:color="auto"/>
          <w:color w:val="auto"/>
        </w:rPr>
        <w:t>Miscellaneous Provisions</w:t>
      </w:r>
    </w:p>
    <w:p>
      <w:pPr>
        <w:spacing w:after="0" w:line="164" w:lineRule="exact"/>
        <w:rPr>
          <w:sz w:val="20"/>
          <w:szCs w:val="20"/>
          <w:color w:val="auto"/>
        </w:rPr>
      </w:pPr>
    </w:p>
    <w:p>
      <w:pPr>
        <w:jc w:val="both"/>
        <w:ind w:firstLine="508"/>
        <w:spacing w:after="0" w:line="261" w:lineRule="auto"/>
        <w:rPr>
          <w:sz w:val="20"/>
          <w:szCs w:val="20"/>
          <w:color w:val="auto"/>
        </w:rPr>
      </w:pPr>
      <w:r>
        <w:rPr>
          <w:rFonts w:ascii="Times New Roman" w:cs="Times New Roman" w:eastAsia="Times New Roman" w:hAnsi="Times New Roman"/>
          <w:sz w:val="14"/>
          <w:szCs w:val="14"/>
          <w:color w:val="auto"/>
        </w:rPr>
        <w:t xml:space="preserve">Section 7.1. </w:t>
      </w:r>
      <w:r>
        <w:rPr>
          <w:rFonts w:ascii="Times New Roman" w:cs="Times New Roman" w:eastAsia="Times New Roman" w:hAnsi="Times New Roman"/>
          <w:sz w:val="14"/>
          <w:szCs w:val="14"/>
          <w:u w:val="single" w:color="auto"/>
          <w:color w:val="auto"/>
        </w:rPr>
        <w:t>Execution of Instruments</w:t>
      </w:r>
      <w:r>
        <w:rPr>
          <w:rFonts w:ascii="Times New Roman" w:cs="Times New Roman" w:eastAsia="Times New Roman" w:hAnsi="Times New Roman"/>
          <w:sz w:val="14"/>
          <w:szCs w:val="14"/>
          <w:color w:val="auto"/>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spacing w:after="0" w:line="141" w:lineRule="exact"/>
        <w:rPr>
          <w:sz w:val="20"/>
          <w:szCs w:val="20"/>
          <w:color w:val="auto"/>
        </w:rPr>
      </w:pPr>
    </w:p>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 xml:space="preserve">Section 7.2. </w:t>
      </w:r>
      <w:r>
        <w:rPr>
          <w:rFonts w:ascii="Times New Roman" w:cs="Times New Roman" w:eastAsia="Times New Roman" w:hAnsi="Times New Roman"/>
          <w:sz w:val="14"/>
          <w:szCs w:val="14"/>
          <w:u w:val="single" w:color="auto"/>
          <w:color w:val="auto"/>
        </w:rPr>
        <w:t>Records</w:t>
      </w:r>
      <w:r>
        <w:rPr>
          <w:rFonts w:ascii="Times New Roman" w:cs="Times New Roman" w:eastAsia="Times New Roman" w:hAnsi="Times New Roman"/>
          <w:sz w:val="14"/>
          <w:szCs w:val="14"/>
          <w:color w:val="auto"/>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spacing w:after="0" w:line="136"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7.3. </w:t>
      </w:r>
      <w:r>
        <w:rPr>
          <w:rFonts w:ascii="Times New Roman" w:cs="Times New Roman" w:eastAsia="Times New Roman" w:hAnsi="Times New Roman"/>
          <w:sz w:val="14"/>
          <w:szCs w:val="14"/>
          <w:u w:val="single" w:color="auto"/>
          <w:color w:val="auto"/>
        </w:rPr>
        <w:t>Trust Files</w:t>
      </w:r>
      <w:r>
        <w:rPr>
          <w:rFonts w:ascii="Times New Roman" w:cs="Times New Roman" w:eastAsia="Times New Roman" w:hAnsi="Times New Roman"/>
          <w:sz w:val="14"/>
          <w:szCs w:val="14"/>
          <w:color w:val="auto"/>
        </w:rPr>
        <w:t>. There shall be maintained in the Association files all fiduciary records necessary to assure that its fiduciary responsibilities have been properly undertaken and discharged.</w:t>
      </w:r>
    </w:p>
    <w:p>
      <w:pPr>
        <w:spacing w:after="0" w:line="125" w:lineRule="exact"/>
        <w:rPr>
          <w:sz w:val="20"/>
          <w:szCs w:val="20"/>
          <w:color w:val="auto"/>
        </w:rPr>
      </w:pPr>
    </w:p>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 xml:space="preserve">Section 7.4. </w:t>
      </w:r>
      <w:r>
        <w:rPr>
          <w:rFonts w:ascii="Times New Roman" w:cs="Times New Roman" w:eastAsia="Times New Roman" w:hAnsi="Times New Roman"/>
          <w:sz w:val="14"/>
          <w:szCs w:val="14"/>
          <w:u w:val="single" w:color="auto"/>
          <w:color w:val="auto"/>
        </w:rPr>
        <w:t>Trust Investments</w:t>
      </w:r>
      <w:r>
        <w:rPr>
          <w:rFonts w:ascii="Times New Roman" w:cs="Times New Roman" w:eastAsia="Times New Roman" w:hAnsi="Times New Roman"/>
          <w:sz w:val="14"/>
          <w:szCs w:val="14"/>
          <w:color w:val="auto"/>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spacing w:after="0" w:line="136"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7.5. </w:t>
      </w:r>
      <w:r>
        <w:rPr>
          <w:rFonts w:ascii="Times New Roman" w:cs="Times New Roman" w:eastAsia="Times New Roman" w:hAnsi="Times New Roman"/>
          <w:sz w:val="14"/>
          <w:szCs w:val="14"/>
          <w:u w:val="single" w:color="auto"/>
          <w:color w:val="auto"/>
        </w:rPr>
        <w:t>Notice</w:t>
      </w:r>
      <w:r>
        <w:rPr>
          <w:rFonts w:ascii="Times New Roman" w:cs="Times New Roman" w:eastAsia="Times New Roman" w:hAnsi="Times New Roman"/>
          <w:sz w:val="14"/>
          <w:szCs w:val="14"/>
          <w:color w:val="auto"/>
        </w:rPr>
        <w:t>. Whenever notice is required by the Articles of Association, the Bylaws or law, such notice shall be by mail, postage prepaid, e- mail, in person, or by any other means by which such notice can reasonably be expected to be received, using the address of the person to receive such notice, or such other personal data, as may appear on the records of the Association.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Except where specified otherwise in these Bylaws, prior notice shall be proper if given not more than 30 days nor less than 10 days prior to the event for which notice is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351155</wp:posOffset>
            </wp:positionV>
            <wp:extent cx="716216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03" w:name="page104"/>
    <w:bookmarkEnd w:id="103"/>
    <w:p>
      <w:pPr>
        <w:ind w:left="5200"/>
        <w:spacing w:after="0"/>
        <w:rPr>
          <w:sz w:val="20"/>
          <w:szCs w:val="20"/>
          <w:color w:val="auto"/>
        </w:rPr>
      </w:pPr>
      <w:r>
        <w:rPr>
          <w:rFonts w:ascii="Times New Roman" w:cs="Times New Roman" w:eastAsia="Times New Roman" w:hAnsi="Times New Roman"/>
          <w:sz w:val="14"/>
          <w:szCs w:val="14"/>
          <w:u w:val="single" w:color="auto"/>
          <w:color w:val="auto"/>
        </w:rPr>
        <w:t>ARTICLE VIII</w:t>
      </w:r>
    </w:p>
    <w:p>
      <w:pPr>
        <w:spacing w:after="0" w:line="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u w:val="single" w:color="auto"/>
          <w:color w:val="auto"/>
        </w:rPr>
        <w:t>Indemnification</w:t>
      </w:r>
    </w:p>
    <w:p>
      <w:pPr>
        <w:spacing w:after="0" w:line="164" w:lineRule="exact"/>
        <w:rPr>
          <w:sz w:val="20"/>
          <w:szCs w:val="20"/>
          <w:color w:val="auto"/>
        </w:rPr>
      </w:pPr>
    </w:p>
    <w:p>
      <w:pPr>
        <w:jc w:val="both"/>
        <w:ind w:firstLine="508"/>
        <w:spacing w:after="0" w:line="261" w:lineRule="auto"/>
        <w:rPr>
          <w:sz w:val="20"/>
          <w:szCs w:val="20"/>
          <w:color w:val="auto"/>
        </w:rPr>
      </w:pPr>
      <w:r>
        <w:rPr>
          <w:rFonts w:ascii="Times New Roman" w:cs="Times New Roman" w:eastAsia="Times New Roman" w:hAnsi="Times New Roman"/>
          <w:sz w:val="14"/>
          <w:szCs w:val="14"/>
          <w:color w:val="auto"/>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spacing w:after="0" w:line="141" w:lineRule="exact"/>
        <w:rPr>
          <w:sz w:val="20"/>
          <w:szCs w:val="20"/>
          <w:color w:val="auto"/>
        </w:rPr>
      </w:pPr>
    </w:p>
    <w:p>
      <w:pPr>
        <w:jc w:val="both"/>
        <w:ind w:firstLine="508"/>
        <w:spacing w:after="0" w:line="263" w:lineRule="auto"/>
        <w:rPr>
          <w:sz w:val="20"/>
          <w:szCs w:val="20"/>
          <w:color w:val="auto"/>
        </w:rPr>
      </w:pPr>
      <w:r>
        <w:rPr>
          <w:rFonts w:ascii="Times New Roman" w:cs="Times New Roman" w:eastAsia="Times New Roman" w:hAnsi="Times New Roman"/>
          <w:sz w:val="14"/>
          <w:szCs w:val="14"/>
          <w:color w:val="auto"/>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spacing w:after="0" w:line="1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u w:val="single" w:color="auto"/>
          <w:color w:val="auto"/>
        </w:rPr>
        <w:t>ARTICLE IX</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Bylaws: Interpretation and Amendment</w:t>
      </w:r>
    </w:p>
    <w:p>
      <w:pPr>
        <w:spacing w:after="0" w:line="164"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Section 9.1. These Bylaws shall be interpreted in accordance with and subject to appropriate provisions of law, and may be added to, altered, amended, or repealed, at any regular or special meeting of the Board.</w:t>
      </w:r>
    </w:p>
    <w:p>
      <w:pPr>
        <w:spacing w:after="0" w:line="125"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Section 9.2. A copy of the Bylaws and all amendments shall at all times be kept in a convenient place at the principal office of the Association, and shall be open for inspection to all shareholders during Association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316865</wp:posOffset>
            </wp:positionV>
            <wp:extent cx="716216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04" w:name="page105"/>
    <w:bookmarkEnd w:id="104"/>
    <w:p>
      <w:pPr>
        <w:jc w:val="center"/>
        <w:ind w:right="40"/>
        <w:spacing w:after="0"/>
        <w:rPr>
          <w:sz w:val="20"/>
          <w:szCs w:val="20"/>
          <w:color w:val="auto"/>
        </w:rPr>
      </w:pPr>
      <w:r>
        <w:rPr>
          <w:rFonts w:ascii="Times New Roman" w:cs="Times New Roman" w:eastAsia="Times New Roman" w:hAnsi="Times New Roman"/>
          <w:sz w:val="14"/>
          <w:szCs w:val="14"/>
          <w:u w:val="single" w:color="auto"/>
          <w:color w:val="auto"/>
        </w:rPr>
        <w:t>ARTICLE X</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Miscellaneous Provisions</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10.1. </w:t>
      </w:r>
      <w:r>
        <w:rPr>
          <w:rFonts w:ascii="Times New Roman" w:cs="Times New Roman" w:eastAsia="Times New Roman" w:hAnsi="Times New Roman"/>
          <w:sz w:val="14"/>
          <w:szCs w:val="14"/>
          <w:u w:val="single" w:color="auto"/>
          <w:color w:val="auto"/>
        </w:rPr>
        <w:t>Fiscal Year</w:t>
      </w:r>
      <w:r>
        <w:rPr>
          <w:rFonts w:ascii="Times New Roman" w:cs="Times New Roman" w:eastAsia="Times New Roman" w:hAnsi="Times New Roman"/>
          <w:sz w:val="14"/>
          <w:szCs w:val="14"/>
          <w:color w:val="auto"/>
        </w:rPr>
        <w:t>. The fiscal year of the Association shall begin on the first day of January in each year and shall end on the thirty-first day of December following.</w:t>
      </w:r>
    </w:p>
    <w:p>
      <w:pPr>
        <w:spacing w:after="0" w:line="178" w:lineRule="exact"/>
        <w:rPr>
          <w:sz w:val="20"/>
          <w:szCs w:val="20"/>
          <w:color w:val="auto"/>
        </w:rPr>
      </w:pPr>
    </w:p>
    <w:p>
      <w:pPr>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10.2. </w:t>
      </w: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(February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351155</wp:posOffset>
            </wp:positionV>
            <wp:extent cx="716216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05" w:name="page106"/>
    <w:bookmarkEnd w:id="105"/>
    <w:p>
      <w:pPr>
        <w:ind w:left="5340"/>
        <w:spacing w:after="0"/>
        <w:rPr>
          <w:sz w:val="20"/>
          <w:szCs w:val="20"/>
          <w:color w:val="auto"/>
        </w:rPr>
      </w:pPr>
      <w:r>
        <w:rPr>
          <w:rFonts w:ascii="Times New Roman" w:cs="Times New Roman" w:eastAsia="Times New Roman" w:hAnsi="Times New Roman"/>
          <w:sz w:val="14"/>
          <w:szCs w:val="14"/>
          <w:b w:val="1"/>
          <w:bCs w:val="1"/>
          <w:u w:val="single" w:color="auto"/>
          <w:color w:val="auto"/>
        </w:rPr>
        <w:t>Exhibit 6</w:t>
      </w:r>
    </w:p>
    <w:p>
      <w:pPr>
        <w:spacing w:after="0" w:line="2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b w:val="1"/>
          <w:bCs w:val="1"/>
          <w:color w:val="auto"/>
        </w:rPr>
        <w:t>CONSENT</w:t>
      </w:r>
    </w:p>
    <w:p>
      <w:pPr>
        <w:spacing w:after="0" w:line="164" w:lineRule="exact"/>
        <w:rPr>
          <w:sz w:val="20"/>
          <w:szCs w:val="20"/>
          <w:color w:val="auto"/>
        </w:rPr>
      </w:pPr>
    </w:p>
    <w:p>
      <w:pPr>
        <w:ind w:firstLine="508"/>
        <w:spacing w:after="0" w:line="286" w:lineRule="auto"/>
        <w:rPr>
          <w:sz w:val="20"/>
          <w:szCs w:val="20"/>
          <w:color w:val="auto"/>
        </w:rPr>
      </w:pPr>
      <w:r>
        <w:rPr>
          <w:rFonts w:ascii="Times New Roman" w:cs="Times New Roman" w:eastAsia="Times New Roman" w:hAnsi="Times New Roman"/>
          <w:sz w:val="14"/>
          <w:szCs w:val="14"/>
          <w:color w:val="auto"/>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August 21, 2024</w:t>
      </w:r>
    </w:p>
    <w:p>
      <w:pPr>
        <w:spacing w:after="0" w:line="347" w:lineRule="exact"/>
        <w:rPr>
          <w:sz w:val="20"/>
          <w:szCs w:val="20"/>
          <w:color w:val="auto"/>
        </w:rPr>
      </w:pPr>
    </w:p>
    <w:p>
      <w:pPr>
        <w:ind w:left="5640"/>
        <w:spacing w:after="0"/>
        <w:tabs>
          <w:tab w:leader="none" w:pos="5960" w:val="left"/>
        </w:tabs>
        <w:rPr>
          <w:sz w:val="20"/>
          <w:szCs w:val="20"/>
          <w:color w:val="auto"/>
        </w:rPr>
      </w:pPr>
      <w:r>
        <w:rPr>
          <w:rFonts w:ascii="Times New Roman" w:cs="Times New Roman" w:eastAsia="Times New Roman" w:hAnsi="Times New Roman"/>
          <w:sz w:val="14"/>
          <w:szCs w:val="14"/>
          <w:color w:val="auto"/>
        </w:rPr>
        <w:t>By:</w:t>
        <w:tab/>
        <w:t>/s/ Michael K. Herberger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Michael K. Herberger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-101600</wp:posOffset>
            </wp:positionV>
            <wp:extent cx="336232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4">
                      <a:extLst>
                        <a:ext uri="{28A0092B-C50C-407E-A947-70E740481C1C}"/>
                      </a:extLst>
                    </a:blip>
                    <a:srcRect/>
                    <a:stretch>
                      <a:fillRect/>
                    </a:stretch>
                  </pic:blipFill>
                  <pic:spPr bwMode="auto">
                    <a:xfrm>
                      <a:off x="0" y="0"/>
                      <a:ext cx="3362325" cy="698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4"/>
          <w:szCs w:val="14"/>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341630</wp:posOffset>
            </wp:positionV>
            <wp:extent cx="716216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5">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7" w:right="31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780" w:type="dxa"/>
            <w:vAlign w:val="bottom"/>
            <w:gridSpan w:val="3"/>
          </w:tcPr>
          <w:p>
            <w:pPr>
              <w:jc w:val="center"/>
              <w:ind w:right="4165"/>
              <w:spacing w:after="0"/>
              <w:rPr>
                <w:sz w:val="20"/>
                <w:szCs w:val="20"/>
                <w:color w:val="auto"/>
              </w:rPr>
            </w:pPr>
            <w:r>
              <w:rPr>
                <w:rFonts w:ascii="Times New Roman" w:cs="Times New Roman" w:eastAsia="Times New Roman" w:hAnsi="Times New Roman"/>
                <w:sz w:val="14"/>
                <w:szCs w:val="14"/>
                <w:b w:val="1"/>
                <w:bCs w:val="1"/>
                <w:color w:val="auto"/>
              </w:rPr>
              <w:t>Exhibit 7</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3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4"/>
        </w:trPr>
        <w:tc>
          <w:tcPr>
            <w:tcW w:w="3660" w:type="dxa"/>
            <w:vAlign w:val="bottom"/>
          </w:tcPr>
          <w:p>
            <w:pPr>
              <w:spacing w:after="0"/>
              <w:rPr>
                <w:sz w:val="24"/>
                <w:szCs w:val="24"/>
                <w:color w:val="auto"/>
              </w:rPr>
            </w:pPr>
          </w:p>
        </w:tc>
        <w:tc>
          <w:tcPr>
            <w:tcW w:w="6480" w:type="dxa"/>
            <w:vAlign w:val="bottom"/>
            <w:gridSpan w:val="4"/>
          </w:tcPr>
          <w:p>
            <w:pPr>
              <w:jc w:val="center"/>
              <w:ind w:right="2485"/>
              <w:spacing w:after="0"/>
              <w:rPr>
                <w:sz w:val="20"/>
                <w:szCs w:val="20"/>
                <w:color w:val="auto"/>
              </w:rPr>
            </w:pPr>
            <w:r>
              <w:rPr>
                <w:rFonts w:ascii="Times New Roman" w:cs="Times New Roman" w:eastAsia="Times New Roman" w:hAnsi="Times New Roman"/>
                <w:sz w:val="14"/>
                <w:szCs w:val="14"/>
                <w:b w:val="1"/>
                <w:bCs w:val="1"/>
                <w:color w:val="auto"/>
              </w:rPr>
              <w:t>U.S. Bank Trust Company, National Association</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3660" w:type="dxa"/>
            <w:vAlign w:val="bottom"/>
          </w:tcPr>
          <w:p>
            <w:pPr>
              <w:spacing w:after="0"/>
              <w:rPr>
                <w:sz w:val="14"/>
                <w:szCs w:val="14"/>
                <w:color w:val="auto"/>
              </w:rPr>
            </w:pPr>
          </w:p>
        </w:tc>
        <w:tc>
          <w:tcPr>
            <w:tcW w:w="6480" w:type="dxa"/>
            <w:vAlign w:val="bottom"/>
            <w:gridSpan w:val="4"/>
          </w:tcPr>
          <w:p>
            <w:pPr>
              <w:jc w:val="center"/>
              <w:ind w:right="2505"/>
              <w:spacing w:after="0"/>
              <w:rPr>
                <w:sz w:val="20"/>
                <w:szCs w:val="20"/>
                <w:color w:val="auto"/>
              </w:rPr>
            </w:pPr>
            <w:r>
              <w:rPr>
                <w:rFonts w:ascii="Times New Roman" w:cs="Times New Roman" w:eastAsia="Times New Roman" w:hAnsi="Times New Roman"/>
                <w:sz w:val="14"/>
                <w:szCs w:val="14"/>
                <w:b w:val="1"/>
                <w:bCs w:val="1"/>
                <w:color w:val="auto"/>
              </w:rPr>
              <w:t>Statement of Financial Condition</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3660" w:type="dxa"/>
            <w:vAlign w:val="bottom"/>
          </w:tcPr>
          <w:p>
            <w:pPr>
              <w:spacing w:after="0"/>
              <w:rPr>
                <w:sz w:val="16"/>
                <w:szCs w:val="16"/>
                <w:color w:val="auto"/>
              </w:rPr>
            </w:pPr>
          </w:p>
        </w:tc>
        <w:tc>
          <w:tcPr>
            <w:tcW w:w="6480" w:type="dxa"/>
            <w:vAlign w:val="bottom"/>
            <w:gridSpan w:val="4"/>
          </w:tcPr>
          <w:p>
            <w:pPr>
              <w:jc w:val="right"/>
              <w:ind w:right="4005"/>
              <w:spacing w:after="0"/>
              <w:rPr>
                <w:sz w:val="20"/>
                <w:szCs w:val="20"/>
                <w:color w:val="auto"/>
              </w:rPr>
            </w:pPr>
            <w:r>
              <w:rPr>
                <w:rFonts w:ascii="Times New Roman" w:cs="Times New Roman" w:eastAsia="Times New Roman" w:hAnsi="Times New Roman"/>
                <w:sz w:val="14"/>
                <w:szCs w:val="14"/>
                <w:b w:val="1"/>
                <w:bCs w:val="1"/>
                <w:color w:val="auto"/>
              </w:rPr>
              <w:t>as of 6/30/2024</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39"/>
        </w:trPr>
        <w:tc>
          <w:tcPr>
            <w:tcW w:w="3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780" w:type="dxa"/>
            <w:vAlign w:val="bottom"/>
            <w:gridSpan w:val="3"/>
          </w:tcPr>
          <w:p>
            <w:pPr>
              <w:jc w:val="right"/>
              <w:ind w:right="4205"/>
              <w:spacing w:after="0"/>
              <w:rPr>
                <w:sz w:val="20"/>
                <w:szCs w:val="20"/>
                <w:color w:val="auto"/>
              </w:rPr>
            </w:pPr>
            <w:r>
              <w:rPr>
                <w:rFonts w:ascii="Times New Roman" w:cs="Times New Roman" w:eastAsia="Times New Roman" w:hAnsi="Times New Roman"/>
                <w:sz w:val="14"/>
                <w:szCs w:val="14"/>
                <w:b w:val="1"/>
                <w:bCs w:val="1"/>
                <w:color w:val="auto"/>
              </w:rPr>
              <w:t>($000’s)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9"/>
        </w:trPr>
        <w:tc>
          <w:tcPr>
            <w:tcW w:w="366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40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6/30/2021</w:t>
            </w:r>
          </w:p>
        </w:tc>
        <w:tc>
          <w:tcPr>
            <w:tcW w:w="100" w:type="dxa"/>
            <w:vAlign w:val="bottom"/>
            <w:tcBorders>
              <w:bottom w:val="single" w:sz="8" w:color="CCEEFF"/>
            </w:tcBorders>
          </w:tcPr>
          <w:p>
            <w:pPr>
              <w:spacing w:after="0"/>
              <w:rPr>
                <w:sz w:val="24"/>
                <w:szCs w:val="24"/>
                <w:color w:val="auto"/>
              </w:rPr>
            </w:pPr>
          </w:p>
        </w:tc>
      </w:tr>
      <w:tr>
        <w:trPr>
          <w:trHeight w:val="171"/>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9"/>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Balances Due From Depository Institutions</w:t>
            </w:r>
          </w:p>
        </w:tc>
        <w:tc>
          <w:tcPr>
            <w:tcW w:w="6480" w:type="dxa"/>
            <w:vAlign w:val="bottom"/>
            <w:gridSpan w:val="4"/>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1,420,557</w:t>
            </w:r>
          </w:p>
        </w:tc>
      </w:tr>
      <w:tr>
        <w:trPr>
          <w:trHeight w:val="16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w:t>
            </w:r>
          </w:p>
        </w:tc>
        <w:tc>
          <w:tcPr>
            <w:tcW w:w="1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4,393</w:t>
            </w:r>
          </w:p>
        </w:tc>
      </w:tr>
      <w:tr>
        <w:trPr>
          <w:trHeight w:val="169"/>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Federal Funds</w:t>
            </w: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 &amp; Lease Financing Receivables</w:t>
            </w:r>
          </w:p>
        </w:tc>
        <w:tc>
          <w:tcPr>
            <w:tcW w:w="1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9"/>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Assets</w:t>
            </w: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1,164</w:t>
            </w:r>
          </w:p>
        </w:tc>
      </w:tr>
      <w:tr>
        <w:trPr>
          <w:trHeight w:val="16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Intangible Assets</w:t>
            </w:r>
          </w:p>
        </w:tc>
        <w:tc>
          <w:tcPr>
            <w:tcW w:w="1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577,338</w:t>
            </w:r>
          </w:p>
        </w:tc>
      </w:tr>
      <w:tr>
        <w:trPr>
          <w:trHeight w:val="169"/>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Assets</w:t>
            </w: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153,812</w:t>
            </w:r>
          </w:p>
        </w:tc>
      </w:tr>
      <w:tr>
        <w:trPr>
          <w:trHeight w:val="160"/>
        </w:trPr>
        <w:tc>
          <w:tcPr>
            <w:tcW w:w="36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7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40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2,157,264</w:t>
            </w:r>
          </w:p>
        </w:tc>
        <w:tc>
          <w:tcPr>
            <w:tcW w:w="100" w:type="dxa"/>
            <w:vAlign w:val="bottom"/>
            <w:tcBorders>
              <w:top w:val="single" w:sz="8" w:color="CCEEFF"/>
            </w:tcBorders>
            <w:shd w:val="clear" w:color="auto" w:fill="CCEEFF"/>
          </w:tcPr>
          <w:p>
            <w:pPr>
              <w:spacing w:after="0"/>
              <w:rPr>
                <w:sz w:val="13"/>
                <w:szCs w:val="13"/>
                <w:color w:val="auto"/>
              </w:rPr>
            </w:pPr>
          </w:p>
        </w:tc>
      </w:tr>
      <w:tr>
        <w:trPr>
          <w:trHeight w:val="169"/>
        </w:trPr>
        <w:tc>
          <w:tcPr>
            <w:tcW w:w="3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9"/>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Deposits</w:t>
            </w:r>
          </w:p>
        </w:tc>
        <w:tc>
          <w:tcPr>
            <w:tcW w:w="6480" w:type="dxa"/>
            <w:vAlign w:val="bottom"/>
            <w:gridSpan w:val="4"/>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 Funds</w:t>
            </w:r>
          </w:p>
        </w:tc>
        <w:tc>
          <w:tcPr>
            <w:tcW w:w="1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9"/>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Treasury Demand Notes</w:t>
            </w: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Trading Liabilities</w:t>
            </w:r>
          </w:p>
        </w:tc>
        <w:tc>
          <w:tcPr>
            <w:tcW w:w="1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9"/>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Borrowed Money</w:t>
            </w: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Acceptances</w:t>
            </w:r>
          </w:p>
        </w:tc>
        <w:tc>
          <w:tcPr>
            <w:tcW w:w="1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9"/>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Subordinated Notes and Debentures</w:t>
            </w: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Liabilities</w:t>
            </w:r>
          </w:p>
        </w:tc>
        <w:tc>
          <w:tcPr>
            <w:tcW w:w="1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215,138</w:t>
            </w:r>
          </w:p>
        </w:tc>
      </w:tr>
      <w:tr>
        <w:trPr>
          <w:trHeight w:val="160"/>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00" w:type="dxa"/>
            <w:vAlign w:val="bottom"/>
            <w:tcBorders>
              <w:top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215,138</w:t>
            </w:r>
          </w:p>
        </w:tc>
        <w:tc>
          <w:tcPr>
            <w:tcW w:w="100" w:type="dxa"/>
            <w:vAlign w:val="bottom"/>
          </w:tcPr>
          <w:p>
            <w:pPr>
              <w:spacing w:after="0"/>
              <w:rPr>
                <w:sz w:val="13"/>
                <w:szCs w:val="13"/>
                <w:color w:val="auto"/>
              </w:rPr>
            </w:pPr>
          </w:p>
        </w:tc>
      </w:tr>
      <w:tr>
        <w:trPr>
          <w:trHeight w:val="169"/>
        </w:trPr>
        <w:tc>
          <w:tcPr>
            <w:tcW w:w="36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9"/>
        </w:trPr>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and Preferred Stock</w:t>
            </w:r>
          </w:p>
        </w:tc>
        <w:tc>
          <w:tcPr>
            <w:tcW w:w="1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200</w:t>
            </w:r>
          </w:p>
        </w:tc>
      </w:tr>
      <w:tr>
        <w:trPr>
          <w:trHeight w:val="169"/>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Surplus</w:t>
            </w: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1,171,635</w:t>
            </w:r>
          </w:p>
        </w:tc>
      </w:tr>
      <w:tr>
        <w:trPr>
          <w:trHeight w:val="16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Undivided Profits</w:t>
            </w:r>
          </w:p>
        </w:tc>
        <w:tc>
          <w:tcPr>
            <w:tcW w:w="1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770,291</w:t>
            </w:r>
          </w:p>
        </w:tc>
      </w:tr>
      <w:tr>
        <w:trPr>
          <w:trHeight w:val="169"/>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Minority Interest in Subsidiaries</w:t>
            </w: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0"/>
        </w:trPr>
        <w:tc>
          <w:tcPr>
            <w:tcW w:w="366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Total Equity Capital</w:t>
            </w:r>
          </w:p>
        </w:tc>
        <w:tc>
          <w:tcPr>
            <w:tcW w:w="17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40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1,942,126</w:t>
            </w:r>
          </w:p>
        </w:tc>
        <w:tc>
          <w:tcPr>
            <w:tcW w:w="100" w:type="dxa"/>
            <w:vAlign w:val="bottom"/>
            <w:tcBorders>
              <w:top w:val="single" w:sz="8" w:color="CCEEFF"/>
            </w:tcBorders>
            <w:shd w:val="clear" w:color="auto" w:fill="CCEEFF"/>
          </w:tcPr>
          <w:p>
            <w:pPr>
              <w:spacing w:after="0"/>
              <w:rPr>
                <w:sz w:val="13"/>
                <w:szCs w:val="13"/>
                <w:color w:val="auto"/>
              </w:rPr>
            </w:pPr>
          </w:p>
        </w:tc>
      </w:tr>
      <w:tr>
        <w:trPr>
          <w:trHeight w:val="169"/>
        </w:trPr>
        <w:tc>
          <w:tcPr>
            <w:tcW w:w="3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Equity Capital</w:t>
            </w:r>
          </w:p>
        </w:tc>
        <w:tc>
          <w:tcPr>
            <w:tcW w:w="6480" w:type="dxa"/>
            <w:vAlign w:val="bottom"/>
            <w:gridSpan w:val="4"/>
            <w:shd w:val="clear" w:color="auto" w:fill="CCEEFF"/>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2,157,264</w:t>
            </w:r>
          </w:p>
        </w:tc>
      </w:tr>
      <w:tr>
        <w:trPr>
          <w:trHeight w:val="551"/>
        </w:trPr>
        <w:tc>
          <w:tcPr>
            <w:tcW w:w="36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30" w:right="319" w:bottom="1440" w:gutter="0" w:footer="0" w:header="0"/>
        </w:sectPr>
      </w:pPr>
    </w:p>
    <w:bookmarkStart w:id="107" w:name="page108"/>
    <w:bookmarkEnd w:id="107"/>
    <w:p>
      <w:pPr>
        <w:ind w:left="3480"/>
        <w:spacing w:after="0"/>
        <w:rPr>
          <w:sz w:val="20"/>
          <w:szCs w:val="20"/>
          <w:color w:val="auto"/>
        </w:rPr>
      </w:pPr>
      <w:r>
        <w:rPr>
          <w:rFonts w:ascii="Arial" w:cs="Arial" w:eastAsia="Arial" w:hAnsi="Arial"/>
          <w:sz w:val="28"/>
          <w:szCs w:val="28"/>
          <w:b w:val="1"/>
          <w:bCs w:val="1"/>
          <w:color w:val="auto"/>
        </w:rPr>
        <w:t>Calculation of Filing Fee Tables</w:t>
      </w:r>
    </w:p>
    <w:p>
      <w:pPr>
        <w:spacing w:after="0" w:line="176"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102"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PLAINS ALL AMERICAN PIPELINE LP</w:t>
      </w:r>
    </w:p>
    <w:p>
      <w:pPr>
        <w:spacing w:after="0" w:line="131"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Table 1: Newly Registered and Carry Forward Securities</w:t>
      </w:r>
    </w:p>
    <w:p>
      <w:pPr>
        <w:spacing w:after="0" w:line="36"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8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64" w:lineRule="exact"/>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8"/>
              </w:rPr>
              <w:t>Carry</w:t>
            </w:r>
          </w:p>
        </w:tc>
        <w:tc>
          <w:tcPr>
            <w:tcW w:w="40" w:type="dxa"/>
            <w:vAlign w:val="bottom"/>
          </w:tcPr>
          <w:p>
            <w:pPr>
              <w:spacing w:after="0"/>
              <w:rPr>
                <w:sz w:val="14"/>
                <w:szCs w:val="14"/>
                <w:color w:val="auto"/>
              </w:rPr>
            </w:pPr>
          </w:p>
        </w:tc>
        <w:tc>
          <w:tcPr>
            <w:tcW w:w="70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60" w:type="dxa"/>
            <w:vAlign w:val="bottom"/>
            <w:shd w:val="clear" w:color="auto" w:fill="9ADAF6"/>
          </w:tcPr>
          <w:p>
            <w:pPr>
              <w:ind w:left="140"/>
              <w:spacing w:after="0" w:line="191"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35"/>
              <w:spacing w:after="0" w:line="191" w:lineRule="exact"/>
              <w:rPr>
                <w:sz w:val="20"/>
                <w:szCs w:val="20"/>
                <w:color w:val="auto"/>
              </w:rPr>
            </w:pPr>
            <w:r>
              <w:rPr>
                <w:rFonts w:ascii="Arial" w:cs="Arial" w:eastAsia="Arial" w:hAnsi="Arial"/>
                <w:sz w:val="17"/>
                <w:szCs w:val="17"/>
                <w:b w:val="1"/>
                <w:bCs w:val="1"/>
                <w:color w:val="auto"/>
              </w:rPr>
              <w:t>Amount</w:t>
            </w:r>
          </w:p>
        </w:tc>
        <w:tc>
          <w:tcPr>
            <w:tcW w:w="4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right"/>
              <w:ind w:right="2"/>
              <w:spacing w:after="0" w:line="191" w:lineRule="exact"/>
              <w:rPr>
                <w:sz w:val="20"/>
                <w:szCs w:val="20"/>
                <w:color w:val="auto"/>
              </w:rPr>
            </w:pPr>
            <w:r>
              <w:rPr>
                <w:rFonts w:ascii="Arial" w:cs="Arial" w:eastAsia="Arial" w:hAnsi="Arial"/>
                <w:sz w:val="17"/>
                <w:szCs w:val="17"/>
                <w:b w:val="1"/>
                <w:bCs w:val="1"/>
                <w:color w:val="auto"/>
              </w:rPr>
              <w:t>Amount of</w:t>
            </w:r>
          </w:p>
        </w:tc>
        <w:tc>
          <w:tcPr>
            <w:tcW w:w="40" w:type="dxa"/>
            <w:vAlign w:val="bottom"/>
          </w:tcPr>
          <w:p>
            <w:pPr>
              <w:spacing w:after="0"/>
              <w:rPr>
                <w:sz w:val="16"/>
                <w:szCs w:val="16"/>
                <w:color w:val="auto"/>
              </w:rPr>
            </w:pPr>
          </w:p>
        </w:tc>
        <w:tc>
          <w:tcPr>
            <w:tcW w:w="68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Forward</w:t>
            </w:r>
          </w:p>
        </w:tc>
        <w:tc>
          <w:tcPr>
            <w:tcW w:w="4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3"/>
              </w:rPr>
              <w:t>with</w:t>
            </w: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shd w:val="clear" w:color="auto" w:fill="9ADAF6"/>
          </w:tcPr>
          <w:p>
            <w:pPr>
              <w:ind w:left="160"/>
              <w:spacing w:after="0"/>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0"/>
                <w:szCs w:val="10"/>
                <w:color w:val="auto"/>
              </w:rPr>
            </w:pPr>
          </w:p>
        </w:tc>
        <w:tc>
          <w:tcPr>
            <w:tcW w:w="960" w:type="dxa"/>
            <w:vAlign w:val="bottom"/>
            <w:vMerge w:val="restart"/>
            <w:shd w:val="clear" w:color="auto" w:fill="9ADAF6"/>
          </w:tcPr>
          <w:p>
            <w:pPr>
              <w:ind w:left="60"/>
              <w:spacing w:after="0"/>
              <w:rPr>
                <w:sz w:val="20"/>
                <w:szCs w:val="20"/>
                <w:color w:val="auto"/>
              </w:rPr>
            </w:pPr>
            <w:r>
              <w:rPr>
                <w:rFonts w:ascii="Arial" w:cs="Arial" w:eastAsia="Arial" w:hAnsi="Arial"/>
                <w:sz w:val="17"/>
                <w:szCs w:val="17"/>
                <w:b w:val="1"/>
                <w:bCs w:val="1"/>
                <w:color w:val="auto"/>
              </w:rPr>
              <w:t>Class Title</w:t>
            </w: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or Carry</w:t>
            </w:r>
          </w:p>
        </w:tc>
        <w:tc>
          <w:tcPr>
            <w:tcW w:w="20" w:type="dxa"/>
            <w:vAlign w:val="bottom"/>
          </w:tcPr>
          <w:p>
            <w:pPr>
              <w:spacing w:after="0"/>
              <w:rPr>
                <w:sz w:val="10"/>
                <w:szCs w:val="10"/>
                <w:color w:val="auto"/>
              </w:rPr>
            </w:pPr>
          </w:p>
        </w:tc>
        <w:tc>
          <w:tcPr>
            <w:tcW w:w="900" w:type="dxa"/>
            <w:vAlign w:val="bottom"/>
            <w:vMerge w:val="restart"/>
            <w:shd w:val="clear" w:color="auto" w:fill="9ADAF6"/>
          </w:tcPr>
          <w:p>
            <w:pPr>
              <w:jc w:val="right"/>
              <w:spacing w:after="0"/>
              <w:rPr>
                <w:sz w:val="20"/>
                <w:szCs w:val="20"/>
                <w:color w:val="auto"/>
              </w:rPr>
            </w:pPr>
            <w:r>
              <w:rPr>
                <w:rFonts w:ascii="Arial" w:cs="Arial" w:eastAsia="Arial" w:hAnsi="Arial"/>
                <w:sz w:val="17"/>
                <w:szCs w:val="17"/>
                <w:b w:val="1"/>
                <w:bCs w:val="1"/>
                <w:color w:val="auto"/>
              </w:rPr>
              <w:t>Registered</w:t>
            </w:r>
          </w:p>
        </w:tc>
        <w:tc>
          <w:tcPr>
            <w:tcW w:w="40" w:type="dxa"/>
            <w:vAlign w:val="bottom"/>
          </w:tcPr>
          <w:p>
            <w:pPr>
              <w:spacing w:after="0"/>
              <w:rPr>
                <w:sz w:val="10"/>
                <w:szCs w:val="10"/>
                <w:color w:val="auto"/>
              </w:rPr>
            </w:pPr>
          </w:p>
        </w:tc>
        <w:tc>
          <w:tcPr>
            <w:tcW w:w="8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Offering</w:t>
            </w:r>
          </w:p>
        </w:tc>
        <w:tc>
          <w:tcPr>
            <w:tcW w:w="20" w:type="dxa"/>
            <w:vAlign w:val="bottom"/>
          </w:tcPr>
          <w:p>
            <w:pPr>
              <w:spacing w:after="0"/>
              <w:rPr>
                <w:sz w:val="10"/>
                <w:szCs w:val="10"/>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0"/>
                <w:szCs w:val="10"/>
                <w:color w:val="auto"/>
              </w:rPr>
            </w:pPr>
          </w:p>
        </w:tc>
        <w:tc>
          <w:tcPr>
            <w:tcW w:w="84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9ADAF6"/>
          </w:tcPr>
          <w:p>
            <w:pPr>
              <w:jc w:val="right"/>
              <w:spacing w:after="0" w:line="117" w:lineRule="exact"/>
              <w:rPr>
                <w:sz w:val="20"/>
                <w:szCs w:val="20"/>
                <w:color w:val="auto"/>
              </w:rPr>
            </w:pPr>
            <w:r>
              <w:rPr>
                <w:rFonts w:ascii="Arial" w:cs="Arial" w:eastAsia="Arial" w:hAnsi="Arial"/>
                <w:sz w:val="13"/>
                <w:szCs w:val="13"/>
                <w:b w:val="1"/>
                <w:bCs w:val="1"/>
                <w:color w:val="auto"/>
              </w:rPr>
              <w:t>Registration</w:t>
            </w:r>
          </w:p>
        </w:tc>
        <w:tc>
          <w:tcPr>
            <w:tcW w:w="40" w:type="dxa"/>
            <w:vAlign w:val="bottom"/>
          </w:tcPr>
          <w:p>
            <w:pPr>
              <w:spacing w:after="0"/>
              <w:rPr>
                <w:sz w:val="10"/>
                <w:szCs w:val="10"/>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Form</w:t>
            </w:r>
          </w:p>
        </w:tc>
        <w:tc>
          <w:tcPr>
            <w:tcW w:w="40" w:type="dxa"/>
            <w:vAlign w:val="bottom"/>
          </w:tcPr>
          <w:p>
            <w:pPr>
              <w:spacing w:after="0"/>
              <w:rPr>
                <w:sz w:val="10"/>
                <w:szCs w:val="10"/>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0"/>
                <w:szCs w:val="10"/>
                <w:color w:val="auto"/>
              </w:rPr>
            </w:pPr>
          </w:p>
        </w:tc>
        <w:tc>
          <w:tcPr>
            <w:tcW w:w="7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Initial</w:t>
            </w:r>
          </w:p>
        </w:tc>
        <w:tc>
          <w:tcPr>
            <w:tcW w:w="20" w:type="dxa"/>
            <w:vAlign w:val="bottom"/>
          </w:tcPr>
          <w:p>
            <w:pPr>
              <w:spacing w:after="0"/>
              <w:rPr>
                <w:sz w:val="10"/>
                <w:szCs w:val="10"/>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4"/>
                <w:szCs w:val="14"/>
                <w:color w:val="auto"/>
              </w:rPr>
            </w:pPr>
          </w:p>
        </w:tc>
        <w:tc>
          <w:tcPr>
            <w:tcW w:w="8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jc w:val="right"/>
              <w:ind w:right="282"/>
              <w:spacing w:after="0" w:line="169" w:lineRule="exact"/>
              <w:rPr>
                <w:sz w:val="20"/>
                <w:szCs w:val="20"/>
                <w:color w:val="auto"/>
              </w:rPr>
            </w:pPr>
            <w:r>
              <w:rPr>
                <w:rFonts w:ascii="Arial" w:cs="Arial" w:eastAsia="Arial" w:hAnsi="Arial"/>
                <w:sz w:val="17"/>
                <w:szCs w:val="17"/>
                <w:b w:val="1"/>
                <w:bCs w:val="1"/>
                <w:color w:val="auto"/>
              </w:rPr>
              <w:t>Fee</w:t>
            </w:r>
          </w:p>
        </w:tc>
        <w:tc>
          <w:tcPr>
            <w:tcW w:w="4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4"/>
                <w:szCs w:val="14"/>
                <w:color w:val="auto"/>
              </w:rPr>
            </w:pPr>
          </w:p>
        </w:tc>
        <w:tc>
          <w:tcPr>
            <w:tcW w:w="98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0"/>
                <w:szCs w:val="10"/>
                <w:color w:val="auto"/>
              </w:rPr>
            </w:pPr>
          </w:p>
        </w:tc>
        <w:tc>
          <w:tcPr>
            <w:tcW w:w="9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Unit</w:t>
            </w:r>
          </w:p>
        </w:tc>
        <w:tc>
          <w:tcPr>
            <w:tcW w:w="20" w:type="dxa"/>
            <w:vAlign w:val="bottom"/>
          </w:tcPr>
          <w:p>
            <w:pPr>
              <w:spacing w:after="0"/>
              <w:rPr>
                <w:sz w:val="10"/>
                <w:szCs w:val="10"/>
                <w:color w:val="auto"/>
              </w:rPr>
            </w:pPr>
          </w:p>
        </w:tc>
        <w:tc>
          <w:tcPr>
            <w:tcW w:w="86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Price</w:t>
            </w:r>
          </w:p>
        </w:tc>
        <w:tc>
          <w:tcPr>
            <w:tcW w:w="20" w:type="dxa"/>
            <w:vAlign w:val="bottom"/>
          </w:tcPr>
          <w:p>
            <w:pPr>
              <w:spacing w:after="0"/>
              <w:rPr>
                <w:sz w:val="10"/>
                <w:szCs w:val="10"/>
                <w:color w:val="auto"/>
              </w:rPr>
            </w:pPr>
          </w:p>
        </w:tc>
        <w:tc>
          <w:tcPr>
            <w:tcW w:w="8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Type</w:t>
            </w:r>
          </w:p>
        </w:tc>
        <w:tc>
          <w:tcPr>
            <w:tcW w:w="40" w:type="dxa"/>
            <w:vAlign w:val="bottom"/>
          </w:tcPr>
          <w:p>
            <w:pPr>
              <w:spacing w:after="0"/>
              <w:rPr>
                <w:sz w:val="10"/>
                <w:szCs w:val="10"/>
                <w:color w:val="auto"/>
              </w:rPr>
            </w:pPr>
          </w:p>
        </w:tc>
        <w:tc>
          <w:tcPr>
            <w:tcW w:w="7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0"/>
                <w:szCs w:val="10"/>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55"/>
        </w:trPr>
        <w:tc>
          <w:tcPr>
            <w:tcW w:w="40" w:type="dxa"/>
            <w:vAlign w:val="bottom"/>
            <w:tcBorders>
              <w:left w:val="single" w:sz="8" w:color="auto"/>
            </w:tcBorders>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00" w:type="dxa"/>
            <w:vAlign w:val="bottom"/>
            <w:gridSpan w:val="9"/>
          </w:tcPr>
          <w:p>
            <w:pPr>
              <w:jc w:val="right"/>
              <w:ind w:right="1262"/>
              <w:spacing w:after="0"/>
              <w:rPr>
                <w:sz w:val="20"/>
                <w:szCs w:val="20"/>
                <w:color w:val="auto"/>
              </w:rPr>
            </w:pPr>
            <w:r>
              <w:rPr>
                <w:rFonts w:ascii="Arial" w:cs="Arial" w:eastAsia="Arial" w:hAnsi="Arial"/>
                <w:sz w:val="17"/>
                <w:szCs w:val="17"/>
                <w:b w:val="1"/>
                <w:bCs w:val="1"/>
                <w:color w:val="auto"/>
              </w:rPr>
              <w:t>Newly Registered Securities</w:t>
            </w: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ind w:left="20"/>
              <w:spacing w:after="0" w:line="186"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units</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96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w w:val="97"/>
              </w:rPr>
              <w:t>representing</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0.0001476</w:t>
            </w: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restart"/>
            <w:shd w:val="clear" w:color="auto" w:fill="E7E7E2"/>
          </w:tcPr>
          <w:p>
            <w:pPr>
              <w:spacing w:after="0" w:line="191"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restart"/>
            <w:shd w:val="clear" w:color="auto" w:fill="E7E7E2"/>
          </w:tcPr>
          <w:p>
            <w:pPr>
              <w:ind w:left="20"/>
              <w:spacing w:after="0" w:line="191" w:lineRule="exact"/>
              <w:rPr>
                <w:sz w:val="20"/>
                <w:szCs w:val="20"/>
                <w:color w:val="auto"/>
              </w:rPr>
            </w:pPr>
            <w:r>
              <w:rPr>
                <w:rFonts w:ascii="Arial" w:cs="Arial" w:eastAsia="Arial" w:hAnsi="Arial"/>
                <w:sz w:val="17"/>
                <w:szCs w:val="17"/>
                <w:color w:val="auto"/>
              </w:rPr>
              <w:t>limited</w:t>
            </w: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40" w:type="dxa"/>
            <w:vAlign w:val="bottom"/>
            <w:tcBorders>
              <w:left w:val="single" w:sz="8" w:color="auto"/>
            </w:tcBorders>
          </w:tcPr>
          <w:p>
            <w:pPr>
              <w:spacing w:after="0"/>
              <w:rPr>
                <w:sz w:val="5"/>
                <w:szCs w:val="5"/>
                <w:color w:val="auto"/>
              </w:rPr>
            </w:pPr>
          </w:p>
        </w:tc>
        <w:tc>
          <w:tcPr>
            <w:tcW w:w="80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partner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17"/>
                <w:szCs w:val="17"/>
                <w:color w:val="auto"/>
              </w:rPr>
              <w:t>interests</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ind w:left="20"/>
              <w:spacing w:after="0" w:line="180" w:lineRule="exact"/>
              <w:rPr>
                <w:sz w:val="20"/>
                <w:szCs w:val="20"/>
                <w:color w:val="auto"/>
              </w:rPr>
            </w:pPr>
            <w:r>
              <w:rPr>
                <w:rFonts w:ascii="Arial" w:cs="Arial" w:eastAsia="Arial" w:hAnsi="Arial"/>
                <w:sz w:val="17"/>
                <w:szCs w:val="17"/>
                <w:color w:val="auto"/>
              </w:rPr>
              <w:t>Preferred</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units</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96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w w:val="97"/>
              </w:rPr>
              <w:t>representing</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0.0001476</w:t>
            </w: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restart"/>
            <w:shd w:val="clear" w:color="auto" w:fill="E7E7E2"/>
          </w:tcPr>
          <w:p>
            <w:pPr>
              <w:spacing w:after="0" w:line="191"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restart"/>
            <w:shd w:val="clear" w:color="auto" w:fill="E7E7E2"/>
          </w:tcPr>
          <w:p>
            <w:pPr>
              <w:ind w:left="20"/>
              <w:spacing w:after="0" w:line="191" w:lineRule="exact"/>
              <w:rPr>
                <w:sz w:val="20"/>
                <w:szCs w:val="20"/>
                <w:color w:val="auto"/>
              </w:rPr>
            </w:pPr>
            <w:r>
              <w:rPr>
                <w:rFonts w:ascii="Arial" w:cs="Arial" w:eastAsia="Arial" w:hAnsi="Arial"/>
                <w:sz w:val="17"/>
                <w:szCs w:val="17"/>
                <w:color w:val="auto"/>
              </w:rPr>
              <w:t>limited</w:t>
            </w: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40" w:type="dxa"/>
            <w:vAlign w:val="bottom"/>
            <w:tcBorders>
              <w:left w:val="single" w:sz="8" w:color="auto"/>
            </w:tcBorders>
          </w:tcPr>
          <w:p>
            <w:pPr>
              <w:spacing w:after="0"/>
              <w:rPr>
                <w:sz w:val="5"/>
                <w:szCs w:val="5"/>
                <w:color w:val="auto"/>
              </w:rPr>
            </w:pPr>
          </w:p>
        </w:tc>
        <w:tc>
          <w:tcPr>
            <w:tcW w:w="80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partner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17"/>
                <w:szCs w:val="17"/>
                <w:color w:val="auto"/>
              </w:rPr>
              <w:t>interests</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3</w:t>
            </w:r>
          </w:p>
        </w:tc>
        <w:tc>
          <w:tcPr>
            <w:tcW w:w="20" w:type="dxa"/>
            <w:vAlign w:val="bottom"/>
          </w:tcPr>
          <w:p>
            <w:pPr>
              <w:spacing w:after="0"/>
              <w:rPr>
                <w:sz w:val="15"/>
                <w:szCs w:val="15"/>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5"/>
                <w:szCs w:val="15"/>
                <w:color w:val="auto"/>
              </w:rPr>
            </w:pPr>
          </w:p>
        </w:tc>
        <w:tc>
          <w:tcPr>
            <w:tcW w:w="960" w:type="dxa"/>
            <w:vAlign w:val="bottom"/>
            <w:shd w:val="clear" w:color="auto" w:fill="E7E7E2"/>
          </w:tcPr>
          <w:p>
            <w:pPr>
              <w:ind w:left="20"/>
              <w:spacing w:after="0" w:line="180"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15"/>
                <w:szCs w:val="15"/>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0.0001476</w:t>
            </w: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60" w:type="dxa"/>
            <w:vAlign w:val="bottom"/>
            <w:gridSpan w:val="7"/>
          </w:tcPr>
          <w:p>
            <w:pPr>
              <w:jc w:val="right"/>
              <w:ind w:right="1382"/>
              <w:spacing w:after="0"/>
              <w:rPr>
                <w:sz w:val="20"/>
                <w:szCs w:val="20"/>
                <w:color w:val="auto"/>
              </w:rPr>
            </w:pPr>
            <w:r>
              <w:rPr>
                <w:rFonts w:ascii="Arial" w:cs="Arial" w:eastAsia="Arial" w:hAnsi="Arial"/>
                <w:sz w:val="17"/>
                <w:szCs w:val="17"/>
                <w:b w:val="1"/>
                <w:bCs w:val="1"/>
                <w:color w:val="auto"/>
              </w:rPr>
              <w:t>Carry Forward Securities</w:t>
            </w: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188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4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8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8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$ 0.00</w:t>
            </w:r>
          </w:p>
        </w:tc>
        <w:tc>
          <w:tcPr>
            <w:tcW w:w="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(1a) Any securities registered hereunder may be sold separately or as units with other securities registered hereunder.</w:t>
      </w:r>
    </w:p>
    <w:p>
      <w:pPr>
        <w:spacing w:after="0" w:line="186" w:lineRule="exact"/>
        <w:rPr>
          <w:sz w:val="20"/>
          <w:szCs w:val="20"/>
          <w:color w:val="auto"/>
        </w:rPr>
      </w:pPr>
    </w:p>
    <w:p>
      <w:pPr>
        <w:ind w:left="220" w:right="240"/>
        <w:spacing w:after="0" w:line="251" w:lineRule="auto"/>
        <w:rPr>
          <w:sz w:val="20"/>
          <w:szCs w:val="20"/>
          <w:color w:val="auto"/>
        </w:rPr>
      </w:pPr>
      <w:r>
        <w:rPr>
          <w:rFonts w:ascii="Arial" w:cs="Arial" w:eastAsia="Arial" w:hAnsi="Arial"/>
          <w:sz w:val="17"/>
          <w:szCs w:val="17"/>
          <w:color w:val="auto"/>
        </w:rPr>
        <w:t>(1b) In accordance with Rules 456(b) and 457(r) under the Securities Act of 1933, as amended, the registrant is deferring payment of all of the registration fees required in connection with this Registration Statement and will pay any registration fees then due subsequently in advance or on a pay-as-you-go basis.</w:t>
      </w:r>
    </w:p>
    <w:p>
      <w:pPr>
        <w:spacing w:after="0" w:line="149" w:lineRule="exact"/>
        <w:rPr>
          <w:sz w:val="20"/>
          <w:szCs w:val="20"/>
          <w:color w:val="auto"/>
        </w:rPr>
      </w:pPr>
    </w:p>
    <w:p>
      <w:pPr>
        <w:jc w:val="both"/>
        <w:ind w:left="220" w:right="280"/>
        <w:spacing w:after="0" w:line="251" w:lineRule="auto"/>
        <w:rPr>
          <w:sz w:val="20"/>
          <w:szCs w:val="20"/>
          <w:color w:val="auto"/>
        </w:rPr>
      </w:pPr>
      <w:r>
        <w:rPr>
          <w:rFonts w:ascii="Arial" w:cs="Arial" w:eastAsia="Arial" w:hAnsi="Arial"/>
          <w:sz w:val="17"/>
          <w:szCs w:val="17"/>
          <w:color w:val="auto"/>
        </w:rPr>
        <w:t>(1c) There is being registered hereunder such indeterminate number or amount of common units representing limited partner interests, preferred units representing limited partner interests and debt securities as may from time to time by issued by the registrant at indeterminate prices and as may be issuable upon conversion, redemption, exchange, exercise or settlement of any securities registered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175895</wp:posOffset>
            </wp:positionV>
            <wp:extent cx="704596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7045960" cy="3873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1"/>
          <w:szCs w:val="11"/>
          <w:color w:val="auto"/>
        </w:rPr>
        <w:t>2</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78105</wp:posOffset>
            </wp:positionV>
            <wp:extent cx="704596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7045960" cy="38735"/>
                    </a:xfrm>
                    <a:prstGeom prst="rect">
                      <a:avLst/>
                    </a:prstGeom>
                    <a:noFill/>
                  </pic:spPr>
                </pic:pic>
              </a:graphicData>
            </a:graphic>
          </wp:anchor>
        </w:drawing>
      </w:r>
    </w:p>
    <w:p>
      <w:pPr>
        <w:spacing w:after="0" w:line="261" w:lineRule="exact"/>
        <w:rPr>
          <w:sz w:val="20"/>
          <w:szCs w:val="20"/>
          <w:color w:val="auto"/>
        </w:rPr>
      </w:pPr>
    </w:p>
    <w:p>
      <w:pPr>
        <w:ind w:left="40"/>
        <w:spacing w:after="0"/>
        <w:rPr>
          <w:sz w:val="20"/>
          <w:szCs w:val="20"/>
          <w:color w:val="auto"/>
        </w:rPr>
      </w:pPr>
      <w:r>
        <w:rPr>
          <w:rFonts w:ascii="Arial" w:cs="Arial" w:eastAsia="Arial" w:hAnsi="Arial"/>
          <w:sz w:val="11"/>
          <w:szCs w:val="11"/>
          <w:color w:val="auto"/>
        </w:rPr>
        <w:t>3</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78105</wp:posOffset>
            </wp:positionV>
            <wp:extent cx="704596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7045960" cy="38735"/>
                    </a:xfrm>
                    <a:prstGeom prst="rect">
                      <a:avLst/>
                    </a:prstGeom>
                    <a:noFill/>
                  </pic:spPr>
                </pic:pic>
              </a:graphicData>
            </a:graphic>
          </wp:anchor>
        </w:drawing>
      </w:r>
    </w:p>
    <w:sectPr>
      <w:pgSz w:w="11900" w:h="16838" w:orient="portrait"/>
      <w:cols w:equalWidth="0" w:num="1">
        <w:col w:w="11360"/>
      </w:cols>
      <w:pgMar w:left="300" w:top="1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1)"/>
      <w:numFmt w:val="lowerLetter"/>
      <w:start w:val="1"/>
    </w:lvl>
    <w:lvl w:ilvl="1">
      <w:lvlJc w:val="left"/>
      <w:lvlText w:val="(%2)"/>
      <w:numFmt w:val="decimal"/>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1)"/>
      <w:numFmt w:val="lowerRoman"/>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1)"/>
      <w:numFmt w:val="lowerLetter"/>
      <w:start w:val="1"/>
    </w:lvl>
  </w:abstractNum>
  <w:abstractNum w:abstractNumId="28">
    <w:nsid w:val="2CD89A32"/>
    <w:multiLevelType w:val="hybridMultilevel"/>
    <w:lvl w:ilvl="0">
      <w:lvlJc w:val="left"/>
      <w:lvlText w:val="(%1)"/>
      <w:numFmt w:val="lowerRoman"/>
      <w:start w:val="1"/>
    </w:lvl>
  </w:abstractNum>
  <w:abstractNum w:abstractNumId="29">
    <w:nsid w:val="57E4CCAF"/>
    <w:multiLevelType w:val="hybridMultilevel"/>
    <w:lvl w:ilvl="0">
      <w:lvlJc w:val="left"/>
      <w:lvlText w:val="(%1)"/>
      <w:numFmt w:val="decimal"/>
      <w:start w:val="2"/>
    </w:lvl>
  </w:abstractNum>
  <w:abstractNum w:abstractNumId="30">
    <w:nsid w:val="7A6D8D3C"/>
    <w:multiLevelType w:val="hybridMultilevel"/>
    <w:lvl w:ilvl="0">
      <w:lvlJc w:val="left"/>
      <w:lvlText w:val="(%1)"/>
      <w:numFmt w:val="decimal"/>
      <w:start w:val="3"/>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1)"/>
      <w:numFmt w:val="lowerRoman"/>
      <w:start w:val="1"/>
    </w:lvl>
  </w:abstractNum>
  <w:abstractNum w:abstractNumId="36">
    <w:nsid w:val="32FFF902"/>
    <w:multiLevelType w:val="hybridMultilevel"/>
    <w:lvl w:ilvl="0">
      <w:lvlJc w:val="left"/>
      <w:lvlText w:val="•"/>
      <w:numFmt w:val="bullet"/>
      <w:start w:val="1"/>
    </w:lvl>
    <w:lvl w:ilvl="1">
      <w:lvlJc w:val="left"/>
      <w:lvlText w:val="•"/>
      <w:numFmt w:val="bullet"/>
      <w:start w:val="1"/>
    </w:lvl>
  </w:abstractNum>
  <w:abstractNum w:abstractNumId="37">
    <w:nsid w:val="684A481A"/>
    <w:multiLevelType w:val="hybridMultilevel"/>
    <w:lvl w:ilvl="0">
      <w:lvlJc w:val="left"/>
      <w:lvlText w:val="&amp;"/>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1)"/>
      <w:numFmt w:val="lowerLetter"/>
      <w:start w:val="5"/>
    </w:lvl>
  </w:abstractNum>
  <w:abstractNum w:abstractNumId="43">
    <w:nsid w:val="75C6C33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44">
    <w:nsid w:val="12E685FB"/>
    <w:multiLevelType w:val="hybridMultilevel"/>
    <w:lvl w:ilvl="0">
      <w:lvlJc w:val="left"/>
      <w:lvlText w:val="(%1)"/>
      <w:numFmt w:val="decimal"/>
      <w:start w:val="2"/>
    </w:lvl>
    <w:lvl w:ilvl="1">
      <w:lvlJc w:val="left"/>
      <w:lvlText w:val="(%2)"/>
      <w:numFmt w:val="lowerLetter"/>
      <w:start w:val="1"/>
    </w:lvl>
  </w:abstractNum>
  <w:abstractNum w:abstractNumId="45">
    <w:nsid w:val="70C6A529"/>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46">
    <w:nsid w:val="520EEDD1"/>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1)"/>
      <w:numFmt w:val="lowerRoman"/>
      <w:start w:val="3"/>
    </w:lvl>
  </w:abstractNum>
  <w:abstractNum w:abstractNumId="51">
    <w:nsid w:val="275AC794"/>
    <w:multiLevelType w:val="hybridMultilevel"/>
    <w:lvl w:ilvl="0">
      <w:lvlJc w:val="left"/>
      <w:lvlText w:val="(%1)"/>
      <w:numFmt w:val="lowerRoman"/>
      <w:start w:val="4"/>
    </w:lvl>
  </w:abstractNum>
  <w:abstractNum w:abstractNumId="52">
    <w:nsid w:val="39386575"/>
    <w:multiLevelType w:val="hybridMultilevel"/>
    <w:lvl w:ilvl="0">
      <w:lvlJc w:val="left"/>
      <w:lvlText w:val="%1)"/>
      <w:numFmt w:val="lowerLetter"/>
      <w:start w:val="1"/>
    </w:lvl>
  </w:abstractNum>
  <w:abstractNum w:abstractNumId="53">
    <w:nsid w:val="1CF10FD8"/>
    <w:multiLevelType w:val="hybridMultilevel"/>
    <w:lvl w:ilvl="0">
      <w:lvlJc w:val="left"/>
      <w:lvlText w:val="%1."/>
      <w:numFmt w:val="decimal"/>
      <w:start w:val="1"/>
    </w:lvl>
  </w:abstractNum>
  <w:abstractNum w:abstractNumId="54">
    <w:nsid w:val="180115BE"/>
    <w:multiLevelType w:val="hybridMultilevel"/>
    <w:lvl w:ilvl="0">
      <w:lvlJc w:val="left"/>
      <w:lvlText w:val="(%1)"/>
      <w:numFmt w:val="decimal"/>
      <w:start w:val="1"/>
    </w:lvl>
    <w:lvl w:ilvl="1">
      <w:lvlJc w:val="left"/>
      <w:lvlText w:val="-"/>
      <w:numFmt w:val="bullet"/>
      <w:start w:val="1"/>
    </w:lvl>
  </w:abstractNum>
  <w:abstractNum w:abstractNumId="55">
    <w:nsid w:val="235BA861"/>
    <w:multiLevelType w:val="hybridMultilevel"/>
    <w:lvl w:ilvl="0">
      <w:lvlJc w:val="left"/>
      <w:lvlText w:val="(%1)"/>
      <w:numFmt w:val="decimal"/>
      <w:start w:val="8"/>
    </w:lvl>
  </w:abstractNum>
  <w:abstractNum w:abstractNumId="56">
    <w:nsid w:val="47398C89"/>
    <w:multiLevelType w:val="hybridMultilevel"/>
    <w:lvl w:ilvl="0">
      <w:lvlJc w:val="left"/>
      <w:lvlText w:val="%1)"/>
      <w:numFmt w:val="lowerLetter"/>
      <w:start w:val="1"/>
    </w:lvl>
  </w:abstractNum>
  <w:abstractNum w:abstractNumId="57">
    <w:nsid w:val="354FE9F9"/>
    <w:multiLevelType w:val="hybridMultilevel"/>
    <w:lvl w:ilvl="0">
      <w:lvlJc w:val="left"/>
      <w:lvlText w:val="%1."/>
      <w:numFmt w:val="decimal"/>
      <w:start w:val="1"/>
    </w:lvl>
  </w:abstractNum>
  <w:abstractNum w:abstractNumId="58">
    <w:nsid w:val="15B5AF5C"/>
    <w:multiLevelType w:val="hybridMultilevel"/>
    <w:lvl w:ilvl="0">
      <w:lvlJc w:val="left"/>
      <w:lvlText w:val="(%1)"/>
      <w:numFmt w:val="decimal"/>
      <w:start w:val="1"/>
    </w:lvl>
    <w:lvl w:ilvl="1">
      <w:lvlJc w:val="left"/>
      <w:lvlText w:val="-"/>
      <w:numFmt w:val="bullet"/>
      <w:start w:val="1"/>
    </w:lvl>
  </w:abstractNum>
  <w:abstractNum w:abstractNumId="59">
    <w:nsid w:val="741226BB"/>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jpeg"/><Relationship Id="rId106" Type="http://schemas.openxmlformats.org/officeDocument/2006/relationships/image" Target="media/image88.jpeg"/><Relationship Id="rId107" Type="http://schemas.openxmlformats.org/officeDocument/2006/relationships/image" Target="media/image89.png"/><Relationship Id="rId108" Type="http://schemas.openxmlformats.org/officeDocument/2006/relationships/image" Target="media/image90.jpeg"/><Relationship Id="rId109" Type="http://schemas.openxmlformats.org/officeDocument/2006/relationships/image" Target="media/image91.png"/><Relationship Id="rId110" Type="http://schemas.openxmlformats.org/officeDocument/2006/relationships/image" Target="media/image92.jpeg"/><Relationship Id="rId111" Type="http://schemas.openxmlformats.org/officeDocument/2006/relationships/image" Target="media/image93.png"/><Relationship Id="rId112" Type="http://schemas.openxmlformats.org/officeDocument/2006/relationships/image" Target="media/image94.jpeg"/><Relationship Id="rId113" Type="http://schemas.openxmlformats.org/officeDocument/2006/relationships/image" Target="media/image95.png"/><Relationship Id="rId114" Type="http://schemas.openxmlformats.org/officeDocument/2006/relationships/image" Target="media/image96.jpeg"/><Relationship Id="rId115" Type="http://schemas.openxmlformats.org/officeDocument/2006/relationships/image" Target="media/image97.png"/><Relationship Id="rId116" Type="http://schemas.openxmlformats.org/officeDocument/2006/relationships/image" Target="media/image98.jpe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jpe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156" Type="http://schemas.openxmlformats.org/officeDocument/2006/relationships/image" Target="media/image138.png"/><Relationship Id="rId157" Type="http://schemas.openxmlformats.org/officeDocument/2006/relationships/image" Target="media/image139.png"/><Relationship Id="rId158" Type="http://schemas.openxmlformats.org/officeDocument/2006/relationships/image" Target="media/image140.png"/><Relationship Id="rId159" Type="http://schemas.openxmlformats.org/officeDocument/2006/relationships/image" Target="media/image141.png"/><Relationship Id="rId160" Type="http://schemas.openxmlformats.org/officeDocument/2006/relationships/image" Target="media/image142.png"/><Relationship Id="rId161" Type="http://schemas.openxmlformats.org/officeDocument/2006/relationships/image" Target="media/image143.png"/><Relationship Id="rId162" Type="http://schemas.openxmlformats.org/officeDocument/2006/relationships/image" Target="media/image144.jpeg"/><Relationship Id="rId163" Type="http://schemas.openxmlformats.org/officeDocument/2006/relationships/image" Target="media/image145.png"/><Relationship Id="rId164" Type="http://schemas.openxmlformats.org/officeDocument/2006/relationships/image" Target="media/image146.png"/><Relationship Id="rId165" Type="http://schemas.openxmlformats.org/officeDocument/2006/relationships/image" Target="media/image147.png"/><Relationship Id="rId166" Type="http://schemas.openxmlformats.org/officeDocument/2006/relationships/image" Target="media/image148.png"/><Relationship Id="rId167" Type="http://schemas.openxmlformats.org/officeDocument/2006/relationships/image" Target="media/image149.png"/><Relationship Id="rId168" Type="http://schemas.openxmlformats.org/officeDocument/2006/relationships/image" Target="media/image150.png"/><Relationship Id="rId169"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72" Type="http://schemas.openxmlformats.org/officeDocument/2006/relationships/image" Target="media/image154.png"/><Relationship Id="rId173" Type="http://schemas.openxmlformats.org/officeDocument/2006/relationships/image" Target="media/image155.png"/><Relationship Id="rId174" Type="http://schemas.openxmlformats.org/officeDocument/2006/relationships/image" Target="media/image156.png"/><Relationship Id="rId175"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78" Type="http://schemas.openxmlformats.org/officeDocument/2006/relationships/image" Target="media/image160.png"/><Relationship Id="rId21" Type="http://schemas.openxmlformats.org/officeDocument/2006/relationships/hyperlink" Target="https://www.sec.gov/ix?doc=/Archives/edgar/data/1070423/000107042324000008/paa-20231231.htm" TargetMode="External"/><Relationship Id="rId22" Type="http://schemas.openxmlformats.org/officeDocument/2006/relationships/hyperlink" Target="https://www.sec.gov/ix?doc=/Archives/edgar/data/1070423/000107042324000020/paa-20240630.htm" TargetMode="External"/><Relationship Id="rId23" Type="http://schemas.openxmlformats.org/officeDocument/2006/relationships/hyperlink" Target="https://www.sec.gov/ix?doc=/Archives/edgar/data/1070423/000110465924065666/tm2415729d1_8k.htm" TargetMode="External"/><Relationship Id="rId24" Type="http://schemas.openxmlformats.org/officeDocument/2006/relationships/hyperlink" Target="https://www.sec.gov/ix?doc=/Archives/edgar/data/1070423/000110465924073377/tm2416478d4_8k.htm" TargetMode="External"/><Relationship Id="rId25" Type="http://schemas.openxmlformats.org/officeDocument/2006/relationships/hyperlink" Target="https://www.sec.gov/ix?doc=/Archives/edgar/data/1070423/000110465924075672/tm2418387d1_8k.htm" TargetMode="External"/><Relationship Id="rId26" Type="http://schemas.openxmlformats.org/officeDocument/2006/relationships/hyperlink" Target="https://www.sec.gov/ix?doc=/Archives/edgar/data/1070423/000110465924092056/tm2422213d1_8k.htm" TargetMode="External"/><Relationship Id="rId27" Type="http://schemas.openxmlformats.org/officeDocument/2006/relationships/hyperlink" Target="https://www.sec.gov/ix?doc=/Archives/edgar/data/1070423/000110465924046387/tm242707d2_def14a.htm" TargetMode="External"/><Relationship Id="rId28" Type="http://schemas.openxmlformats.org/officeDocument/2006/relationships/hyperlink" Target="https://www.sec.gov/Archives/edgar/data/1070423/000107042324000008/paa202310-kexhibit416.htm" TargetMode="External"/><Relationship Id="rId29" Type="http://schemas.openxmlformats.org/officeDocument/2006/relationships/hyperlink" Target="https://www.sec.gov/Archives/edgar/data/1070423/000110465920134597/tm2037363-3_8a12b.htm" TargetMode="External"/><Relationship Id="rId82" Type="http://schemas.openxmlformats.org/officeDocument/2006/relationships/hyperlink" Target="https://www.sec.gov/Archives/edgar/data/1070423/000089924302002834/dex41.txt" TargetMode="External"/><Relationship Id="rId83" Type="http://schemas.openxmlformats.org/officeDocument/2006/relationships/hyperlink" Target="https://www.sec.gov/Archives/edgar/data/1070423/000089924301501392/dex42.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2024-09-06T10:54:23Z</dcterms:created>
  <dcterms:modified xsi:type="dcterms:W3CDTF">2024-09-06T10:54:23Z</dcterms:modified>
</cp:coreProperties>
</file>