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66"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12/30/2016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66"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72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540" w:type="dxa"/>
            <w:vAlign w:val="bottom"/>
          </w:tcPr>
          <w:p>
            <w:pPr>
              <w:spacing w:after="0"/>
              <w:rPr>
                <w:sz w:val="20"/>
                <w:szCs w:val="20"/>
                <w:color w:val="auto"/>
              </w:rPr>
            </w:pPr>
            <w:r>
              <w:rPr>
                <w:rFonts w:ascii="Arial" w:cs="Arial" w:eastAsia="Arial" w:hAnsi="Arial"/>
                <w:sz w:val="18"/>
                <w:szCs w:val="18"/>
                <w:color w:val="0000FF"/>
              </w:rPr>
              <w:t>77002</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restart"/>
          </w:tcPr>
          <w:p>
            <w:pPr>
              <w:ind w:left="16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jc w:val="center"/>
              <w:ind w:left="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vMerge w:val="restart"/>
          </w:tcPr>
          <w:p>
            <w:pPr>
              <w:ind w:left="60"/>
              <w:spacing w:after="0"/>
              <w:rPr>
                <w:sz w:val="20"/>
                <w:szCs w:val="20"/>
                <w:color w:val="auto"/>
              </w:rPr>
            </w:pPr>
            <w:r>
              <w:rPr>
                <w:rFonts w:ascii="Arial" w:cs="Arial" w:eastAsia="Arial" w:hAnsi="Arial"/>
                <w:sz w:val="18"/>
                <w:szCs w:val="18"/>
                <w:color w:val="0000FF"/>
                <w:w w:val="93"/>
              </w:rPr>
              <w:t>Common Units (Limited Partner Interests)</w:t>
            </w:r>
          </w:p>
        </w:tc>
        <w:tc>
          <w:tcPr>
            <w:tcW w:w="1260" w:type="dxa"/>
            <w:vAlign w:val="bottom"/>
            <w:gridSpan w:val="2"/>
            <w:vMerge w:val="restart"/>
          </w:tcPr>
          <w:p>
            <w:pPr>
              <w:jc w:val="center"/>
              <w:ind w:left="24"/>
              <w:spacing w:after="0"/>
              <w:rPr>
                <w:sz w:val="20"/>
                <w:szCs w:val="20"/>
                <w:color w:val="auto"/>
              </w:rPr>
            </w:pPr>
            <w:r>
              <w:rPr>
                <w:rFonts w:ascii="Arial" w:cs="Arial" w:eastAsia="Arial" w:hAnsi="Arial"/>
                <w:sz w:val="18"/>
                <w:szCs w:val="18"/>
                <w:color w:val="0000FF"/>
                <w:w w:val="88"/>
              </w:rPr>
              <w:t>12/30/2016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(1)(2)</w:t>
            </w:r>
          </w:p>
        </w:tc>
        <w:tc>
          <w:tcPr>
            <w:tcW w:w="10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227,145</w:t>
            </w:r>
          </w:p>
        </w:tc>
        <w:tc>
          <w:tcPr>
            <w:tcW w:w="44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640" w:type="dxa"/>
            <w:vAlign w:val="bottom"/>
            <w:gridSpan w:val="2"/>
            <w:vMerge w:val="restart"/>
          </w:tcPr>
          <w:p>
            <w:pPr>
              <w:jc w:val="right"/>
              <w:ind w:right="174"/>
              <w:spacing w:after="0"/>
              <w:rPr>
                <w:sz w:val="20"/>
                <w:szCs w:val="20"/>
                <w:color w:val="auto"/>
              </w:rPr>
            </w:pPr>
            <w:r>
              <w:rPr>
                <w:rFonts w:ascii="Arial" w:cs="Arial" w:eastAsia="Arial" w:hAnsi="Arial"/>
                <w:sz w:val="11"/>
                <w:szCs w:val="11"/>
                <w:color w:val="008000"/>
              </w:rPr>
              <w:t>(2)</w:t>
            </w:r>
          </w:p>
        </w:tc>
        <w:tc>
          <w:tcPr>
            <w:tcW w:w="124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245,227,934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180" w:type="dxa"/>
            <w:vAlign w:val="bottom"/>
            <w:gridSpan w:val="8"/>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vMerge w:val="restart"/>
          </w:tcPr>
          <w:p>
            <w:pPr>
              <w:ind w:left="60"/>
              <w:spacing w:after="0"/>
              <w:rPr>
                <w:sz w:val="20"/>
                <w:szCs w:val="20"/>
                <w:color w:val="auto"/>
              </w:rPr>
            </w:pPr>
            <w:r>
              <w:rPr>
                <w:rFonts w:ascii="Arial" w:cs="Arial" w:eastAsia="Arial" w:hAnsi="Arial"/>
                <w:sz w:val="18"/>
                <w:szCs w:val="18"/>
                <w:color w:val="0000FF"/>
                <w:w w:val="93"/>
              </w:rPr>
              <w:t>Common Units (Limited Partner Interests)</w:t>
            </w:r>
          </w:p>
        </w:tc>
        <w:tc>
          <w:tcPr>
            <w:tcW w:w="1260" w:type="dxa"/>
            <w:vAlign w:val="bottom"/>
            <w:gridSpan w:val="2"/>
            <w:vMerge w:val="restart"/>
          </w:tcPr>
          <w:p>
            <w:pPr>
              <w:jc w:val="center"/>
              <w:ind w:left="24"/>
              <w:spacing w:after="0"/>
              <w:rPr>
                <w:sz w:val="20"/>
                <w:szCs w:val="20"/>
                <w:color w:val="auto"/>
              </w:rPr>
            </w:pPr>
            <w:r>
              <w:rPr>
                <w:rFonts w:ascii="Arial" w:cs="Arial" w:eastAsia="Arial" w:hAnsi="Arial"/>
                <w:sz w:val="18"/>
                <w:szCs w:val="18"/>
                <w:color w:val="0000FF"/>
                <w:w w:val="88"/>
              </w:rPr>
              <w:t>12/30/2016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vMerge w:val="restart"/>
          </w:tcPr>
          <w:p>
            <w:pPr>
              <w:ind w:left="16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(4)</w:t>
            </w:r>
          </w:p>
        </w:tc>
        <w:tc>
          <w:tcPr>
            <w:tcW w:w="10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3,035,517</w:t>
            </w:r>
          </w:p>
        </w:tc>
        <w:tc>
          <w:tcPr>
            <w:tcW w:w="44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right"/>
              <w:ind w:right="94"/>
              <w:spacing w:after="0" w:line="386"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(4)</w:t>
            </w:r>
          </w:p>
        </w:tc>
        <w:tc>
          <w:tcPr>
            <w:tcW w:w="124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242,192,417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80" w:type="dxa"/>
            <w:vAlign w:val="bottom"/>
            <w:gridSpan w:val="8"/>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vMerge w:val="restart"/>
          </w:tcPr>
          <w:p>
            <w:pPr>
              <w:ind w:left="60"/>
              <w:spacing w:after="0"/>
              <w:rPr>
                <w:sz w:val="20"/>
                <w:szCs w:val="20"/>
                <w:color w:val="auto"/>
              </w:rPr>
            </w:pPr>
            <w:r>
              <w:rPr>
                <w:rFonts w:ascii="Arial" w:cs="Arial" w:eastAsia="Arial" w:hAnsi="Arial"/>
                <w:sz w:val="18"/>
                <w:szCs w:val="18"/>
                <w:color w:val="0000FF"/>
                <w:w w:val="93"/>
              </w:rPr>
              <w:t>Common Units (Limited Partner Interests)</w:t>
            </w:r>
          </w:p>
        </w:tc>
        <w:tc>
          <w:tcPr>
            <w:tcW w:w="1260" w:type="dxa"/>
            <w:vAlign w:val="bottom"/>
            <w:gridSpan w:val="2"/>
            <w:vMerge w:val="restart"/>
          </w:tcPr>
          <w:p>
            <w:pPr>
              <w:jc w:val="center"/>
              <w:ind w:left="24"/>
              <w:spacing w:after="0"/>
              <w:rPr>
                <w:sz w:val="20"/>
                <w:szCs w:val="20"/>
                <w:color w:val="auto"/>
              </w:rPr>
            </w:pPr>
            <w:r>
              <w:rPr>
                <w:rFonts w:ascii="Arial" w:cs="Arial" w:eastAsia="Arial" w:hAnsi="Arial"/>
                <w:sz w:val="18"/>
                <w:szCs w:val="18"/>
                <w:color w:val="0000FF"/>
                <w:w w:val="88"/>
              </w:rPr>
              <w:t>01/03/2017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(1)(5)</w:t>
            </w:r>
          </w:p>
        </w:tc>
        <w:tc>
          <w:tcPr>
            <w:tcW w:w="10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139,009</w:t>
            </w:r>
          </w:p>
        </w:tc>
        <w:tc>
          <w:tcPr>
            <w:tcW w:w="44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640" w:type="dxa"/>
            <w:vAlign w:val="bottom"/>
            <w:gridSpan w:val="2"/>
            <w:vMerge w:val="restart"/>
          </w:tcPr>
          <w:p>
            <w:pPr>
              <w:jc w:val="right"/>
              <w:ind w:right="174"/>
              <w:spacing w:after="0"/>
              <w:rPr>
                <w:sz w:val="20"/>
                <w:szCs w:val="20"/>
                <w:color w:val="auto"/>
              </w:rPr>
            </w:pPr>
            <w:r>
              <w:rPr>
                <w:rFonts w:ascii="Arial" w:cs="Arial" w:eastAsia="Arial" w:hAnsi="Arial"/>
                <w:sz w:val="11"/>
                <w:szCs w:val="11"/>
                <w:color w:val="008000"/>
              </w:rPr>
              <w:t>(5)</w:t>
            </w:r>
          </w:p>
        </w:tc>
        <w:tc>
          <w:tcPr>
            <w:tcW w:w="124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242,331,426</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180" w:type="dxa"/>
            <w:vAlign w:val="bottom"/>
            <w:gridSpan w:val="8"/>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60" w:type="dxa"/>
            <w:vAlign w:val="bottom"/>
            <w:gridSpan w:val="13"/>
          </w:tcPr>
          <w:p>
            <w:pPr>
              <w:jc w:val="center"/>
              <w:ind w:right="15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18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333 CLAY STREET, SUITE 1600</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66"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HOUSTON</w:t>
      </w:r>
      <w:r>
        <w:rPr>
          <w:sz w:val="20"/>
          <w:szCs w:val="20"/>
          <w:color w:val="auto"/>
        </w:rPr>
        <w:tab/>
      </w:r>
      <w:r>
        <w:rPr>
          <w:rFonts w:ascii="Arial" w:cs="Arial" w:eastAsia="Arial" w:hAnsi="Arial"/>
          <w:sz w:val="18"/>
          <w:szCs w:val="18"/>
          <w:color w:val="0000FF"/>
        </w:rPr>
        <w:t>TX</w:t>
      </w:r>
      <w:r>
        <w:rPr>
          <w:sz w:val="20"/>
          <w:szCs w:val="20"/>
          <w:color w:val="auto"/>
        </w:rPr>
        <w:tab/>
      </w:r>
      <w:r>
        <w:rPr>
          <w:rFonts w:ascii="Arial" w:cs="Arial" w:eastAsia="Arial" w:hAnsi="Arial"/>
          <w:sz w:val="15"/>
          <w:szCs w:val="15"/>
          <w:color w:val="0000FF"/>
        </w:rPr>
        <w:t>77002</w:t>
      </w:r>
    </w:p>
    <w:p>
      <w:pPr>
        <w:sectPr>
          <w:pgSz w:w="11900" w:h="16866"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580" w:type="dxa"/>
            <w:vAlign w:val="bottom"/>
            <w:gridSpan w:val="2"/>
          </w:tcPr>
          <w:p>
            <w:pPr>
              <w:ind w:left="3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w w:val="99"/>
              </w:rPr>
            </w:pPr>
            <w:hyperlink r:id="rId15">
              <w:r>
                <w:rPr>
                  <w:rFonts w:ascii="Arial" w:cs="Arial" w:eastAsia="Arial" w:hAnsi="Arial"/>
                  <w:sz w:val="22"/>
                  <w:szCs w:val="22"/>
                  <w:color w:val="0000EE"/>
                  <w:w w:val="99"/>
                </w:rPr>
                <w:t>Plains All American GP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580" w:type="dxa"/>
            <w:vAlign w:val="bottom"/>
            <w:gridSpan w:val="2"/>
          </w:tcPr>
          <w:p>
            <w:pPr>
              <w:ind w:left="3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333 CLAY STREET, SUITE 1600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580" w:type="dxa"/>
            <w:vAlign w:val="bottom"/>
            <w:gridSpan w:val="2"/>
          </w:tcPr>
          <w:p>
            <w:pPr>
              <w:ind w:left="300"/>
              <w:spacing w:after="0"/>
              <w:rPr>
                <w:sz w:val="20"/>
                <w:szCs w:val="20"/>
                <w:color w:val="auto"/>
              </w:rPr>
            </w:pPr>
            <w:r>
              <w:rPr>
                <w:rFonts w:ascii="Arial" w:cs="Arial" w:eastAsia="Arial" w:hAnsi="Arial"/>
                <w:sz w:val="18"/>
                <w:szCs w:val="18"/>
                <w:color w:val="0000FF"/>
              </w:rPr>
              <w:t>TX</w:t>
            </w:r>
          </w:p>
        </w:tc>
        <w:tc>
          <w:tcPr>
            <w:tcW w:w="1600" w:type="dxa"/>
            <w:vAlign w:val="bottom"/>
          </w:tcPr>
          <w:p>
            <w:pPr>
              <w:ind w:left="18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580" w:type="dxa"/>
            <w:vAlign w:val="bottom"/>
            <w:gridSpan w:val="2"/>
          </w:tcPr>
          <w:p>
            <w:pPr>
              <w:ind w:left="3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PLAINS GP HOLDINGS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580" w:type="dxa"/>
            <w:vAlign w:val="bottom"/>
            <w:gridSpan w:val="2"/>
          </w:tcPr>
          <w:p>
            <w:pPr>
              <w:ind w:left="3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333 CLAY ST., SUITE 1600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580" w:type="dxa"/>
            <w:vAlign w:val="bottom"/>
            <w:gridSpan w:val="2"/>
          </w:tcPr>
          <w:p>
            <w:pPr>
              <w:ind w:left="300"/>
              <w:spacing w:after="0"/>
              <w:rPr>
                <w:sz w:val="20"/>
                <w:szCs w:val="20"/>
                <w:color w:val="auto"/>
              </w:rPr>
            </w:pPr>
            <w:r>
              <w:rPr>
                <w:rFonts w:ascii="Arial" w:cs="Arial" w:eastAsia="Arial" w:hAnsi="Arial"/>
                <w:sz w:val="18"/>
                <w:szCs w:val="18"/>
                <w:color w:val="0000FF"/>
              </w:rPr>
              <w:t>TX</w:t>
            </w:r>
          </w:p>
        </w:tc>
        <w:tc>
          <w:tcPr>
            <w:tcW w:w="1600" w:type="dxa"/>
            <w:vAlign w:val="bottom"/>
          </w:tcPr>
          <w:p>
            <w:pPr>
              <w:ind w:left="18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580" w:type="dxa"/>
            <w:vAlign w:val="bottom"/>
            <w:gridSpan w:val="2"/>
          </w:tcPr>
          <w:p>
            <w:pPr>
              <w:ind w:left="3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717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37172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73"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PAGP is obligated to use the net proceeds from any public or private offering and sale of PAGP's Class A shares to purchase from AAP a number of AAP Class A units equal to the number of Class A shares sold in such offering at a price equal to the net proceeds from such offering. The Omnibus Agreement also provides that immediately following such purchase and sale, AAP is obligated to use the net proceeds it receives from such sale of AAP Class A units to PAGP to purchase from PAA an equivalent number of common units representing limited partner interests of PAA ("Common Units").</w:t>
      </w:r>
    </w:p>
    <w:p>
      <w:pPr>
        <w:spacing w:after="0" w:line="11" w:lineRule="exact"/>
        <w:rPr>
          <w:rFonts w:ascii="Arial" w:cs="Arial" w:eastAsia="Arial" w:hAnsi="Arial"/>
          <w:sz w:val="12"/>
          <w:szCs w:val="12"/>
          <w:color w:val="008000"/>
        </w:rPr>
      </w:pPr>
    </w:p>
    <w:p>
      <w:pPr>
        <w:ind w:left="20" w:right="4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December 30, 2016, PAGP sold an aggregate 227,145 Class A shares under its continuous equity offering program and used the net proceeds therefrom ($7,790,437.67) to purchase an equivalent number of AAP Class A units. AAP used such net proceeds to purchase an equivalent number of Common Units from PAA.</w:t>
      </w:r>
    </w:p>
    <w:p>
      <w:pPr>
        <w:spacing w:after="0" w:line="30" w:lineRule="exact"/>
        <w:rPr>
          <w:rFonts w:ascii="Arial" w:cs="Arial" w:eastAsia="Arial" w:hAnsi="Arial"/>
          <w:sz w:val="14"/>
          <w:szCs w:val="14"/>
          <w:color w:val="008000"/>
        </w:rPr>
      </w:pPr>
    </w:p>
    <w:p>
      <w:pPr>
        <w:ind w:left="20" w:right="160" w:firstLine="9"/>
        <w:spacing w:after="0" w:line="305"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firstLine="9"/>
        <w:spacing w:after="0" w:line="228"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AAP, each limited partner of AAP, other than PAGP and GP LLC, has the right, from time to time, to cause AAP to redeem and cancel such partner's AAP Class A units in exchange for the distribution of an equal number of Common Units of PAA held by AAP (the "Redemption Right"). In connection with the exercise of a Redemption Right, such limited partner must also surrender to PAGP an equal number of Class B shares of PAGP and Company Units of PAGP GP. On December 30, 2016, KAFU Holdings, L.P. and KAFU Holdings (QP), L.P. exercised Redemption Rights with respect to an aggregate 3,035,517 AAP Class A units, resulting in the cancellation of such AAP Class A units and the distribution of 3,035,517 Common Units from AAP to the redeeming partners.</w:t>
      </w:r>
    </w:p>
    <w:p>
      <w:pPr>
        <w:spacing w:after="0" w:line="32" w:lineRule="exact"/>
        <w:rPr>
          <w:rFonts w:ascii="Arial" w:cs="Arial" w:eastAsia="Arial" w:hAnsi="Arial"/>
          <w:sz w:val="14"/>
          <w:szCs w:val="14"/>
          <w:color w:val="008000"/>
        </w:rPr>
      </w:pPr>
    </w:p>
    <w:p>
      <w:pPr>
        <w:ind w:left="20" w:right="8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January 3, 2017, PAGP sold an aggregate 139,009 Class A shares under its continuous equity offering program and used the net proceeds therefrom ($4,788,220.68) to purchase an equivalent number of AAP Class A units. AAP used such net proceeds to purchase an equivalent number of Common Units from PAA.</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43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2020-01-15T23:07:40Z</dcterms:created>
  <dcterms:modified xsi:type="dcterms:W3CDTF">2020-01-15T23:07:40Z</dcterms:modified>
</cp:coreProperties>
</file>