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216535</wp:posOffset>
            </wp:positionH>
            <wp:positionV relativeFrom="page">
              <wp:posOffset>800735</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723265</wp:posOffset>
            </wp:positionV>
            <wp:extent cx="711517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17145"/>
                    </a:xfrm>
                    <a:prstGeom prst="rect">
                      <a:avLst/>
                    </a:prstGeom>
                    <a:noFill/>
                  </pic:spPr>
                </pic:pic>
              </a:graphicData>
            </a:graphic>
          </wp:anchor>
        </w:drawing>
        <w:t>UNITED STATES</w:t>
      </w:r>
    </w:p>
    <w:p>
      <w:pPr>
        <w:spacing w:after="0" w:line="53"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spacing w:after="0" w:line="24"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223"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8-K</w:t>
      </w:r>
    </w:p>
    <w:p>
      <w:pPr>
        <w:spacing w:after="0" w:line="267"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CURRENT REPORT</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66"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 xml:space="preserve">Date of Report (Date of earliest event reported) — </w:t>
      </w:r>
      <w:r>
        <w:rPr>
          <w:rFonts w:ascii="Arial" w:cs="Arial" w:eastAsia="Arial" w:hAnsi="Arial"/>
          <w:sz w:val="18"/>
          <w:szCs w:val="18"/>
          <w:b w:val="1"/>
          <w:bCs w:val="1"/>
          <w:color w:val="auto"/>
        </w:rPr>
        <w:t>November 3, 2023</w:t>
      </w:r>
    </w:p>
    <w:p>
      <w:pPr>
        <w:spacing w:after="0" w:line="243"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Plains All American Pipeline, L.P.</w:t>
      </w:r>
    </w:p>
    <w:p>
      <w:pPr>
        <w:spacing w:after="0" w:line="53"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220"/>
          </w:cols>
          <w:pgMar w:left="320" w:top="1421" w:right="359" w:bottom="1440" w:gutter="0" w:footer="0" w:header="0"/>
        </w:sectPr>
      </w:pPr>
    </w:p>
    <w:p>
      <w:pPr>
        <w:spacing w:after="0" w:line="30" w:lineRule="exact"/>
        <w:rPr>
          <w:sz w:val="24"/>
          <w:szCs w:val="24"/>
          <w:color w:val="auto"/>
        </w:rPr>
      </w:pPr>
    </w:p>
    <w:p>
      <w:pPr>
        <w:jc w:val="center"/>
        <w:ind w:left="36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left="360"/>
        <w:spacing w:after="0"/>
        <w:rPr>
          <w:sz w:val="20"/>
          <w:szCs w:val="20"/>
          <w:color w:val="auto"/>
        </w:rPr>
      </w:pPr>
      <w:r>
        <w:rPr>
          <w:rFonts w:ascii="Arial" w:cs="Arial" w:eastAsia="Arial" w:hAnsi="Arial"/>
          <w:sz w:val="16"/>
          <w:szCs w:val="16"/>
          <w:color w:val="auto"/>
        </w:rPr>
        <w:t>(State or other jurisdiction of</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jc w:val="center"/>
        <w:ind w:right="540"/>
        <w:spacing w:after="0"/>
        <w:rPr>
          <w:sz w:val="20"/>
          <w:szCs w:val="20"/>
          <w:color w:val="auto"/>
        </w:rPr>
      </w:pPr>
      <w:r>
        <w:rPr>
          <w:rFonts w:ascii="Arial" w:cs="Arial" w:eastAsia="Arial" w:hAnsi="Arial"/>
          <w:sz w:val="18"/>
          <w:szCs w:val="18"/>
          <w:b w:val="1"/>
          <w:bCs w:val="1"/>
          <w:color w:val="auto"/>
        </w:rPr>
        <w:t>1-14569</w:t>
      </w:r>
    </w:p>
    <w:p>
      <w:pPr>
        <w:spacing w:after="0" w:line="27" w:lineRule="exact"/>
        <w:rPr>
          <w:sz w:val="24"/>
          <w:szCs w:val="24"/>
          <w:color w:val="auto"/>
        </w:rPr>
      </w:pPr>
    </w:p>
    <w:p>
      <w:pPr>
        <w:jc w:val="center"/>
        <w:ind w:right="54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jc w:val="center"/>
        <w:ind w:right="880"/>
        <w:spacing w:after="0"/>
        <w:rPr>
          <w:sz w:val="20"/>
          <w:szCs w:val="20"/>
          <w:color w:val="auto"/>
        </w:rPr>
      </w:pPr>
      <w:r>
        <w:rPr>
          <w:rFonts w:ascii="Arial" w:cs="Arial" w:eastAsia="Arial" w:hAnsi="Arial"/>
          <w:sz w:val="18"/>
          <w:szCs w:val="18"/>
          <w:b w:val="1"/>
          <w:bCs w:val="1"/>
          <w:color w:val="auto"/>
        </w:rPr>
        <w:t>76-0582150</w:t>
      </w:r>
    </w:p>
    <w:p>
      <w:pPr>
        <w:spacing w:after="0" w:line="27" w:lineRule="exact"/>
        <w:rPr>
          <w:sz w:val="24"/>
          <w:szCs w:val="24"/>
          <w:color w:val="auto"/>
        </w:rPr>
      </w:pPr>
    </w:p>
    <w:p>
      <w:pPr>
        <w:jc w:val="center"/>
        <w:ind w:right="880"/>
        <w:spacing w:after="0"/>
        <w:rPr>
          <w:sz w:val="20"/>
          <w:szCs w:val="20"/>
          <w:color w:val="auto"/>
        </w:rPr>
      </w:pPr>
      <w:r>
        <w:rPr>
          <w:rFonts w:ascii="Arial" w:cs="Arial" w:eastAsia="Arial" w:hAnsi="Arial"/>
          <w:sz w:val="17"/>
          <w:szCs w:val="17"/>
          <w:color w:val="auto"/>
        </w:rPr>
        <w:t>(IRS Employer Identification No.)</w:t>
      </w:r>
    </w:p>
    <w:p>
      <w:pPr>
        <w:spacing w:after="0" w:line="3" w:lineRule="exact"/>
        <w:rPr>
          <w:sz w:val="24"/>
          <w:szCs w:val="24"/>
          <w:color w:val="auto"/>
        </w:rPr>
      </w:pPr>
    </w:p>
    <w:p>
      <w:pPr>
        <w:sectPr>
          <w:pgSz w:w="11900" w:h="16838" w:orient="portrait"/>
          <w:cols w:equalWidth="0" w:num="3">
            <w:col w:w="3900" w:space="720"/>
            <w:col w:w="2520" w:space="720"/>
            <w:col w:w="3360"/>
          </w:cols>
          <w:pgMar w:left="320" w:top="1421" w:right="359" w:bottom="1440" w:gutter="0" w:footer="0" w:header="0"/>
          <w:type w:val="continuous"/>
        </w:sectPr>
      </w:pPr>
    </w:p>
    <w:p>
      <w:pPr>
        <w:ind w:left="1620"/>
        <w:spacing w:after="0"/>
        <w:rPr>
          <w:sz w:val="20"/>
          <w:szCs w:val="20"/>
          <w:color w:val="auto"/>
        </w:rPr>
      </w:pPr>
      <w:r>
        <w:rPr>
          <w:rFonts w:ascii="Arial" w:cs="Arial" w:eastAsia="Arial" w:hAnsi="Arial"/>
          <w:sz w:val="18"/>
          <w:szCs w:val="18"/>
          <w:color w:val="auto"/>
        </w:rPr>
        <w:t>incorporation)</w:t>
      </w:r>
    </w:p>
    <w:p>
      <w:pPr>
        <w:spacing w:after="0" w:line="319" w:lineRule="exact"/>
        <w:rPr>
          <w:sz w:val="24"/>
          <w:szCs w:val="24"/>
          <w:color w:val="auto"/>
        </w:rPr>
      </w:pPr>
    </w:p>
    <w:p>
      <w:pPr>
        <w:ind w:left="3720"/>
        <w:spacing w:after="0"/>
        <w:rPr>
          <w:sz w:val="20"/>
          <w:szCs w:val="20"/>
          <w:color w:val="auto"/>
        </w:rPr>
      </w:pPr>
      <w:r>
        <w:rPr>
          <w:rFonts w:ascii="Arial" w:cs="Arial" w:eastAsia="Arial" w:hAnsi="Arial"/>
          <w:sz w:val="16"/>
          <w:szCs w:val="16"/>
          <w:b w:val="1"/>
          <w:bCs w:val="1"/>
          <w:color w:val="auto"/>
        </w:rPr>
        <w:t>333 Clay Street, Suite 1600, Houston, Texas 77002</w:t>
      </w:r>
    </w:p>
    <w:p>
      <w:pPr>
        <w:spacing w:after="0" w:line="50" w:lineRule="exact"/>
        <w:rPr>
          <w:sz w:val="24"/>
          <w:szCs w:val="24"/>
          <w:color w:val="auto"/>
        </w:rPr>
      </w:pPr>
    </w:p>
    <w:p>
      <w:pPr>
        <w:ind w:left="3780"/>
        <w:spacing w:after="0"/>
        <w:rPr>
          <w:sz w:val="20"/>
          <w:szCs w:val="20"/>
          <w:color w:val="auto"/>
        </w:rPr>
      </w:pPr>
      <w:r>
        <w:rPr>
          <w:rFonts w:ascii="Arial" w:cs="Arial" w:eastAsia="Arial" w:hAnsi="Arial"/>
          <w:sz w:val="16"/>
          <w:szCs w:val="16"/>
          <w:color w:val="auto"/>
        </w:rPr>
        <w:t>(Address of principal executive offices) (Zip Code)</w:t>
      </w:r>
    </w:p>
    <w:p>
      <w:pPr>
        <w:sectPr>
          <w:pgSz w:w="11900" w:h="16838" w:orient="portrait"/>
          <w:cols w:equalWidth="0" w:num="1">
            <w:col w:w="11220"/>
          </w:cols>
          <w:pgMar w:left="320" w:top="1421" w:right="359" w:bottom="1440" w:gutter="0" w:footer="0" w:header="0"/>
          <w:type w:val="continuous"/>
        </w:sectPr>
      </w:pPr>
    </w:p>
    <w:p>
      <w:pPr>
        <w:spacing w:after="0" w:line="25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713-646-4100</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(Registrant’s telephone number, including area code)</w:t>
      </w:r>
    </w:p>
    <w:p>
      <w:pPr>
        <w:spacing w:after="0" w:line="23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52" w:lineRule="exact"/>
        <w:rPr>
          <w:sz w:val="24"/>
          <w:szCs w:val="24"/>
          <w:color w:val="auto"/>
        </w:rPr>
      </w:pPr>
    </w:p>
    <w:p>
      <w:pPr>
        <w:ind w:right="66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97"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2"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52"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52" w:lineRule="exact"/>
        <w:rPr>
          <w:rFonts w:ascii="MS PGothic" w:cs="MS PGothic" w:eastAsia="MS PGothic" w:hAnsi="MS PGothic"/>
          <w:sz w:val="18"/>
          <w:szCs w:val="18"/>
          <w:color w:val="auto"/>
        </w:rPr>
      </w:pPr>
    </w:p>
    <w:p>
      <w:pPr>
        <w:ind w:right="2960" w:firstLine="8"/>
        <w:spacing w:after="0" w:line="553" w:lineRule="auto"/>
        <w:tabs>
          <w:tab w:leader="none" w:pos="212"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40" w:type="dxa"/>
        <w:tblCellMar>
          <w:top w:w="0" w:type="dxa"/>
          <w:left w:w="0" w:type="dxa"/>
          <w:bottom w:w="0" w:type="dxa"/>
          <w:right w:w="0" w:type="dxa"/>
        </w:tblCellMar>
      </w:tblPr>
      <w:tr>
        <w:trPr>
          <w:trHeight w:val="234"/>
        </w:trPr>
        <w:tc>
          <w:tcPr>
            <w:tcW w:w="34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Title of each class</w:t>
            </w:r>
          </w:p>
        </w:tc>
        <w:tc>
          <w:tcPr>
            <w:tcW w:w="35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1"/>
              </w:rPr>
              <w:t>Trading Symbol(s)</w:t>
            </w:r>
          </w:p>
        </w:tc>
        <w:tc>
          <w:tcPr>
            <w:tcW w:w="420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24"/>
        </w:trPr>
        <w:tc>
          <w:tcPr>
            <w:tcW w:w="33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Common Units</w:t>
            </w:r>
          </w:p>
        </w:tc>
        <w:tc>
          <w:tcPr>
            <w:tcW w:w="120" w:type="dxa"/>
            <w:vAlign w:val="bottom"/>
          </w:tcPr>
          <w:p>
            <w:pPr>
              <w:spacing w:after="0"/>
              <w:rPr>
                <w:sz w:val="19"/>
                <w:szCs w:val="19"/>
                <w:color w:val="auto"/>
              </w:rPr>
            </w:pPr>
          </w:p>
        </w:tc>
        <w:tc>
          <w:tcPr>
            <w:tcW w:w="33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PAA</w:t>
            </w:r>
          </w:p>
        </w:tc>
        <w:tc>
          <w:tcPr>
            <w:tcW w:w="120" w:type="dxa"/>
            <w:vAlign w:val="bottom"/>
          </w:tcPr>
          <w:p>
            <w:pPr>
              <w:spacing w:after="0"/>
              <w:rPr>
                <w:sz w:val="19"/>
                <w:szCs w:val="19"/>
                <w:color w:val="auto"/>
              </w:rPr>
            </w:pPr>
          </w:p>
        </w:tc>
        <w:tc>
          <w:tcPr>
            <w:tcW w:w="42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6"/>
              </w:rPr>
              <w:t>Nasdaq</w:t>
            </w:r>
          </w:p>
        </w:tc>
      </w:tr>
    </w:tbl>
    <w:p>
      <w:pPr>
        <w:spacing w:after="0" w:line="322" w:lineRule="exact"/>
        <w:rPr>
          <w:sz w:val="24"/>
          <w:szCs w:val="24"/>
          <w:color w:val="auto"/>
        </w:rPr>
      </w:pPr>
    </w:p>
    <w:p>
      <w:pPr>
        <w:ind w:right="5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53"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303" w:lineRule="exact"/>
        <w:rPr>
          <w:sz w:val="24"/>
          <w:szCs w:val="24"/>
          <w:color w:val="auto"/>
        </w:rPr>
      </w:pPr>
    </w:p>
    <w:p>
      <w:pPr>
        <w:ind w:right="220"/>
        <w:spacing w:after="0" w:line="227"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990600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214630</wp:posOffset>
            </wp:positionV>
            <wp:extent cx="708914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89140" cy="17145"/>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154305</wp:posOffset>
            </wp:positionV>
            <wp:extent cx="70891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89140" cy="8890"/>
                    </a:xfrm>
                    <a:prstGeom prst="rect">
                      <a:avLst/>
                    </a:prstGeom>
                    <a:noFill/>
                  </pic:spPr>
                </pic:pic>
              </a:graphicData>
            </a:graphic>
          </wp:anchor>
        </w:drawing>
      </w:r>
    </w:p>
    <w:p>
      <w:pPr>
        <w:sectPr>
          <w:pgSz w:w="11900" w:h="16838" w:orient="portrait"/>
          <w:cols w:equalWidth="0" w:num="1">
            <w:col w:w="11220"/>
          </w:cols>
          <w:pgMar w:left="320" w:top="1421" w:right="3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and Item 7.01. Results of Operations and Financial Condition; Regulation FD Disclosure.</w:t>
      </w:r>
    </w:p>
    <w:p>
      <w:pPr>
        <w:spacing w:after="0" w:line="256" w:lineRule="exact"/>
        <w:rPr>
          <w:sz w:val="20"/>
          <w:szCs w:val="20"/>
          <w:color w:val="auto"/>
        </w:rPr>
      </w:pPr>
    </w:p>
    <w:p>
      <w:pPr>
        <w:ind w:firstLine="180"/>
        <w:spacing w:after="0" w:line="257" w:lineRule="auto"/>
        <w:rPr>
          <w:sz w:val="20"/>
          <w:szCs w:val="20"/>
          <w:color w:val="auto"/>
        </w:rPr>
      </w:pPr>
      <w:r>
        <w:rPr>
          <w:rFonts w:ascii="Arial" w:cs="Arial" w:eastAsia="Arial" w:hAnsi="Arial"/>
          <w:sz w:val="18"/>
          <w:szCs w:val="18"/>
          <w:color w:val="auto"/>
        </w:rPr>
        <w:t>On November 3, 2023, the Registrant issued a press release reporting its third-quarter 2023 results. A copy of the press release is furnished as Exhibit 99.1 hereto. In accordance with General Instruction B.2 of Form 8-K, the information presented herein under Item 2.02 and Item 7.01 shall not be deemed “filed” for the purpose of Section 18 of the Securities Exchange Act of 1934, as amended, or otherwise subject to the liabilities of that section, nor shall such information be deemed incorporated by reference into any filing under the Securities Act of 1933 or the Securities Exchange Act of 1934, each as amended.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5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(d) Exhibits.</w:t>
      </w:r>
    </w:p>
    <w:p>
      <w:pPr>
        <w:spacing w:after="0" w:line="28" w:lineRule="exact"/>
        <w:rPr>
          <w:sz w:val="20"/>
          <w:szCs w:val="20"/>
          <w:color w:val="auto"/>
        </w:rPr>
      </w:pPr>
    </w:p>
    <w:tbl>
      <w:tblPr>
        <w:tblLayout w:type="fixed"/>
        <w:tblInd w:w="660" w:type="dxa"/>
        <w:tblCellMar>
          <w:top w:w="0" w:type="dxa"/>
          <w:left w:w="0" w:type="dxa"/>
          <w:bottom w:w="0" w:type="dxa"/>
          <w:right w:w="0" w:type="dxa"/>
        </w:tblCellMar>
      </w:tblPr>
      <w:tr>
        <w:trPr>
          <w:trHeight w:val="184"/>
        </w:trPr>
        <w:tc>
          <w:tcPr>
            <w:tcW w:w="11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7"/>
              </w:rPr>
              <w:t>Exhibit</w:t>
            </w:r>
          </w:p>
        </w:tc>
        <w:tc>
          <w:tcPr>
            <w:tcW w:w="2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4600" w:type="dxa"/>
            <w:vAlign w:val="bottom"/>
            <w:vMerge w:val="restart"/>
          </w:tcPr>
          <w:p>
            <w:pPr>
              <w:ind w:left="480"/>
              <w:spacing w:after="0"/>
              <w:rPr>
                <w:sz w:val="20"/>
                <w:szCs w:val="20"/>
                <w:color w:val="auto"/>
              </w:rPr>
            </w:pPr>
            <w:r>
              <w:rPr>
                <w:rFonts w:ascii="Arial" w:cs="Arial" w:eastAsia="Arial" w:hAnsi="Arial"/>
                <w:sz w:val="16"/>
                <w:szCs w:val="16"/>
                <w:b w:val="1"/>
                <w:bCs w:val="1"/>
                <w:color w:val="auto"/>
              </w:rPr>
              <w:t>Description</w:t>
            </w:r>
          </w:p>
        </w:tc>
        <w:tc>
          <w:tcPr>
            <w:tcW w:w="0" w:type="dxa"/>
            <w:vAlign w:val="bottom"/>
          </w:tcPr>
          <w:p>
            <w:pPr>
              <w:spacing w:after="0"/>
              <w:rPr>
                <w:sz w:val="1"/>
                <w:szCs w:val="1"/>
                <w:color w:val="auto"/>
              </w:rPr>
            </w:pPr>
          </w:p>
        </w:tc>
      </w:tr>
      <w:tr>
        <w:trPr>
          <w:trHeight w:val="213"/>
        </w:trPr>
        <w:tc>
          <w:tcPr>
            <w:tcW w:w="118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5"/>
              </w:rPr>
              <w:t>Number</w:t>
            </w:r>
          </w:p>
        </w:tc>
        <w:tc>
          <w:tcPr>
            <w:tcW w:w="2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46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1080" w:type="dxa"/>
            <w:vAlign w:val="bottom"/>
            <w:tcBorders>
              <w:top w:val="single" w:sz="8" w:color="auto"/>
            </w:tcBorders>
          </w:tcPr>
          <w:p>
            <w:pPr>
              <w:jc w:val="center"/>
              <w:spacing w:after="0" w:line="185" w:lineRule="exact"/>
              <w:rPr>
                <w:sz w:val="20"/>
                <w:szCs w:val="20"/>
                <w:color w:val="auto"/>
              </w:rPr>
            </w:pPr>
            <w:r>
              <w:rPr>
                <w:rFonts w:ascii="Arial" w:cs="Arial" w:eastAsia="Arial" w:hAnsi="Arial"/>
                <w:sz w:val="18"/>
                <w:szCs w:val="18"/>
                <w:color w:val="auto"/>
                <w:w w:val="91"/>
              </w:rPr>
              <w:t>99.1</w:t>
            </w:r>
          </w:p>
        </w:tc>
        <w:tc>
          <w:tcPr>
            <w:tcW w:w="10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820" w:type="dxa"/>
            <w:vAlign w:val="bottom"/>
            <w:tcBorders>
              <w:top w:val="single" w:sz="8" w:color="auto"/>
              <w:bottom w:val="single" w:sz="8" w:color="0000FF"/>
            </w:tcBorders>
          </w:tcPr>
          <w:p>
            <w:pPr>
              <w:spacing w:after="0" w:line="185" w:lineRule="exact"/>
              <w:rPr>
                <w:sz w:val="20"/>
                <w:szCs w:val="20"/>
                <w:color w:val="auto"/>
              </w:rPr>
            </w:pPr>
            <w:r>
              <w:rPr>
                <w:rFonts w:ascii="Arial" w:cs="Arial" w:eastAsia="Arial" w:hAnsi="Arial"/>
                <w:sz w:val="18"/>
                <w:szCs w:val="18"/>
                <w:color w:val="0000FF"/>
                <w:w w:val="87"/>
              </w:rPr>
              <w:t>Press Release dated November 3, 2023</w:t>
            </w:r>
          </w:p>
        </w:tc>
        <w:tc>
          <w:tcPr>
            <w:tcW w:w="46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1860" w:hanging="792"/>
        <w:spacing w:after="0"/>
        <w:tabs>
          <w:tab w:leader="none" w:pos="18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document)</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00" w:lineRule="exact"/>
        <w:rPr>
          <w:rFonts w:ascii="Arial" w:cs="Arial" w:eastAsia="Arial" w:hAnsi="Arial"/>
          <w:sz w:val="18"/>
          <w:szCs w:val="18"/>
          <w:color w:val="auto"/>
        </w:rPr>
      </w:pPr>
    </w:p>
    <w:p>
      <w:pPr>
        <w:ind w:left="5580"/>
        <w:spacing w:after="0"/>
        <w:rPr>
          <w:rFonts w:ascii="Arial" w:cs="Arial" w:eastAsia="Arial" w:hAnsi="Arial"/>
          <w:sz w:val="18"/>
          <w:szCs w:val="18"/>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891" w:right="45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94" w:lineRule="exact"/>
        <w:rPr>
          <w:sz w:val="20"/>
          <w:szCs w:val="20"/>
          <w:color w:val="auto"/>
        </w:rPr>
      </w:pPr>
    </w:p>
    <w:p>
      <w:pPr>
        <w:ind w:right="700" w:firstLine="18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89"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140" w:type="dxa"/>
            <w:vAlign w:val="bottom"/>
          </w:tcPr>
          <w:p>
            <w:pPr>
              <w:spacing w:after="0"/>
              <w:rPr>
                <w:sz w:val="20"/>
                <w:szCs w:val="20"/>
                <w:color w:val="auto"/>
              </w:rPr>
            </w:pPr>
          </w:p>
        </w:tc>
        <w:tc>
          <w:tcPr>
            <w:tcW w:w="8060" w:type="dxa"/>
            <w:vAlign w:val="bottom"/>
            <w:gridSpan w:val="3"/>
          </w:tcPr>
          <w:p>
            <w:pPr>
              <w:ind w:left="1380"/>
              <w:spacing w:after="0"/>
              <w:rPr>
                <w:sz w:val="20"/>
                <w:szCs w:val="20"/>
                <w:color w:val="auto"/>
              </w:rPr>
            </w:pPr>
            <w:r>
              <w:rPr>
                <w:rFonts w:ascii="Arial" w:cs="Arial" w:eastAsia="Arial" w:hAnsi="Arial"/>
                <w:sz w:val="18"/>
                <w:szCs w:val="18"/>
                <w:color w:val="auto"/>
              </w:rPr>
              <w:t>PLAINS ALL AMERICAN PIPELINE, L.P.</w:t>
            </w:r>
          </w:p>
        </w:tc>
      </w:tr>
      <w:tr>
        <w:trPr>
          <w:trHeight w:val="500"/>
        </w:trPr>
        <w:tc>
          <w:tcPr>
            <w:tcW w:w="3140" w:type="dxa"/>
            <w:vAlign w:val="bottom"/>
          </w:tcPr>
          <w:p>
            <w:pPr>
              <w:spacing w:after="0"/>
              <w:rPr>
                <w:sz w:val="24"/>
                <w:szCs w:val="24"/>
                <w:color w:val="auto"/>
              </w:rPr>
            </w:pPr>
          </w:p>
        </w:tc>
        <w:tc>
          <w:tcPr>
            <w:tcW w:w="8060" w:type="dxa"/>
            <w:vAlign w:val="bottom"/>
            <w:gridSpan w:val="3"/>
          </w:tcPr>
          <w:p>
            <w:pPr>
              <w:ind w:left="1380"/>
              <w:spacing w:after="0"/>
              <w:rPr>
                <w:sz w:val="20"/>
                <w:szCs w:val="20"/>
                <w:color w:val="auto"/>
              </w:rPr>
            </w:pPr>
            <w:r>
              <w:rPr>
                <w:rFonts w:ascii="Arial" w:cs="Arial" w:eastAsia="Arial" w:hAnsi="Arial"/>
                <w:sz w:val="18"/>
                <w:szCs w:val="18"/>
                <w:color w:val="auto"/>
              </w:rPr>
              <w:t>By:  PAA GP LLC, its general partner</w:t>
            </w:r>
          </w:p>
        </w:tc>
      </w:tr>
      <w:tr>
        <w:trPr>
          <w:trHeight w:val="499"/>
        </w:trPr>
        <w:tc>
          <w:tcPr>
            <w:tcW w:w="3140" w:type="dxa"/>
            <w:vAlign w:val="bottom"/>
          </w:tcPr>
          <w:p>
            <w:pPr>
              <w:spacing w:after="0"/>
              <w:rPr>
                <w:sz w:val="24"/>
                <w:szCs w:val="24"/>
                <w:color w:val="auto"/>
              </w:rPr>
            </w:pPr>
          </w:p>
        </w:tc>
        <w:tc>
          <w:tcPr>
            <w:tcW w:w="8060" w:type="dxa"/>
            <w:vAlign w:val="bottom"/>
            <w:gridSpan w:val="3"/>
          </w:tcPr>
          <w:p>
            <w:pPr>
              <w:ind w:left="1380"/>
              <w:spacing w:after="0"/>
              <w:rPr>
                <w:sz w:val="20"/>
                <w:szCs w:val="20"/>
                <w:color w:val="auto"/>
              </w:rPr>
            </w:pPr>
            <w:r>
              <w:rPr>
                <w:rFonts w:ascii="Arial" w:cs="Arial" w:eastAsia="Arial" w:hAnsi="Arial"/>
                <w:sz w:val="18"/>
                <w:szCs w:val="18"/>
                <w:color w:val="auto"/>
              </w:rPr>
              <w:t>By:  Plains AAP, L.P., its sole member</w:t>
            </w:r>
          </w:p>
        </w:tc>
      </w:tr>
      <w:tr>
        <w:trPr>
          <w:trHeight w:val="499"/>
        </w:trPr>
        <w:tc>
          <w:tcPr>
            <w:tcW w:w="3140" w:type="dxa"/>
            <w:vAlign w:val="bottom"/>
          </w:tcPr>
          <w:p>
            <w:pPr>
              <w:spacing w:after="0"/>
              <w:rPr>
                <w:sz w:val="24"/>
                <w:szCs w:val="24"/>
                <w:color w:val="auto"/>
              </w:rPr>
            </w:pPr>
          </w:p>
        </w:tc>
        <w:tc>
          <w:tcPr>
            <w:tcW w:w="8060" w:type="dxa"/>
            <w:vAlign w:val="bottom"/>
            <w:gridSpan w:val="3"/>
          </w:tcPr>
          <w:p>
            <w:pPr>
              <w:ind w:left="1380"/>
              <w:spacing w:after="0"/>
              <w:rPr>
                <w:sz w:val="20"/>
                <w:szCs w:val="20"/>
                <w:color w:val="auto"/>
              </w:rPr>
            </w:pPr>
            <w:r>
              <w:rPr>
                <w:rFonts w:ascii="Arial" w:cs="Arial" w:eastAsia="Arial" w:hAnsi="Arial"/>
                <w:sz w:val="18"/>
                <w:szCs w:val="18"/>
                <w:color w:val="auto"/>
              </w:rPr>
              <w:t>By:  Plains All American GP LLC, its general partner</w:t>
            </w:r>
          </w:p>
        </w:tc>
      </w:tr>
      <w:tr>
        <w:trPr>
          <w:trHeight w:val="499"/>
        </w:trPr>
        <w:tc>
          <w:tcPr>
            <w:tcW w:w="3140" w:type="dxa"/>
            <w:vAlign w:val="bottom"/>
          </w:tcPr>
          <w:p>
            <w:pPr>
              <w:spacing w:after="0"/>
              <w:rPr>
                <w:sz w:val="20"/>
                <w:szCs w:val="20"/>
                <w:color w:val="auto"/>
              </w:rPr>
            </w:pPr>
            <w:r>
              <w:rPr>
                <w:rFonts w:ascii="Arial" w:cs="Arial" w:eastAsia="Arial" w:hAnsi="Arial"/>
                <w:sz w:val="18"/>
                <w:szCs w:val="18"/>
                <w:color w:val="auto"/>
              </w:rPr>
              <w:t>Date: November 3, 2023</w:t>
            </w:r>
          </w:p>
        </w:tc>
        <w:tc>
          <w:tcPr>
            <w:tcW w:w="8060" w:type="dxa"/>
            <w:vAlign w:val="bottom"/>
            <w:gridSpan w:val="3"/>
          </w:tcPr>
          <w:p>
            <w:pPr>
              <w:ind w:left="1380"/>
              <w:spacing w:after="0"/>
              <w:rPr>
                <w:sz w:val="20"/>
                <w:szCs w:val="20"/>
                <w:color w:val="auto"/>
              </w:rPr>
            </w:pPr>
            <w:r>
              <w:rPr>
                <w:rFonts w:ascii="Arial" w:cs="Arial" w:eastAsia="Arial" w:hAnsi="Arial"/>
                <w:sz w:val="18"/>
                <w:szCs w:val="18"/>
                <w:color w:val="auto"/>
              </w:rPr>
              <w:t>By:  /s/ Sharon Spurlin</w:t>
            </w:r>
          </w:p>
        </w:tc>
      </w:tr>
      <w:tr>
        <w:trPr>
          <w:trHeight w:val="222"/>
        </w:trPr>
        <w:tc>
          <w:tcPr>
            <w:tcW w:w="314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6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Name:</w:t>
            </w:r>
          </w:p>
        </w:tc>
        <w:tc>
          <w:tcPr>
            <w:tcW w:w="5580" w:type="dxa"/>
            <w:vAlign w:val="bottom"/>
            <w:tcBorders>
              <w:top w:val="single" w:sz="8" w:color="auto"/>
            </w:tcBorders>
          </w:tcPr>
          <w:p>
            <w:pPr>
              <w:ind w:left="160"/>
              <w:spacing w:after="0"/>
              <w:rPr>
                <w:sz w:val="20"/>
                <w:szCs w:val="20"/>
                <w:color w:val="auto"/>
              </w:rPr>
            </w:pPr>
            <w:r>
              <w:rPr>
                <w:rFonts w:ascii="Arial" w:cs="Arial" w:eastAsia="Arial" w:hAnsi="Arial"/>
                <w:sz w:val="18"/>
                <w:szCs w:val="18"/>
                <w:color w:val="auto"/>
              </w:rPr>
              <w:t>Sharon Spurlin</w:t>
            </w:r>
          </w:p>
        </w:tc>
      </w:tr>
      <w:tr>
        <w:trPr>
          <w:trHeight w:val="230"/>
        </w:trPr>
        <w:tc>
          <w:tcPr>
            <w:tcW w:w="314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660" w:type="dxa"/>
            <w:vAlign w:val="bottom"/>
          </w:tcPr>
          <w:p>
            <w:pPr>
              <w:ind w:left="20"/>
              <w:spacing w:after="0"/>
              <w:rPr>
                <w:sz w:val="20"/>
                <w:szCs w:val="20"/>
                <w:color w:val="auto"/>
              </w:rPr>
            </w:pPr>
            <w:r>
              <w:rPr>
                <w:rFonts w:ascii="Arial" w:cs="Arial" w:eastAsia="Arial" w:hAnsi="Arial"/>
                <w:sz w:val="18"/>
                <w:szCs w:val="18"/>
                <w:color w:val="auto"/>
              </w:rPr>
              <w:t>Title:</w:t>
            </w:r>
          </w:p>
        </w:tc>
        <w:tc>
          <w:tcPr>
            <w:tcW w:w="5580" w:type="dxa"/>
            <w:vAlign w:val="bottom"/>
          </w:tcPr>
          <w:p>
            <w:pPr>
              <w:ind w:left="160"/>
              <w:spacing w:after="0"/>
              <w:rPr>
                <w:sz w:val="20"/>
                <w:szCs w:val="20"/>
                <w:color w:val="auto"/>
              </w:rPr>
            </w:pPr>
            <w:r>
              <w:rPr>
                <w:rFonts w:ascii="Arial" w:cs="Arial" w:eastAsia="Arial" w:hAnsi="Arial"/>
                <w:sz w:val="18"/>
                <w:szCs w:val="18"/>
                <w:i w:val="1"/>
                <w:iCs w:val="1"/>
                <w:color w:val="auto"/>
              </w:rPr>
              <w:t>Senior Vice President and Treasurer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20"/>
          </w:cols>
          <w:pgMar w:left="320" w:top="985" w:right="35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1102360</wp:posOffset>
            </wp:positionH>
            <wp:positionV relativeFrom="paragraph">
              <wp:posOffset>291465</wp:posOffset>
            </wp:positionV>
            <wp:extent cx="4946015" cy="7797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946015" cy="779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Plains All American Reports Third-Quarter 2023 Results &amp; Raises 2023 Guidance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Announces Capital Allocation Updates &amp; Permian Bolt-On Acquisitions</w:t>
      </w:r>
    </w:p>
    <w:p>
      <w:pPr>
        <w:spacing w:after="0" w:line="222"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Houston, TX – November 3, 2023 – Plains All American Pipeline, L.P. (Nasdaq: PAA) and Plains GP Holdings (Nasdaq: PAGP) today reported third-quarter 2023 results and provided updated 2023 guidance as highlighted below. Plains also provided additional information regarding its multi-year capital allocation framework and announced two bolt-on acquisitions in the Permian Basin.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Third-Quarter Results</w:t>
      </w:r>
    </w:p>
    <w:p>
      <w:pPr>
        <w:spacing w:after="0" w:line="27"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Reported Net income attributable to PAA of $203 million and Net cash provided by operating activities of $85 million.</w:t>
      </w:r>
    </w:p>
    <w:p>
      <w:pPr>
        <w:spacing w:after="0" w:line="23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Delivered strong results with Adjusted EBITDA attributable to PAA of $662 million.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2023 Guidance Update</w:t>
      </w:r>
    </w:p>
    <w:p>
      <w:pPr>
        <w:spacing w:after="0" w:line="27"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Raising guidance for full-year 2023 Adjusted EBITDA attributable to PAA to $2.60 - $2.65 billion from $2.45 - $2.55 billion.</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Allocation Updates</w:t>
      </w:r>
    </w:p>
    <w:p>
      <w:pPr>
        <w:spacing w:after="0" w:line="27" w:lineRule="exact"/>
        <w:rPr>
          <w:sz w:val="20"/>
          <w:szCs w:val="20"/>
          <w:color w:val="auto"/>
        </w:rPr>
      </w:pPr>
    </w:p>
    <w:p>
      <w:pPr>
        <w:ind w:left="660" w:right="140" w:hanging="328"/>
        <w:spacing w:after="0" w:line="255"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Management currently intends to recommend to the Board of Directors of PAA GP Holdings LLC (“the Plains Board”) an annualized increase of $0.20 per unit to PAA's and PAGP’s fourth-quarter 2023 distribution payable in February 2024, which would increase the annualized rate from $1.07 to $1.27 per common unit and Class A share, representing a 19% increase.</w:t>
      </w:r>
    </w:p>
    <w:p>
      <w:pPr>
        <w:spacing w:after="0" w:line="216" w:lineRule="exact"/>
        <w:rPr>
          <w:rFonts w:ascii="Arial" w:cs="Arial" w:eastAsia="Arial" w:hAnsi="Arial"/>
          <w:sz w:val="18"/>
          <w:szCs w:val="18"/>
          <w:color w:val="auto"/>
        </w:rPr>
      </w:pPr>
    </w:p>
    <w:p>
      <w:pPr>
        <w:ind w:left="660" w:right="360" w:hanging="328"/>
        <w:spacing w:after="0" w:line="277"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As part of a continued commitment to enhance the balance sheet, management is lowering the long-term leverage ratio target range by 0.5x to 3.25x - 3.75x and expects year-end 2023 leverage to be below 3.5x.</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Permian Bolt-on Acquisitions</w:t>
      </w:r>
    </w:p>
    <w:p>
      <w:pPr>
        <w:spacing w:after="0" w:line="27" w:lineRule="exact"/>
        <w:rPr>
          <w:sz w:val="20"/>
          <w:szCs w:val="20"/>
          <w:color w:val="auto"/>
        </w:rPr>
      </w:pPr>
    </w:p>
    <w:p>
      <w:pPr>
        <w:ind w:left="660" w:right="260" w:hanging="328"/>
        <w:spacing w:after="0" w:line="255"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Subsidiaries of Plains Oryx Permian Basin LLC (the “Permian JV”) acquired Rattler Midstream’s Southern Delaware Basin crude oil gathering system and LM Energy’s Northern Delaware Basin Touchdown crude oil gathering system for aggregate cash consideration of approximately $205 million ($135 million net to PAA’s interest in the Permian JV).</w:t>
      </w:r>
    </w:p>
    <w:p>
      <w:pPr>
        <w:spacing w:after="0" w:line="217"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“Today’s announcements include strong quarterly results contributing to an upward revision of our full-year EBITDA guidance. We closed two bolt-on acquisitions that complement our existing portfolio and enhance the service offering of our Permian JV. Our strong performance and positive outlook for our business combined with the contribution from recent bolt-on transactions underpins our intent to recommend to our Board a 19% increase in the annualized distribution rate for the distribution payable in February 2024. We remain committed to operating with a strong balance sheet that can withstand various commodity cycles and consistent with this objective, we are reducing our long-term leverage ratio target range. These steps underscore the confidence we have in our business and reflect the continued focus on execution by our entire team,” said Willie Chiang, Chairman &amp; CEO of Plains. “Recent geopolitical events remind us of the important role we play as a critical provider of infrastructure solutions offering affordable, reliable, and responsibly produced crude oil &amp; NGLs across North America and reinforce our view that we remain well positioned today and going forward.”</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100330</wp:posOffset>
            </wp:positionV>
            <wp:extent cx="711517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55" w:lineRule="exact"/>
        <w:rPr>
          <w:sz w:val="20"/>
          <w:szCs w:val="20"/>
          <w:color w:val="auto"/>
        </w:rPr>
      </w:pPr>
    </w:p>
    <w:p>
      <w:pPr>
        <w:ind w:left="1660"/>
        <w:spacing w:after="0"/>
        <w:tabs>
          <w:tab w:leader="none" w:pos="4760" w:val="left"/>
          <w:tab w:leader="none" w:pos="74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240"/>
          </w:cols>
          <w:pgMar w:left="320" w:top="364"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auto"/>
        </w:rPr>
        <w:t>Page 2</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Summary Financial Information</w:t>
      </w:r>
      <w:r>
        <w:rPr>
          <w:rFonts w:ascii="Arial" w:cs="Arial" w:eastAsia="Arial" w:hAnsi="Arial"/>
          <w:sz w:val="18"/>
          <w:szCs w:val="18"/>
          <w:b w:val="1"/>
          <w:bCs w:val="1"/>
          <w:color w:val="auto"/>
        </w:rPr>
        <w:t xml:space="preserve"> </w:t>
      </w:r>
      <w:r>
        <w:rPr>
          <w:rFonts w:ascii="Arial" w:cs="Arial" w:eastAsia="Arial" w:hAnsi="Arial"/>
          <w:sz w:val="18"/>
          <w:szCs w:val="18"/>
          <w:color w:val="auto"/>
        </w:rPr>
        <w:t>(unaudited)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per unit data)</w:t>
      </w:r>
    </w:p>
    <w:p>
      <w:pPr>
        <w:spacing w:after="0" w:line="14"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50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20" w:type="dxa"/>
            <w:vAlign w:val="bottom"/>
            <w:gridSpan w:val="7"/>
          </w:tcPr>
          <w:p>
            <w:pPr>
              <w:ind w:left="100"/>
              <w:spacing w:after="0"/>
              <w:rPr>
                <w:sz w:val="20"/>
                <w:szCs w:val="20"/>
                <w:color w:val="auto"/>
              </w:rPr>
            </w:pPr>
            <w:r>
              <w:rPr>
                <w:rFonts w:ascii="Arial" w:cs="Arial" w:eastAsia="Arial" w:hAnsi="Arial"/>
                <w:sz w:val="14"/>
                <w:szCs w:val="14"/>
                <w:b w:val="1"/>
                <w:bCs w:val="1"/>
                <w:color w:val="auto"/>
              </w:rPr>
              <w:t>Three Months Ended</w:t>
            </w:r>
          </w:p>
        </w:tc>
        <w:tc>
          <w:tcPr>
            <w:tcW w:w="8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20" w:type="dxa"/>
            <w:vAlign w:val="bottom"/>
            <w:gridSpan w:val="9"/>
          </w:tcPr>
          <w:p>
            <w:pPr>
              <w:jc w:val="center"/>
              <w:ind w:right="300"/>
              <w:spacing w:after="0"/>
              <w:rPr>
                <w:sz w:val="20"/>
                <w:szCs w:val="20"/>
                <w:color w:val="auto"/>
              </w:rPr>
            </w:pPr>
            <w:r>
              <w:rPr>
                <w:rFonts w:ascii="Arial" w:cs="Arial" w:eastAsia="Arial" w:hAnsi="Arial"/>
                <w:sz w:val="14"/>
                <w:szCs w:val="14"/>
                <w:b w:val="1"/>
                <w:bCs w:val="1"/>
                <w:color w:val="auto"/>
                <w:w w:val="94"/>
              </w:rPr>
              <w:t>Nine Months Ended</w:t>
            </w:r>
          </w:p>
        </w:tc>
        <w:tc>
          <w:tcPr>
            <w:tcW w:w="9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2"/>
        </w:trPr>
        <w:tc>
          <w:tcPr>
            <w:tcW w:w="50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20" w:type="dxa"/>
            <w:vAlign w:val="bottom"/>
            <w:gridSpan w:val="7"/>
          </w:tcPr>
          <w:p>
            <w:pPr>
              <w:ind w:left="320"/>
              <w:spacing w:after="0"/>
              <w:rPr>
                <w:sz w:val="20"/>
                <w:szCs w:val="20"/>
                <w:color w:val="auto"/>
              </w:rPr>
            </w:pPr>
            <w:r>
              <w:rPr>
                <w:rFonts w:ascii="Arial" w:cs="Arial" w:eastAsia="Arial" w:hAnsi="Arial"/>
                <w:sz w:val="14"/>
                <w:szCs w:val="14"/>
                <w:b w:val="1"/>
                <w:bCs w:val="1"/>
                <w:color w:val="auto"/>
              </w:rPr>
              <w:t>September 30,</w:t>
            </w:r>
          </w:p>
        </w:tc>
        <w:tc>
          <w:tcPr>
            <w:tcW w:w="88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20" w:type="dxa"/>
            <w:vAlign w:val="bottom"/>
            <w:gridSpan w:val="9"/>
          </w:tcPr>
          <w:p>
            <w:pPr>
              <w:jc w:val="center"/>
              <w:ind w:right="300"/>
              <w:spacing w:after="0"/>
              <w:rPr>
                <w:sz w:val="20"/>
                <w:szCs w:val="20"/>
                <w:color w:val="auto"/>
              </w:rPr>
            </w:pPr>
            <w:r>
              <w:rPr>
                <w:rFonts w:ascii="Arial" w:cs="Arial" w:eastAsia="Arial" w:hAnsi="Arial"/>
                <w:sz w:val="14"/>
                <w:szCs w:val="14"/>
                <w:b w:val="1"/>
                <w:bCs w:val="1"/>
                <w:color w:val="auto"/>
                <w:w w:val="91"/>
              </w:rPr>
              <w:t>September 30,</w:t>
            </w:r>
          </w:p>
        </w:tc>
        <w:tc>
          <w:tcPr>
            <w:tcW w:w="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140" w:type="dxa"/>
            <w:vAlign w:val="bottom"/>
            <w:gridSpan w:val="3"/>
          </w:tcPr>
          <w:p>
            <w:pPr>
              <w:ind w:left="20"/>
              <w:spacing w:after="0"/>
              <w:rPr>
                <w:sz w:val="20"/>
                <w:szCs w:val="20"/>
                <w:color w:val="auto"/>
              </w:rPr>
            </w:pPr>
            <w:r>
              <w:rPr>
                <w:rFonts w:ascii="Arial" w:cs="Arial" w:eastAsia="Arial" w:hAnsi="Arial"/>
                <w:sz w:val="14"/>
                <w:szCs w:val="14"/>
                <w:b w:val="1"/>
                <w:bCs w:val="1"/>
                <w:i w:val="1"/>
                <w:iCs w:val="1"/>
                <w:color w:val="auto"/>
              </w:rPr>
              <w:t>GAAP Results</w:t>
            </w:r>
          </w:p>
        </w:tc>
        <w:tc>
          <w:tcPr>
            <w:tcW w:w="2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ind w:left="100"/>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2022</w:t>
            </w:r>
          </w:p>
        </w:tc>
        <w:tc>
          <w:tcPr>
            <w:tcW w:w="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4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89"/>
              </w:rPr>
              <w:t>Change</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2023</w:t>
            </w:r>
          </w:p>
        </w:tc>
        <w:tc>
          <w:tcPr>
            <w:tcW w:w="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2022</w:t>
            </w:r>
          </w:p>
        </w:tc>
        <w:tc>
          <w:tcPr>
            <w:tcW w:w="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230"/>
        </w:trPr>
        <w:tc>
          <w:tcPr>
            <w:tcW w:w="50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income attributable to PAA</w:t>
            </w:r>
          </w:p>
        </w:tc>
        <w:tc>
          <w:tcPr>
            <w:tcW w:w="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384</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2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CCEEFF"/>
              <w:right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918</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21"/>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774</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19 %</w:t>
            </w:r>
          </w:p>
        </w:tc>
        <w:tc>
          <w:tcPr>
            <w:tcW w:w="0" w:type="dxa"/>
            <w:vAlign w:val="bottom"/>
          </w:tcPr>
          <w:p>
            <w:pPr>
              <w:spacing w:after="0"/>
              <w:rPr>
                <w:sz w:val="1"/>
                <w:szCs w:val="1"/>
                <w:color w:val="auto"/>
              </w:rPr>
            </w:pPr>
          </w:p>
        </w:tc>
      </w:tr>
      <w:tr>
        <w:trPr>
          <w:trHeight w:val="229"/>
        </w:trPr>
        <w:tc>
          <w:tcPr>
            <w:tcW w:w="5140" w:type="dxa"/>
            <w:vAlign w:val="bottom"/>
            <w:gridSpan w:val="3"/>
          </w:tcPr>
          <w:p>
            <w:pPr>
              <w:ind w:left="20"/>
              <w:spacing w:after="0"/>
              <w:rPr>
                <w:sz w:val="20"/>
                <w:szCs w:val="20"/>
                <w:color w:val="auto"/>
              </w:rPr>
            </w:pPr>
            <w:r>
              <w:rPr>
                <w:rFonts w:ascii="Arial" w:cs="Arial" w:eastAsia="Arial" w:hAnsi="Arial"/>
                <w:sz w:val="18"/>
                <w:szCs w:val="18"/>
                <w:color w:val="auto"/>
              </w:rPr>
              <w:t>Diluted net income per common unit</w:t>
            </w:r>
          </w:p>
        </w:tc>
        <w:tc>
          <w:tcPr>
            <w:tcW w:w="200" w:type="dxa"/>
            <w:vAlign w:val="bottom"/>
            <w:gridSpan w:val="2"/>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0.20</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0.48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(58)%</w:t>
            </w:r>
          </w:p>
        </w:tc>
        <w:tc>
          <w:tcPr>
            <w:tcW w:w="2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280" w:type="dxa"/>
            <w:vAlign w:val="bottom"/>
            <w:gridSpan w:val="3"/>
          </w:tcPr>
          <w:p>
            <w:pPr>
              <w:jc w:val="right"/>
              <w:ind w:right="1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1.04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jc w:val="right"/>
              <w:ind w:right="21"/>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0.89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17 %</w:t>
            </w:r>
          </w:p>
        </w:tc>
        <w:tc>
          <w:tcPr>
            <w:tcW w:w="0" w:type="dxa"/>
            <w:vAlign w:val="bottom"/>
          </w:tcPr>
          <w:p>
            <w:pPr>
              <w:spacing w:after="0"/>
              <w:rPr>
                <w:sz w:val="1"/>
                <w:szCs w:val="1"/>
                <w:color w:val="auto"/>
              </w:rPr>
            </w:pPr>
          </w:p>
        </w:tc>
      </w:tr>
      <w:tr>
        <w:trPr>
          <w:trHeight w:val="230"/>
        </w:trPr>
        <w:tc>
          <w:tcPr>
            <w:tcW w:w="51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Diluted weighted average common units outstanding</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40" w:type="dxa"/>
            <w:vAlign w:val="bottom"/>
            <w:tcBorders>
              <w:right w:val="single" w:sz="8" w:color="auto"/>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 %</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29"/>
        </w:trPr>
        <w:tc>
          <w:tcPr>
            <w:tcW w:w="5140" w:type="dxa"/>
            <w:vAlign w:val="bottom"/>
            <w:gridSpan w:val="3"/>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200" w:type="dxa"/>
            <w:vAlign w:val="bottom"/>
            <w:gridSpan w:val="2"/>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941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(91)%</w:t>
            </w:r>
          </w:p>
        </w:tc>
        <w:tc>
          <w:tcPr>
            <w:tcW w:w="2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280" w:type="dxa"/>
            <w:vAlign w:val="bottom"/>
            <w:gridSpan w:val="3"/>
          </w:tcPr>
          <w:p>
            <w:pPr>
              <w:jc w:val="right"/>
              <w:ind w:right="10"/>
              <w:spacing w:after="0"/>
              <w:rPr>
                <w:sz w:val="20"/>
                <w:szCs w:val="20"/>
                <w:color w:val="auto"/>
              </w:rPr>
            </w:pPr>
            <w:r>
              <w:rPr>
                <w:rFonts w:ascii="Arial" w:cs="Arial" w:eastAsia="Arial" w:hAnsi="Arial"/>
                <w:sz w:val="17"/>
                <w:szCs w:val="17"/>
                <w:color w:val="auto"/>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1,716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jc w:val="right"/>
              <w:ind w:right="21"/>
              <w:spacing w:after="0"/>
              <w:rPr>
                <w:sz w:val="20"/>
                <w:szCs w:val="20"/>
                <w:color w:val="auto"/>
              </w:rPr>
            </w:pPr>
            <w:r>
              <w:rPr>
                <w:rFonts w:ascii="Arial" w:cs="Arial" w:eastAsia="Arial" w:hAnsi="Arial"/>
                <w:sz w:val="17"/>
                <w:szCs w:val="17"/>
                <w:color w:val="auto"/>
                <w:w w:val="84"/>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2,074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9"/>
        </w:trPr>
        <w:tc>
          <w:tcPr>
            <w:tcW w:w="51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Distribution per common unit declared for the period</w:t>
            </w:r>
          </w:p>
        </w:tc>
        <w:tc>
          <w:tcPr>
            <w:tcW w:w="2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0.2675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0.2175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23 %</w:t>
            </w:r>
          </w:p>
        </w:tc>
        <w:tc>
          <w:tcPr>
            <w:tcW w:w="2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28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0.8025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21"/>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0.6525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23 %</w:t>
            </w:r>
          </w:p>
        </w:tc>
        <w:tc>
          <w:tcPr>
            <w:tcW w:w="0" w:type="dxa"/>
            <w:vAlign w:val="bottom"/>
          </w:tcPr>
          <w:p>
            <w:pPr>
              <w:spacing w:after="0"/>
              <w:rPr>
                <w:sz w:val="1"/>
                <w:szCs w:val="1"/>
                <w:color w:val="auto"/>
              </w:rPr>
            </w:pPr>
          </w:p>
        </w:tc>
      </w:tr>
      <w:tr>
        <w:trPr>
          <w:trHeight w:val="608"/>
        </w:trPr>
        <w:tc>
          <w:tcPr>
            <w:tcW w:w="5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20" w:type="dxa"/>
            <w:vAlign w:val="bottom"/>
            <w:gridSpan w:val="7"/>
          </w:tcPr>
          <w:p>
            <w:pPr>
              <w:ind w:left="100"/>
              <w:spacing w:after="0"/>
              <w:rPr>
                <w:sz w:val="20"/>
                <w:szCs w:val="20"/>
                <w:color w:val="auto"/>
              </w:rPr>
            </w:pPr>
            <w:r>
              <w:rPr>
                <w:rFonts w:ascii="Arial" w:cs="Arial" w:eastAsia="Arial" w:hAnsi="Arial"/>
                <w:sz w:val="14"/>
                <w:szCs w:val="14"/>
                <w:b w:val="1"/>
                <w:bCs w:val="1"/>
                <w:color w:val="auto"/>
              </w:rPr>
              <w:t>Three Months Ended</w:t>
            </w:r>
          </w:p>
        </w:tc>
        <w:tc>
          <w:tcPr>
            <w:tcW w:w="8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20" w:type="dxa"/>
            <w:vAlign w:val="bottom"/>
            <w:gridSpan w:val="9"/>
          </w:tcPr>
          <w:p>
            <w:pPr>
              <w:jc w:val="center"/>
              <w:ind w:right="340"/>
              <w:spacing w:after="0"/>
              <w:rPr>
                <w:sz w:val="20"/>
                <w:szCs w:val="20"/>
                <w:color w:val="auto"/>
              </w:rPr>
            </w:pPr>
            <w:r>
              <w:rPr>
                <w:rFonts w:ascii="Arial" w:cs="Arial" w:eastAsia="Arial" w:hAnsi="Arial"/>
                <w:sz w:val="14"/>
                <w:szCs w:val="14"/>
                <w:b w:val="1"/>
                <w:bCs w:val="1"/>
                <w:color w:val="auto"/>
                <w:w w:val="94"/>
              </w:rPr>
              <w:t>Nine Months Ended</w:t>
            </w:r>
          </w:p>
        </w:tc>
        <w:tc>
          <w:tcPr>
            <w:tcW w:w="9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6"/>
        </w:trPr>
        <w:tc>
          <w:tcPr>
            <w:tcW w:w="50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20" w:type="dxa"/>
            <w:vAlign w:val="bottom"/>
            <w:gridSpan w:val="7"/>
          </w:tcPr>
          <w:p>
            <w:pPr>
              <w:ind w:left="320"/>
              <w:spacing w:after="0"/>
              <w:rPr>
                <w:sz w:val="20"/>
                <w:szCs w:val="20"/>
                <w:color w:val="auto"/>
              </w:rPr>
            </w:pPr>
            <w:r>
              <w:rPr>
                <w:rFonts w:ascii="Arial" w:cs="Arial" w:eastAsia="Arial" w:hAnsi="Arial"/>
                <w:sz w:val="14"/>
                <w:szCs w:val="14"/>
                <w:b w:val="1"/>
                <w:bCs w:val="1"/>
                <w:color w:val="auto"/>
              </w:rPr>
              <w:t>September 30,</w:t>
            </w:r>
          </w:p>
        </w:tc>
        <w:tc>
          <w:tcPr>
            <w:tcW w:w="88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20" w:type="dxa"/>
            <w:vAlign w:val="bottom"/>
            <w:gridSpan w:val="9"/>
          </w:tcPr>
          <w:p>
            <w:pPr>
              <w:jc w:val="center"/>
              <w:ind w:right="340"/>
              <w:spacing w:after="0"/>
              <w:rPr>
                <w:sz w:val="20"/>
                <w:szCs w:val="20"/>
                <w:color w:val="auto"/>
              </w:rPr>
            </w:pPr>
            <w:r>
              <w:rPr>
                <w:rFonts w:ascii="Arial" w:cs="Arial" w:eastAsia="Arial" w:hAnsi="Arial"/>
                <w:sz w:val="14"/>
                <w:szCs w:val="14"/>
                <w:b w:val="1"/>
                <w:bCs w:val="1"/>
                <w:color w:val="auto"/>
                <w:w w:val="91"/>
              </w:rPr>
              <w:t>September 30,</w:t>
            </w:r>
          </w:p>
        </w:tc>
        <w:tc>
          <w:tcPr>
            <w:tcW w:w="9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40" w:type="dxa"/>
            <w:vAlign w:val="bottom"/>
            <w:gridSpan w:val="3"/>
          </w:tcPr>
          <w:p>
            <w:pPr>
              <w:ind w:left="20"/>
              <w:spacing w:after="0" w:line="202" w:lineRule="exact"/>
              <w:rPr>
                <w:sz w:val="20"/>
                <w:szCs w:val="20"/>
                <w:color w:val="auto"/>
              </w:rPr>
            </w:pPr>
            <w:r>
              <w:rPr>
                <w:rFonts w:ascii="Arial" w:cs="Arial" w:eastAsia="Arial" w:hAnsi="Arial"/>
                <w:sz w:val="14"/>
                <w:szCs w:val="14"/>
                <w:b w:val="1"/>
                <w:bCs w:val="1"/>
                <w:i w:val="1"/>
                <w:iCs w:val="1"/>
                <w:color w:val="auto"/>
              </w:rPr>
              <w:t xml:space="preserve">Non-GAAP Results </w:t>
            </w:r>
            <w:r>
              <w:rPr>
                <w:rFonts w:ascii="Arial" w:cs="Arial" w:eastAsia="Arial" w:hAnsi="Arial"/>
                <w:sz w:val="18"/>
                <w:szCs w:val="18"/>
                <w:b w:val="1"/>
                <w:bCs w:val="1"/>
                <w:i w:val="1"/>
                <w:iCs w:val="1"/>
                <w:color w:val="auto"/>
                <w:vertAlign w:val="superscript"/>
              </w:rPr>
              <w:t>(1)</w:t>
            </w:r>
          </w:p>
        </w:tc>
        <w:tc>
          <w:tcPr>
            <w:tcW w:w="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ind w:left="100"/>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2022</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4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3"/>
              </w:rPr>
              <w:t>Change</w:t>
            </w:r>
          </w:p>
        </w:tc>
        <w:tc>
          <w:tcPr>
            <w:tcW w:w="6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2023</w:t>
            </w:r>
          </w:p>
        </w:tc>
        <w:tc>
          <w:tcPr>
            <w:tcW w:w="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2022</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223"/>
        </w:trPr>
        <w:tc>
          <w:tcPr>
            <w:tcW w:w="506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Adjusted net income attributable to PAA</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right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894</w:t>
            </w: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41"/>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805</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11 %</w:t>
            </w:r>
          </w:p>
        </w:tc>
        <w:tc>
          <w:tcPr>
            <w:tcW w:w="0" w:type="dxa"/>
            <w:vAlign w:val="bottom"/>
          </w:tcPr>
          <w:p>
            <w:pPr>
              <w:spacing w:after="0"/>
              <w:rPr>
                <w:sz w:val="1"/>
                <w:szCs w:val="1"/>
                <w:color w:val="auto"/>
              </w:rPr>
            </w:pPr>
          </w:p>
        </w:tc>
      </w:tr>
      <w:tr>
        <w:trPr>
          <w:trHeight w:val="229"/>
        </w:trPr>
        <w:tc>
          <w:tcPr>
            <w:tcW w:w="5140" w:type="dxa"/>
            <w:vAlign w:val="bottom"/>
            <w:gridSpan w:val="3"/>
          </w:tcPr>
          <w:p>
            <w:pPr>
              <w:ind w:left="20"/>
              <w:spacing w:after="0"/>
              <w:rPr>
                <w:sz w:val="20"/>
                <w:szCs w:val="20"/>
                <w:color w:val="auto"/>
              </w:rPr>
            </w:pPr>
            <w:r>
              <w:rPr>
                <w:rFonts w:ascii="Arial" w:cs="Arial" w:eastAsia="Arial" w:hAnsi="Arial"/>
                <w:sz w:val="18"/>
                <w:szCs w:val="18"/>
                <w:color w:val="auto"/>
              </w:rPr>
              <w:t>Diluted adjusted net income per common unit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0.35</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0.33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6 %</w:t>
            </w:r>
          </w:p>
        </w:tc>
        <w:tc>
          <w:tcPr>
            <w:tcW w:w="2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280" w:type="dxa"/>
            <w:vAlign w:val="bottom"/>
            <w:gridSpan w:val="3"/>
          </w:tcPr>
          <w:p>
            <w:pPr>
              <w:jc w:val="right"/>
              <w:ind w:right="1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1.01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jc w:val="right"/>
              <w:ind w:right="41"/>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0.93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9 %</w:t>
            </w:r>
          </w:p>
        </w:tc>
        <w:tc>
          <w:tcPr>
            <w:tcW w:w="0" w:type="dxa"/>
            <w:vAlign w:val="bottom"/>
          </w:tcPr>
          <w:p>
            <w:pPr>
              <w:spacing w:after="0"/>
              <w:rPr>
                <w:sz w:val="1"/>
                <w:szCs w:val="1"/>
                <w:color w:val="auto"/>
              </w:rPr>
            </w:pPr>
          </w:p>
        </w:tc>
      </w:tr>
      <w:tr>
        <w:trPr>
          <w:trHeight w:val="230"/>
        </w:trPr>
        <w:tc>
          <w:tcPr>
            <w:tcW w:w="51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Adjusted EBITDA</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8 %</w:t>
            </w:r>
          </w:p>
        </w:tc>
        <w:tc>
          <w:tcPr>
            <w:tcW w:w="2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28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2,292</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41"/>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8 %</w:t>
            </w:r>
          </w:p>
        </w:tc>
        <w:tc>
          <w:tcPr>
            <w:tcW w:w="0" w:type="dxa"/>
            <w:vAlign w:val="bottom"/>
          </w:tcPr>
          <w:p>
            <w:pPr>
              <w:spacing w:after="0"/>
              <w:rPr>
                <w:sz w:val="1"/>
                <w:szCs w:val="1"/>
                <w:color w:val="auto"/>
              </w:rPr>
            </w:pPr>
          </w:p>
        </w:tc>
      </w:tr>
      <w:tr>
        <w:trPr>
          <w:trHeight w:val="229"/>
        </w:trPr>
        <w:tc>
          <w:tcPr>
            <w:tcW w:w="5140" w:type="dxa"/>
            <w:vAlign w:val="bottom"/>
            <w:gridSpan w:val="3"/>
          </w:tcPr>
          <w:p>
            <w:pPr>
              <w:ind w:left="20"/>
              <w:spacing w:after="0" w:line="230" w:lineRule="exact"/>
              <w:rPr>
                <w:sz w:val="20"/>
                <w:szCs w:val="20"/>
                <w:color w:val="auto"/>
              </w:rPr>
            </w:pPr>
            <w:r>
              <w:rPr>
                <w:rFonts w:ascii="Arial" w:cs="Arial" w:eastAsia="Arial" w:hAnsi="Arial"/>
                <w:sz w:val="18"/>
                <w:szCs w:val="18"/>
                <w:color w:val="auto"/>
              </w:rPr>
              <w:t xml:space="preserve">Adjusted EBITDA attributable to PAA </w:t>
            </w:r>
            <w:r>
              <w:rPr>
                <w:rFonts w:ascii="Arial" w:cs="Arial" w:eastAsia="Arial" w:hAnsi="Arial"/>
                <w:sz w:val="23"/>
                <w:szCs w:val="23"/>
                <w:color w:val="auto"/>
                <w:vertAlign w:val="superscript"/>
              </w:rPr>
              <w:t>(2)</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662</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623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6 %</w:t>
            </w:r>
          </w:p>
        </w:tc>
        <w:tc>
          <w:tcPr>
            <w:tcW w:w="2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280" w:type="dxa"/>
            <w:vAlign w:val="bottom"/>
            <w:gridSpan w:val="3"/>
          </w:tcPr>
          <w:p>
            <w:pPr>
              <w:jc w:val="right"/>
              <w:ind w:right="1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1,974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jc w:val="right"/>
              <w:ind w:right="41"/>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1,851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7 %</w:t>
            </w:r>
          </w:p>
        </w:tc>
        <w:tc>
          <w:tcPr>
            <w:tcW w:w="0" w:type="dxa"/>
            <w:vAlign w:val="bottom"/>
          </w:tcPr>
          <w:p>
            <w:pPr>
              <w:spacing w:after="0"/>
              <w:rPr>
                <w:sz w:val="1"/>
                <w:szCs w:val="1"/>
                <w:color w:val="auto"/>
              </w:rPr>
            </w:pPr>
          </w:p>
        </w:tc>
      </w:tr>
      <w:tr>
        <w:trPr>
          <w:trHeight w:val="229"/>
        </w:trPr>
        <w:tc>
          <w:tcPr>
            <w:tcW w:w="51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Implied DCF per common unit and common unit equivalent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13 %</w:t>
            </w:r>
          </w:p>
        </w:tc>
        <w:tc>
          <w:tcPr>
            <w:tcW w:w="2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28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41"/>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6 %</w:t>
            </w:r>
          </w:p>
        </w:tc>
        <w:tc>
          <w:tcPr>
            <w:tcW w:w="0" w:type="dxa"/>
            <w:vAlign w:val="bottom"/>
          </w:tcPr>
          <w:p>
            <w:pPr>
              <w:spacing w:after="0"/>
              <w:rPr>
                <w:sz w:val="1"/>
                <w:szCs w:val="1"/>
                <w:color w:val="auto"/>
              </w:rPr>
            </w:pPr>
          </w:p>
        </w:tc>
      </w:tr>
      <w:tr>
        <w:trPr>
          <w:trHeight w:val="230"/>
        </w:trPr>
        <w:tc>
          <w:tcPr>
            <w:tcW w:w="5140" w:type="dxa"/>
            <w:vAlign w:val="bottom"/>
            <w:gridSpan w:val="3"/>
          </w:tcPr>
          <w:p>
            <w:pPr>
              <w:ind w:left="20"/>
              <w:spacing w:after="0"/>
              <w:rPr>
                <w:sz w:val="20"/>
                <w:szCs w:val="20"/>
                <w:color w:val="auto"/>
              </w:rPr>
            </w:pPr>
            <w:r>
              <w:rPr>
                <w:rFonts w:ascii="Arial" w:cs="Arial" w:eastAsia="Arial" w:hAnsi="Arial"/>
                <w:sz w:val="18"/>
                <w:szCs w:val="18"/>
                <w:color w:val="auto"/>
              </w:rPr>
              <w:t>Free Cash Flow</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(386)</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726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280" w:type="dxa"/>
            <w:vAlign w:val="bottom"/>
            <w:gridSpan w:val="3"/>
          </w:tcPr>
          <w:p>
            <w:pPr>
              <w:jc w:val="right"/>
              <w:ind w:right="1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1,088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jc w:val="right"/>
              <w:ind w:right="41"/>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1,615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29"/>
        </w:trPr>
        <w:tc>
          <w:tcPr>
            <w:tcW w:w="51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Free Cash Flow after Distributions</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28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41"/>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245999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398" w:lineRule="exact"/>
        <w:rPr>
          <w:sz w:val="20"/>
          <w:szCs w:val="20"/>
          <w:color w:val="auto"/>
        </w:rPr>
      </w:pPr>
    </w:p>
    <w:p>
      <w:pPr>
        <w:spacing w:after="0"/>
        <w:rPr>
          <w:sz w:val="20"/>
          <w:szCs w:val="20"/>
          <w:color w:val="auto"/>
        </w:rPr>
      </w:pPr>
      <w:r>
        <w:rPr>
          <w:rFonts w:ascii="Arial" w:cs="Arial" w:eastAsia="Arial" w:hAnsi="Arial"/>
          <w:sz w:val="18"/>
          <w:szCs w:val="18"/>
          <w:color w:val="auto"/>
        </w:rPr>
        <w:t>** Indicates that variance as a percentage is not meaningful.</w:t>
      </w:r>
    </w:p>
    <w:p>
      <w:pPr>
        <w:spacing w:after="0" w:line="63" w:lineRule="exact"/>
        <w:rPr>
          <w:sz w:val="20"/>
          <w:szCs w:val="20"/>
          <w:color w:val="auto"/>
        </w:rPr>
      </w:pPr>
    </w:p>
    <w:p>
      <w:pPr>
        <w:jc w:val="both"/>
        <w:ind w:left="340" w:right="240" w:hanging="332"/>
        <w:spacing w:after="0" w:line="269" w:lineRule="auto"/>
        <w:tabs>
          <w:tab w:leader="none" w:pos="328" w:val="left"/>
        </w:tabs>
        <w:numPr>
          <w:ilvl w:val="0"/>
          <w:numId w:val="7"/>
        </w:numPr>
        <w:rPr>
          <w:rFonts w:ascii="Arial" w:cs="Arial" w:eastAsia="Arial" w:hAnsi="Arial"/>
          <w:sz w:val="21"/>
          <w:szCs w:val="21"/>
          <w:color w:val="auto"/>
          <w:vertAlign w:val="superscript"/>
        </w:rPr>
      </w:pPr>
      <w:r>
        <w:rPr>
          <w:rFonts w:ascii="Arial" w:cs="Arial" w:eastAsia="Arial" w:hAnsi="Arial"/>
          <w:sz w:val="16"/>
          <w:szCs w:val="16"/>
          <w:color w:val="auto"/>
        </w:rPr>
        <w:t>See the section of this release entitled “Non-GAAP Financial Measures and Selected Items Impacting Comparability” and the tables attached hereto for information regarding our Non-GAAP financial measures, including their reconciliation to the most directly comparable measures as reported in accordance with GAAP, and certain selected items that PAA believes impact comparability of financial results between reporting periods.</w:t>
      </w:r>
    </w:p>
    <w:p>
      <w:pPr>
        <w:spacing w:after="0" w:line="18" w:lineRule="exact"/>
        <w:rPr>
          <w:rFonts w:ascii="Arial" w:cs="Arial" w:eastAsia="Arial" w:hAnsi="Arial"/>
          <w:sz w:val="21"/>
          <w:szCs w:val="21"/>
          <w:color w:val="auto"/>
          <w:vertAlign w:val="superscript"/>
        </w:rPr>
      </w:pPr>
    </w:p>
    <w:p>
      <w:pPr>
        <w:ind w:left="340" w:right="400" w:hanging="332"/>
        <w:spacing w:after="0" w:line="227" w:lineRule="auto"/>
        <w:tabs>
          <w:tab w:leader="none" w:pos="328" w:val="left"/>
        </w:tabs>
        <w:numPr>
          <w:ilvl w:val="0"/>
          <w:numId w:val="7"/>
        </w:numPr>
        <w:rPr>
          <w:rFonts w:ascii="Arial" w:cs="Arial" w:eastAsia="Arial" w:hAnsi="Arial"/>
          <w:sz w:val="23"/>
          <w:szCs w:val="23"/>
          <w:color w:val="auto"/>
          <w:vertAlign w:val="superscript"/>
        </w:rPr>
      </w:pPr>
      <w:r>
        <w:rPr>
          <w:rFonts w:ascii="Arial" w:cs="Arial" w:eastAsia="Arial" w:hAnsi="Arial"/>
          <w:sz w:val="18"/>
          <w:szCs w:val="18"/>
          <w:color w:val="auto"/>
        </w:rPr>
        <w:t>Excludes amounts attributable to noncontrolling interests in the Plains Oryx Permian Basin LLC joint venture, Cactus II Pipeline LLC (beginning November 2022) and Red River Pipeline LLC.</w:t>
      </w: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100330</wp:posOffset>
            </wp:positionV>
            <wp:extent cx="711517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55" w:lineRule="exact"/>
        <w:rPr>
          <w:sz w:val="20"/>
          <w:szCs w:val="20"/>
          <w:color w:val="auto"/>
        </w:rPr>
      </w:pPr>
    </w:p>
    <w:p>
      <w:pPr>
        <w:ind w:left="1660"/>
        <w:spacing w:after="0"/>
        <w:tabs>
          <w:tab w:leader="none" w:pos="4760" w:val="left"/>
          <w:tab w:leader="none" w:pos="74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220"/>
          </w:cols>
          <w:pgMar w:left="320" w:top="368" w:right="35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auto"/>
        </w:rPr>
        <w:t>Page 3</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Summary of Selected Financial Data by Segment</w:t>
      </w:r>
      <w:r>
        <w:rPr>
          <w:rFonts w:ascii="Arial" w:cs="Arial" w:eastAsia="Arial" w:hAnsi="Arial"/>
          <w:sz w:val="18"/>
          <w:szCs w:val="18"/>
          <w:b w:val="1"/>
          <w:bCs w:val="1"/>
          <w:color w:val="auto"/>
        </w:rPr>
        <w:t xml:space="preserve"> </w:t>
      </w:r>
      <w:r>
        <w:rPr>
          <w:rFonts w:ascii="Arial" w:cs="Arial" w:eastAsia="Arial" w:hAnsi="Arial"/>
          <w:sz w:val="18"/>
          <w:szCs w:val="18"/>
          <w:color w:val="auto"/>
        </w:rPr>
        <w:t>(unaudited)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8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3120" w:type="dxa"/>
            <w:vAlign w:val="bottom"/>
            <w:tcBorders>
              <w:bottom w:val="single" w:sz="8" w:color="auto"/>
            </w:tcBorders>
            <w:gridSpan w:val="4"/>
          </w:tcPr>
          <w:p>
            <w:pPr>
              <w:jc w:val="right"/>
              <w:ind w:right="652"/>
              <w:spacing w:after="0"/>
              <w:rPr>
                <w:sz w:val="20"/>
                <w:szCs w:val="20"/>
                <w:color w:val="auto"/>
              </w:rPr>
            </w:pPr>
            <w:r>
              <w:rPr>
                <w:rFonts w:ascii="Arial" w:cs="Arial" w:eastAsia="Arial" w:hAnsi="Arial"/>
                <w:sz w:val="16"/>
                <w:szCs w:val="16"/>
                <w:b w:val="1"/>
                <w:bCs w:val="1"/>
                <w:color w:val="auto"/>
              </w:rPr>
              <w:t>Segment Adjusted EBITDA</w:t>
            </w:r>
          </w:p>
        </w:tc>
      </w:tr>
      <w:tr>
        <w:trPr>
          <w:trHeight w:val="210"/>
        </w:trPr>
        <w:tc>
          <w:tcPr>
            <w:tcW w:w="7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gridSpan w:val="2"/>
          </w:tcPr>
          <w:p>
            <w:pPr>
              <w:ind w:left="200"/>
              <w:spacing w:after="0"/>
              <w:rPr>
                <w:sz w:val="20"/>
                <w:szCs w:val="20"/>
                <w:color w:val="auto"/>
              </w:rPr>
            </w:pPr>
            <w:r>
              <w:rPr>
                <w:rFonts w:ascii="Arial" w:cs="Arial" w:eastAsia="Arial" w:hAnsi="Arial"/>
                <w:sz w:val="16"/>
                <w:szCs w:val="16"/>
                <w:b w:val="1"/>
                <w:bCs w:val="1"/>
                <w:color w:val="auto"/>
              </w:rPr>
              <w:t>Crude Oil</w:t>
            </w:r>
          </w:p>
        </w:tc>
        <w:tc>
          <w:tcPr>
            <w:tcW w:w="380" w:type="dxa"/>
            <w:vAlign w:val="bottom"/>
          </w:tcPr>
          <w:p>
            <w:pPr>
              <w:spacing w:after="0"/>
              <w:rPr>
                <w:sz w:val="18"/>
                <w:szCs w:val="18"/>
                <w:color w:val="auto"/>
              </w:rPr>
            </w:pPr>
          </w:p>
        </w:tc>
        <w:tc>
          <w:tcPr>
            <w:tcW w:w="1260" w:type="dxa"/>
            <w:vAlign w:val="bottom"/>
          </w:tcPr>
          <w:p>
            <w:pPr>
              <w:jc w:val="right"/>
              <w:ind w:right="552"/>
              <w:spacing w:after="0"/>
              <w:rPr>
                <w:sz w:val="20"/>
                <w:szCs w:val="20"/>
                <w:color w:val="auto"/>
              </w:rPr>
            </w:pPr>
            <w:r>
              <w:rPr>
                <w:rFonts w:ascii="Arial" w:cs="Arial" w:eastAsia="Arial" w:hAnsi="Arial"/>
                <w:sz w:val="16"/>
                <w:szCs w:val="16"/>
                <w:b w:val="1"/>
                <w:bCs w:val="1"/>
                <w:color w:val="auto"/>
              </w:rPr>
              <w:t>NGL</w:t>
            </w:r>
          </w:p>
        </w:tc>
      </w:tr>
      <w:tr>
        <w:trPr>
          <w:trHeight w:val="251"/>
        </w:trPr>
        <w:tc>
          <w:tcPr>
            <w:tcW w:w="78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Three Months Ended September 30, 2023</w:t>
            </w: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shd w:val="clear" w:color="auto" w:fill="CCEEFF"/>
          </w:tcPr>
          <w:p>
            <w:pPr>
              <w:jc w:val="right"/>
              <w:ind w:right="134"/>
              <w:spacing w:after="0"/>
              <w:rPr>
                <w:sz w:val="20"/>
                <w:szCs w:val="20"/>
                <w:color w:val="auto"/>
              </w:rPr>
            </w:pPr>
            <w:r>
              <w:rPr>
                <w:rFonts w:ascii="Arial" w:cs="Arial" w:eastAsia="Arial" w:hAnsi="Arial"/>
                <w:sz w:val="18"/>
                <w:szCs w:val="18"/>
                <w:color w:val="auto"/>
              </w:rPr>
              <w:t>553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99</w:t>
            </w: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7840" w:type="dxa"/>
            <w:vAlign w:val="bottom"/>
          </w:tcPr>
          <w:p>
            <w:pPr>
              <w:ind w:left="20"/>
              <w:spacing w:after="0" w:line="203" w:lineRule="exact"/>
              <w:rPr>
                <w:sz w:val="20"/>
                <w:szCs w:val="20"/>
                <w:color w:val="auto"/>
              </w:rPr>
            </w:pPr>
            <w:r>
              <w:rPr>
                <w:rFonts w:ascii="Arial" w:cs="Arial" w:eastAsia="Arial" w:hAnsi="Arial"/>
                <w:sz w:val="18"/>
                <w:szCs w:val="18"/>
                <w:color w:val="auto"/>
              </w:rPr>
              <w:t>Three Months Ended September 30, 2022</w:t>
            </w:r>
          </w:p>
        </w:tc>
        <w:tc>
          <w:tcPr>
            <w:tcW w:w="280" w:type="dxa"/>
            <w:vAlign w:val="bottom"/>
            <w:tcBorders>
              <w:bottom w:val="single" w:sz="8" w:color="auto"/>
            </w:tcBorders>
          </w:tcPr>
          <w:p>
            <w:pPr>
              <w:jc w:val="right"/>
              <w:ind w:right="90"/>
              <w:spacing w:after="0" w:line="203" w:lineRule="exact"/>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ind w:right="134"/>
              <w:spacing w:after="0" w:line="203" w:lineRule="exact"/>
              <w:rPr>
                <w:sz w:val="20"/>
                <w:szCs w:val="20"/>
                <w:color w:val="auto"/>
              </w:rPr>
            </w:pPr>
            <w:r>
              <w:rPr>
                <w:rFonts w:ascii="Arial" w:cs="Arial" w:eastAsia="Arial" w:hAnsi="Arial"/>
                <w:sz w:val="18"/>
                <w:szCs w:val="18"/>
                <w:color w:val="auto"/>
              </w:rPr>
              <w:t>536</w:t>
            </w:r>
          </w:p>
        </w:tc>
        <w:tc>
          <w:tcPr>
            <w:tcW w:w="120" w:type="dxa"/>
            <w:vAlign w:val="bottom"/>
          </w:tcPr>
          <w:p>
            <w:pPr>
              <w:spacing w:after="0"/>
              <w:rPr>
                <w:sz w:val="17"/>
                <w:szCs w:val="17"/>
                <w:color w:val="auto"/>
              </w:rPr>
            </w:pPr>
          </w:p>
        </w:tc>
        <w:tc>
          <w:tcPr>
            <w:tcW w:w="380" w:type="dxa"/>
            <w:vAlign w:val="bottom"/>
            <w:tcBorders>
              <w:bottom w:val="single" w:sz="8" w:color="auto"/>
            </w:tcBorders>
          </w:tcPr>
          <w:p>
            <w:pPr>
              <w:jc w:val="right"/>
              <w:ind w:right="190"/>
              <w:spacing w:after="0" w:line="203" w:lineRule="exact"/>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ind w:right="132"/>
              <w:spacing w:after="0" w:line="203" w:lineRule="exact"/>
              <w:rPr>
                <w:sz w:val="20"/>
                <w:szCs w:val="20"/>
                <w:color w:val="auto"/>
              </w:rPr>
            </w:pPr>
            <w:r>
              <w:rPr>
                <w:rFonts w:ascii="Arial" w:cs="Arial" w:eastAsia="Arial" w:hAnsi="Arial"/>
                <w:sz w:val="18"/>
                <w:szCs w:val="18"/>
                <w:color w:val="auto"/>
              </w:rPr>
              <w:t>86</w:t>
            </w:r>
          </w:p>
        </w:tc>
      </w:tr>
      <w:tr>
        <w:trPr>
          <w:trHeight w:val="20"/>
        </w:trPr>
        <w:tc>
          <w:tcPr>
            <w:tcW w:w="78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22"/>
        </w:trPr>
        <w:tc>
          <w:tcPr>
            <w:tcW w:w="784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b w:val="1"/>
                <w:bCs w:val="1"/>
                <w:i w:val="1"/>
                <w:iCs w:val="1"/>
                <w:color w:val="auto"/>
              </w:rPr>
              <w:t>Percentage change in Segment Adjusted EBITDA versus 2022 period</w:t>
            </w:r>
          </w:p>
        </w:tc>
        <w:tc>
          <w:tcPr>
            <w:tcW w:w="28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i w:val="1"/>
                <w:iCs w:val="1"/>
                <w:color w:val="auto"/>
              </w:rPr>
              <w:t>3 %</w:t>
            </w:r>
          </w:p>
        </w:tc>
        <w:tc>
          <w:tcPr>
            <w:tcW w:w="12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i w:val="1"/>
                <w:iCs w:val="1"/>
                <w:color w:val="auto"/>
              </w:rPr>
              <w:t>15 %</w:t>
            </w: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gridSpan w:val="2"/>
          </w:tcPr>
          <w:p>
            <w:pPr>
              <w:spacing w:after="0" w:line="20" w:lineRule="exact"/>
              <w:rPr>
                <w:sz w:val="1"/>
                <w:szCs w:val="1"/>
                <w:color w:val="auto"/>
              </w:rPr>
            </w:pPr>
          </w:p>
        </w:tc>
      </w:tr>
      <w:tr>
        <w:trPr>
          <w:trHeight w:val="430"/>
        </w:trPr>
        <w:tc>
          <w:tcPr>
            <w:tcW w:w="784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gridSpan w:val="4"/>
          </w:tcPr>
          <w:p>
            <w:pPr>
              <w:jc w:val="right"/>
              <w:ind w:right="652"/>
              <w:spacing w:after="0"/>
              <w:rPr>
                <w:sz w:val="20"/>
                <w:szCs w:val="20"/>
                <w:color w:val="auto"/>
              </w:rPr>
            </w:pPr>
            <w:r>
              <w:rPr>
                <w:rFonts w:ascii="Arial" w:cs="Arial" w:eastAsia="Arial" w:hAnsi="Arial"/>
                <w:sz w:val="16"/>
                <w:szCs w:val="16"/>
                <w:b w:val="1"/>
                <w:bCs w:val="1"/>
                <w:color w:val="auto"/>
              </w:rPr>
              <w:t>Segment Adjusted EBITDA</w:t>
            </w:r>
          </w:p>
        </w:tc>
      </w:tr>
      <w:tr>
        <w:trPr>
          <w:trHeight w:val="210"/>
        </w:trPr>
        <w:tc>
          <w:tcPr>
            <w:tcW w:w="7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gridSpan w:val="2"/>
          </w:tcPr>
          <w:p>
            <w:pPr>
              <w:ind w:left="200"/>
              <w:spacing w:after="0"/>
              <w:rPr>
                <w:sz w:val="20"/>
                <w:szCs w:val="20"/>
                <w:color w:val="auto"/>
              </w:rPr>
            </w:pPr>
            <w:r>
              <w:rPr>
                <w:rFonts w:ascii="Arial" w:cs="Arial" w:eastAsia="Arial" w:hAnsi="Arial"/>
                <w:sz w:val="16"/>
                <w:szCs w:val="16"/>
                <w:b w:val="1"/>
                <w:bCs w:val="1"/>
                <w:color w:val="auto"/>
              </w:rPr>
              <w:t>Crude Oil</w:t>
            </w:r>
          </w:p>
        </w:tc>
        <w:tc>
          <w:tcPr>
            <w:tcW w:w="380" w:type="dxa"/>
            <w:vAlign w:val="bottom"/>
          </w:tcPr>
          <w:p>
            <w:pPr>
              <w:spacing w:after="0"/>
              <w:rPr>
                <w:sz w:val="18"/>
                <w:szCs w:val="18"/>
                <w:color w:val="auto"/>
              </w:rPr>
            </w:pPr>
          </w:p>
        </w:tc>
        <w:tc>
          <w:tcPr>
            <w:tcW w:w="1260" w:type="dxa"/>
            <w:vAlign w:val="bottom"/>
          </w:tcPr>
          <w:p>
            <w:pPr>
              <w:jc w:val="right"/>
              <w:ind w:right="552"/>
              <w:spacing w:after="0"/>
              <w:rPr>
                <w:sz w:val="20"/>
                <w:szCs w:val="20"/>
                <w:color w:val="auto"/>
              </w:rPr>
            </w:pPr>
            <w:r>
              <w:rPr>
                <w:rFonts w:ascii="Arial" w:cs="Arial" w:eastAsia="Arial" w:hAnsi="Arial"/>
                <w:sz w:val="16"/>
                <w:szCs w:val="16"/>
                <w:b w:val="1"/>
                <w:bCs w:val="1"/>
                <w:color w:val="auto"/>
              </w:rPr>
              <w:t>NGL</w:t>
            </w:r>
          </w:p>
        </w:tc>
      </w:tr>
      <w:tr>
        <w:trPr>
          <w:trHeight w:val="251"/>
        </w:trPr>
        <w:tc>
          <w:tcPr>
            <w:tcW w:w="78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Nine Months Ended September 30, 2023</w:t>
            </w: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shd w:val="clear" w:color="auto" w:fill="CCEEFF"/>
          </w:tcPr>
          <w:p>
            <w:pPr>
              <w:jc w:val="right"/>
              <w:ind w:right="134"/>
              <w:spacing w:after="0"/>
              <w:rPr>
                <w:sz w:val="20"/>
                <w:szCs w:val="20"/>
                <w:color w:val="auto"/>
              </w:rPr>
            </w:pPr>
            <w:r>
              <w:rPr>
                <w:rFonts w:ascii="Arial" w:cs="Arial" w:eastAsia="Arial" w:hAnsi="Arial"/>
                <w:sz w:val="18"/>
                <w:szCs w:val="18"/>
                <w:color w:val="auto"/>
              </w:rPr>
              <w:t>1,600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352</w:t>
            </w: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7840" w:type="dxa"/>
            <w:vAlign w:val="bottom"/>
          </w:tcPr>
          <w:p>
            <w:pPr>
              <w:ind w:left="20"/>
              <w:spacing w:after="0" w:line="203" w:lineRule="exact"/>
              <w:rPr>
                <w:sz w:val="20"/>
                <w:szCs w:val="20"/>
                <w:color w:val="auto"/>
              </w:rPr>
            </w:pPr>
            <w:r>
              <w:rPr>
                <w:rFonts w:ascii="Arial" w:cs="Arial" w:eastAsia="Arial" w:hAnsi="Arial"/>
                <w:sz w:val="18"/>
                <w:szCs w:val="18"/>
                <w:color w:val="auto"/>
              </w:rPr>
              <w:t>Nine Months Ended September 30, 2022</w:t>
            </w:r>
          </w:p>
        </w:tc>
        <w:tc>
          <w:tcPr>
            <w:tcW w:w="280" w:type="dxa"/>
            <w:vAlign w:val="bottom"/>
            <w:tcBorders>
              <w:bottom w:val="single" w:sz="8" w:color="auto"/>
            </w:tcBorders>
          </w:tcPr>
          <w:p>
            <w:pPr>
              <w:jc w:val="right"/>
              <w:ind w:right="90"/>
              <w:spacing w:after="0" w:line="203" w:lineRule="exact"/>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ind w:right="134"/>
              <w:spacing w:after="0" w:line="203" w:lineRule="exact"/>
              <w:rPr>
                <w:sz w:val="20"/>
                <w:szCs w:val="20"/>
                <w:color w:val="auto"/>
              </w:rPr>
            </w:pPr>
            <w:r>
              <w:rPr>
                <w:rFonts w:ascii="Arial" w:cs="Arial" w:eastAsia="Arial" w:hAnsi="Arial"/>
                <w:sz w:val="18"/>
                <w:szCs w:val="18"/>
                <w:color w:val="auto"/>
              </w:rPr>
              <w:t>1,482</w:t>
            </w:r>
          </w:p>
        </w:tc>
        <w:tc>
          <w:tcPr>
            <w:tcW w:w="120" w:type="dxa"/>
            <w:vAlign w:val="bottom"/>
          </w:tcPr>
          <w:p>
            <w:pPr>
              <w:spacing w:after="0"/>
              <w:rPr>
                <w:sz w:val="17"/>
                <w:szCs w:val="17"/>
                <w:color w:val="auto"/>
              </w:rPr>
            </w:pPr>
          </w:p>
        </w:tc>
        <w:tc>
          <w:tcPr>
            <w:tcW w:w="380" w:type="dxa"/>
            <w:vAlign w:val="bottom"/>
            <w:tcBorders>
              <w:bottom w:val="single" w:sz="8" w:color="auto"/>
            </w:tcBorders>
          </w:tcPr>
          <w:p>
            <w:pPr>
              <w:jc w:val="right"/>
              <w:ind w:right="190"/>
              <w:spacing w:after="0" w:line="203" w:lineRule="exact"/>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ind w:right="132"/>
              <w:spacing w:after="0" w:line="203" w:lineRule="exact"/>
              <w:rPr>
                <w:sz w:val="20"/>
                <w:szCs w:val="20"/>
                <w:color w:val="auto"/>
              </w:rPr>
            </w:pPr>
            <w:r>
              <w:rPr>
                <w:rFonts w:ascii="Arial" w:cs="Arial" w:eastAsia="Arial" w:hAnsi="Arial"/>
                <w:sz w:val="18"/>
                <w:szCs w:val="18"/>
                <w:color w:val="auto"/>
              </w:rPr>
              <w:t>367</w:t>
            </w:r>
          </w:p>
        </w:tc>
      </w:tr>
      <w:tr>
        <w:trPr>
          <w:trHeight w:val="20"/>
        </w:trPr>
        <w:tc>
          <w:tcPr>
            <w:tcW w:w="78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48"/>
        </w:trPr>
        <w:tc>
          <w:tcPr>
            <w:tcW w:w="7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Percentage change in Segment Adjusted EBITDA versus 2022 period</w:t>
            </w:r>
          </w:p>
        </w:tc>
        <w:tc>
          <w:tcPr>
            <w:tcW w:w="28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8 %</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(4)%</w:t>
            </w: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ind w:right="240" w:firstLine="648"/>
        <w:spacing w:after="0" w:line="308" w:lineRule="auto"/>
        <w:rPr>
          <w:sz w:val="20"/>
          <w:szCs w:val="20"/>
          <w:color w:val="auto"/>
        </w:rPr>
      </w:pPr>
      <w:r>
        <w:rPr>
          <w:rFonts w:ascii="Arial" w:cs="Arial" w:eastAsia="Arial" w:hAnsi="Arial"/>
          <w:sz w:val="17"/>
          <w:szCs w:val="17"/>
          <w:color w:val="auto"/>
        </w:rPr>
        <w:t>Third-quarter 2023 Crude Oil Segment Adjusted EBITDA increased 3% versus comparable 2022 results primarily due to higher tariff volumes, tariff escalations and contributions from bolt-on acquisitions. These items were partially offset by fewer market based opportunities.</w:t>
      </w:r>
    </w:p>
    <w:p>
      <w:pPr>
        <w:spacing w:after="0" w:line="173" w:lineRule="exact"/>
        <w:rPr>
          <w:sz w:val="20"/>
          <w:szCs w:val="20"/>
          <w:color w:val="auto"/>
        </w:rPr>
      </w:pPr>
    </w:p>
    <w:p>
      <w:pPr>
        <w:ind w:right="60" w:firstLine="648"/>
        <w:spacing w:after="0" w:line="263" w:lineRule="auto"/>
        <w:rPr>
          <w:sz w:val="20"/>
          <w:szCs w:val="20"/>
          <w:color w:val="auto"/>
        </w:rPr>
      </w:pPr>
      <w:r>
        <w:rPr>
          <w:rFonts w:ascii="Arial" w:cs="Arial" w:eastAsia="Arial" w:hAnsi="Arial"/>
          <w:sz w:val="18"/>
          <w:szCs w:val="18"/>
          <w:color w:val="auto"/>
        </w:rPr>
        <w:t>Third-quarter 2023 NGL Segment Adjusted EBITDA increased 15% versus comparable 2022 results primarily due to favorable NGL basis differentials and spot opportunities, partially offset by lower propane sales volumes as a result of deferring sales due to market structure and increased field operating costs.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GP Holdings</w:t>
      </w:r>
    </w:p>
    <w:p>
      <w:pPr>
        <w:spacing w:after="0" w:line="256" w:lineRule="exact"/>
        <w:rPr>
          <w:sz w:val="20"/>
          <w:szCs w:val="20"/>
          <w:color w:val="auto"/>
        </w:rPr>
      </w:pPr>
    </w:p>
    <w:p>
      <w:pPr>
        <w:jc w:val="both"/>
        <w:ind w:right="140" w:firstLine="648"/>
        <w:spacing w:after="0" w:line="263" w:lineRule="auto"/>
        <w:rPr>
          <w:sz w:val="20"/>
          <w:szCs w:val="20"/>
          <w:color w:val="auto"/>
        </w:rPr>
      </w:pPr>
      <w:r>
        <w:rPr>
          <w:rFonts w:ascii="Arial" w:cs="Arial" w:eastAsia="Arial" w:hAnsi="Arial"/>
          <w:sz w:val="18"/>
          <w:szCs w:val="18"/>
          <w:color w:val="auto"/>
        </w:rPr>
        <w:t>PAGP owns an indirect non-economic controlling interest in PAA’s general partner and an indirect limited partner interest in PAA. As the control entity of PAA, PAGP consolidates PAA’s results into its financial statements, which is reflected in the condensed consolidating balance sheet and income statement tables attached hereto.</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Conference Call and Webcast Instructions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PAA and PAGP will hold a joint conference call at 9:00 a.m. CT on Friday, November 3, 2023 to discuss third-quarter performance and related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items.</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To access the internet webcast, please go to https://edge.media-server.com/mmc/p/m7siujui.</w:t>
      </w:r>
    </w:p>
    <w:p>
      <w:pPr>
        <w:spacing w:after="0" w:line="252" w:lineRule="exact"/>
        <w:rPr>
          <w:sz w:val="20"/>
          <w:szCs w:val="20"/>
          <w:color w:val="auto"/>
        </w:rPr>
      </w:pPr>
    </w:p>
    <w:p>
      <w:pPr>
        <w:ind w:right="340" w:firstLine="648"/>
        <w:spacing w:after="0" w:line="259" w:lineRule="auto"/>
        <w:rPr>
          <w:sz w:val="20"/>
          <w:szCs w:val="20"/>
          <w:color w:val="auto"/>
        </w:rPr>
      </w:pPr>
      <w:r>
        <w:rPr>
          <w:rFonts w:ascii="Arial" w:cs="Arial" w:eastAsia="Arial" w:hAnsi="Arial"/>
          <w:sz w:val="18"/>
          <w:szCs w:val="18"/>
          <w:color w:val="auto"/>
        </w:rPr>
        <w:t>Alternatively, the webcast can be accessed on our website (www.plains.com) under Investor Relations (Navigate to: Investor Relations / either “PAA” or “PAGP” / News &amp; Events / Quarterly Earnings). Following the live webcast, an audio replay in MP3 format will be available on our website within two hours after the end of the call and will be accessible for a period of 365 days. Slides will be posted prior to the call at the above referenced website.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Financial Measures and Selected Items Impacting Comparability</w:t>
      </w:r>
    </w:p>
    <w:p>
      <w:pPr>
        <w:spacing w:after="0" w:line="171" w:lineRule="exact"/>
        <w:rPr>
          <w:sz w:val="20"/>
          <w:szCs w:val="20"/>
          <w:color w:val="auto"/>
        </w:rPr>
      </w:pPr>
    </w:p>
    <w:p>
      <w:pPr>
        <w:ind w:right="120" w:firstLine="648"/>
        <w:spacing w:after="0" w:line="301" w:lineRule="auto"/>
        <w:rPr>
          <w:sz w:val="20"/>
          <w:szCs w:val="20"/>
          <w:color w:val="auto"/>
        </w:rPr>
      </w:pPr>
      <w:r>
        <w:rPr>
          <w:rFonts w:ascii="Arial" w:cs="Arial" w:eastAsia="Arial" w:hAnsi="Arial"/>
          <w:sz w:val="16"/>
          <w:szCs w:val="16"/>
          <w:color w:val="auto"/>
        </w:rPr>
        <w:t>To supplement our financial information presented in accordance with GAAP, management uses additional measures known as “non-GAAP financial measures” in its evaluation of past performance and prospects for the future and to assess the amount of cash that is available for distributions, debt repayments, common equity repurchases and other general partnership purposes. The primary additional measures used by management are Adjusted EBITDA, Adjusted EBITDA attributable to PAA, Implied Distributable Cash Flow (“DCF”), Free Cash Flow and Free Cash Flow after Distributions.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100330</wp:posOffset>
            </wp:positionV>
            <wp:extent cx="711517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55" w:lineRule="exact"/>
        <w:rPr>
          <w:sz w:val="20"/>
          <w:szCs w:val="20"/>
          <w:color w:val="auto"/>
        </w:rPr>
      </w:pPr>
    </w:p>
    <w:p>
      <w:pPr>
        <w:ind w:left="1660"/>
        <w:spacing w:after="0"/>
        <w:tabs>
          <w:tab w:leader="none" w:pos="4760" w:val="left"/>
          <w:tab w:leader="none" w:pos="74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240"/>
          </w:cols>
          <w:pgMar w:left="320" w:top="368"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auto"/>
        </w:rPr>
        <w:t>Page 4</w:t>
      </w:r>
    </w:p>
    <w:p>
      <w:pPr>
        <w:spacing w:after="0" w:line="200" w:lineRule="exact"/>
        <w:rPr>
          <w:sz w:val="20"/>
          <w:szCs w:val="20"/>
          <w:color w:val="auto"/>
        </w:rPr>
      </w:pPr>
    </w:p>
    <w:p>
      <w:pPr>
        <w:spacing w:after="0" w:line="241"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Adjusted EBITDA is defined as earnings before interest, taxes, depreciation and amortization (including our proportionate share of depreciation and amortization, including write-downs related to cancelled projects and impairments, of unconsolidated entities), gains and losses on asset sales and asset impairments, goodwill impairment losses and gains or losses on and impairments of investments in unconsolidated entities, adjusted for certain selected items impacting comparability. Our definition and calculation of certain non-GAAP financial measures may not be comparable to similarly-titled measures of other companies. Adjusted EBITDA, Adjusted EBITDA attributable to PAA, Implied DCF and certain other non-GAAP financial performance measures are reconciled to Net Income, and Free Cash Flow and Free Cash Flow after Distributions are reconciled to Net Cash Provided by Operating Activities (the most directly comparable measures as reported in accordance with GAAP) for the historical periods presented in the tables attached to this release, and should be viewed in addition to, and not in lieu of, our Condensed Consolidated Financial Statements and accompanying notes. In addition, we encourage you to visit our website at www.plains.com (in particular the section under “Financial Information” entitled “Non-GAAP Reconciliations” within the Investor Relations tab), which presents a reconciliation of our commonly used non-GAAP and supplemental financial measures. We do not reconcile non-GAAP financial measures on a forward-looking basis as it is impractical to do so without unreasonable effort.</w:t>
      </w:r>
    </w:p>
    <w:p>
      <w:pPr>
        <w:spacing w:after="0" w:line="6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Non-GAAP Financial Performance Measures</w:t>
      </w:r>
    </w:p>
    <w:p>
      <w:pPr>
        <w:spacing w:after="0" w:line="135" w:lineRule="exact"/>
        <w:rPr>
          <w:sz w:val="20"/>
          <w:szCs w:val="20"/>
          <w:color w:val="auto"/>
        </w:rPr>
      </w:pPr>
    </w:p>
    <w:p>
      <w:pPr>
        <w:ind w:right="40" w:firstLine="648"/>
        <w:spacing w:after="0" w:line="284" w:lineRule="auto"/>
        <w:rPr>
          <w:sz w:val="20"/>
          <w:szCs w:val="20"/>
          <w:color w:val="auto"/>
        </w:rPr>
      </w:pPr>
      <w:r>
        <w:rPr>
          <w:rFonts w:ascii="Arial" w:cs="Arial" w:eastAsia="Arial" w:hAnsi="Arial"/>
          <w:sz w:val="16"/>
          <w:szCs w:val="16"/>
          <w:color w:val="auto"/>
        </w:rPr>
        <w:t>Management believes that the presentation of Adjusted EBITDA, Adjusted EBITDA attributable to PAA and Implied DCF provides useful information to investors regarding our performance and results of operations because these measures, when used to supplement related GAAP financial measures, (i) provide additional information about our core operating performance and ability to fund distributions to our unitholders through cash generated by our operations and (ii) provide investors with the same financial analytical framework upon which management bases financial, operational, compensation and planning/budgeting decisions. We also present these and additional non-GAAP financial measures, including adjusted net income attributable to PAA and basic and diluted adjusted net income per common unit, as they are measures that investors, rating agencies and debt holders have indicated are useful in assessing us and our results of operations. These non-GAAP financial performance measures may exclude, for example, (i) charges for obligations that are expected to be settled with the issuance of equity instruments, (ii) gains and losses on derivative instruments that are related to underlying activities in another period (or the reversal of such adjustments from a prior period), gains and losses on derivatives that are either related to investing activities (such as the purchase of linefill) or purchases of long-term inventory, and inventory valuation adjustments, as applicable, (iii) long-term inventory costing adjustments, (iv) items that are not indicative of our core operating results and/or (v) other items that we believe should be excluded in understanding our core operating performance. These measures may be further adjusted to include amounts related to deficiencies associated with minimum volume commitments whereby we have billed the counterparties for their deficiency obligation and such amounts are recognized as deferred revenue in “Other current liabilities” in our Condensed Consolidated Financial Statements. We also adjust for amounts billed by our equity method investees related to deficiencies under minimum volume commitments. Such amounts are presented net of applicable amounts subsequently recognized into revenue. Furthermore, the calculation of these measures contemplates tax effects as a separate reconciling item, where applicable. We have defined all such items as “selected items impacting comparability.” Due to the nature of the selected items, certain selected items impacting comparability may impact certain non-GAAP financial measures, referred to as adjusted results, but not impact other non-GAAP financial measures. We do not necessarily consider all of our selected items impacting comparability to be non-recurring, infrequent or unusual, but we believe that an understanding of these selected items impacting comparability is material to the evaluation of our operating results and prospects.</w:t>
      </w:r>
    </w:p>
    <w:p>
      <w:pPr>
        <w:spacing w:after="0" w:line="101"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Although we present selected items impacting comparability that management considers in evaluating our performance, you should also be aware that the items presented do not represent all items that affect comparability between the periods presented. Variations in our operating results are also caused by changes in volumes, prices, exchange rates, mechanical interruptions, acquisitions, divestitures, investment capital projects and numerous other factors. These types of variations may not be separately identified in this release, but will be discussed, as applicable, in management’s discussion and analysis of operating results in our Quarterly Report on Form 10-Q.</w:t>
      </w:r>
    </w:p>
    <w:p>
      <w:pPr>
        <w:spacing w:after="0" w:line="8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Non-GAAP Financial Liquidity Measures</w:t>
      </w:r>
    </w:p>
    <w:p>
      <w:pPr>
        <w:spacing w:after="0" w:line="135"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Management also uses the non-GAAP financial liquidity measures Free Cash Flow and Free Cash Flow after Distributions to assess the amount of cash that is available for distributions, debt repayments, common equity repurchases and other general partnership purposes. Free Cash Flow is defined as Net Cash Provided by Operating Activities, less Net Cash Provided by/(Used in) Investing Activities, which primarily includes acquisition, investment and maintenance capital expenditures, investments in unconsolidated entities and the impact from the purchase and sale of linefill, net of proceeds from the sales of assets and further impacted by distributions to and contributions from noncontrolling interests. Free Cash Flow is further reduced by cash distributions paid to our preferred and common unitholders to arrive at Free Cash Flow after Distributions.</w:t>
      </w: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100330</wp:posOffset>
            </wp:positionV>
            <wp:extent cx="711517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55" w:lineRule="exact"/>
        <w:rPr>
          <w:sz w:val="20"/>
          <w:szCs w:val="20"/>
          <w:color w:val="auto"/>
        </w:rPr>
      </w:pPr>
    </w:p>
    <w:p>
      <w:pPr>
        <w:ind w:left="1660"/>
        <w:spacing w:after="0"/>
        <w:tabs>
          <w:tab w:leader="none" w:pos="4760" w:val="left"/>
          <w:tab w:leader="none" w:pos="74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220"/>
          </w:cols>
          <w:pgMar w:left="320" w:top="368" w:right="35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auto"/>
        </w:rPr>
        <w:t>Page 5</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1517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CONDENSED CONSOLIDATED STATEMENTS OF OPERATIONS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per unit data)</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20" w:type="dxa"/>
            <w:vAlign w:val="bottom"/>
            <w:gridSpan w:val="5"/>
          </w:tcPr>
          <w:p>
            <w:pPr>
              <w:jc w:val="center"/>
              <w:ind w:right="440"/>
              <w:spacing w:after="0"/>
              <w:rPr>
                <w:sz w:val="20"/>
                <w:szCs w:val="20"/>
                <w:color w:val="auto"/>
              </w:rPr>
            </w:pPr>
            <w:r>
              <w:rPr>
                <w:rFonts w:ascii="Arial" w:cs="Arial" w:eastAsia="Arial" w:hAnsi="Arial"/>
                <w:sz w:val="14"/>
                <w:szCs w:val="14"/>
                <w:b w:val="1"/>
                <w:bCs w:val="1"/>
                <w:color w:val="auto"/>
                <w:w w:val="93"/>
              </w:rPr>
              <w:t>Three Months Ended</w:t>
            </w:r>
          </w:p>
        </w:tc>
        <w:tc>
          <w:tcPr>
            <w:tcW w:w="280" w:type="dxa"/>
            <w:vAlign w:val="bottom"/>
          </w:tcPr>
          <w:p>
            <w:pPr>
              <w:spacing w:after="0"/>
              <w:rPr>
                <w:sz w:val="14"/>
                <w:szCs w:val="14"/>
                <w:color w:val="auto"/>
              </w:rPr>
            </w:pPr>
          </w:p>
        </w:tc>
        <w:tc>
          <w:tcPr>
            <w:tcW w:w="2180" w:type="dxa"/>
            <w:vAlign w:val="bottom"/>
            <w:gridSpan w:val="5"/>
          </w:tcPr>
          <w:p>
            <w:pPr>
              <w:ind w:left="340"/>
              <w:spacing w:after="0"/>
              <w:rPr>
                <w:sz w:val="20"/>
                <w:szCs w:val="20"/>
                <w:color w:val="auto"/>
              </w:rPr>
            </w:pPr>
            <w:r>
              <w:rPr>
                <w:rFonts w:ascii="Arial" w:cs="Arial" w:eastAsia="Arial" w:hAnsi="Arial"/>
                <w:sz w:val="14"/>
                <w:szCs w:val="14"/>
                <w:b w:val="1"/>
                <w:bCs w:val="1"/>
                <w:color w:val="auto"/>
              </w:rPr>
              <w:t>Nine Months Ended</w:t>
            </w:r>
          </w:p>
        </w:tc>
      </w:tr>
      <w:tr>
        <w:trPr>
          <w:trHeight w:val="196"/>
        </w:trPr>
        <w:tc>
          <w:tcPr>
            <w:tcW w:w="20" w:type="dxa"/>
            <w:vAlign w:val="bottom"/>
          </w:tcPr>
          <w:p>
            <w:pPr>
              <w:spacing w:after="0"/>
              <w:rPr>
                <w:sz w:val="17"/>
                <w:szCs w:val="17"/>
                <w:color w:val="auto"/>
              </w:rPr>
            </w:pPr>
          </w:p>
        </w:tc>
        <w:tc>
          <w:tcPr>
            <w:tcW w:w="47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gridSpan w:val="3"/>
          </w:tcPr>
          <w:p>
            <w:pPr>
              <w:jc w:val="center"/>
              <w:ind w:left="312"/>
              <w:spacing w:after="0"/>
              <w:rPr>
                <w:sz w:val="20"/>
                <w:szCs w:val="20"/>
                <w:color w:val="auto"/>
              </w:rPr>
            </w:pPr>
            <w:r>
              <w:rPr>
                <w:rFonts w:ascii="Arial" w:cs="Arial" w:eastAsia="Arial" w:hAnsi="Arial"/>
                <w:sz w:val="14"/>
                <w:szCs w:val="14"/>
                <w:b w:val="1"/>
                <w:bCs w:val="1"/>
                <w:color w:val="auto"/>
                <w:w w:val="91"/>
              </w:rPr>
              <w:t>September 30,</w:t>
            </w:r>
          </w:p>
        </w:tc>
        <w:tc>
          <w:tcPr>
            <w:tcW w:w="7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r>
      <w:tr>
        <w:trPr>
          <w:trHeight w:val="196"/>
        </w:trPr>
        <w:tc>
          <w:tcPr>
            <w:tcW w:w="20" w:type="dxa"/>
            <w:vAlign w:val="bottom"/>
            <w:tcBorders>
              <w:bottom w:val="single" w:sz="8" w:color="CCEEFF"/>
            </w:tcBorders>
          </w:tcPr>
          <w:p>
            <w:pPr>
              <w:spacing w:after="0"/>
              <w:rPr>
                <w:sz w:val="17"/>
                <w:szCs w:val="17"/>
                <w:color w:val="auto"/>
              </w:rPr>
            </w:pPr>
          </w:p>
        </w:tc>
        <w:tc>
          <w:tcPr>
            <w:tcW w:w="4700" w:type="dxa"/>
            <w:vAlign w:val="bottom"/>
            <w:tcBorders>
              <w:bottom w:val="single" w:sz="8" w:color="CCEEFF"/>
            </w:tcBorders>
          </w:tcPr>
          <w:p>
            <w:pPr>
              <w:spacing w:after="0"/>
              <w:rPr>
                <w:sz w:val="17"/>
                <w:szCs w:val="17"/>
                <w:color w:val="auto"/>
              </w:rPr>
            </w:pPr>
          </w:p>
        </w:tc>
        <w:tc>
          <w:tcPr>
            <w:tcW w:w="420" w:type="dxa"/>
            <w:vAlign w:val="bottom"/>
            <w:tcBorders>
              <w:bottom w:val="single" w:sz="8" w:color="CCEEFF"/>
            </w:tcBorders>
          </w:tcPr>
          <w:p>
            <w:pPr>
              <w:spacing w:after="0"/>
              <w:rPr>
                <w:sz w:val="17"/>
                <w:szCs w:val="17"/>
                <w:color w:val="auto"/>
              </w:rPr>
            </w:pPr>
          </w:p>
        </w:tc>
        <w:tc>
          <w:tcPr>
            <w:tcW w:w="108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w w:val="96"/>
              </w:rPr>
              <w:t>2022</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w w:val="96"/>
              </w:rPr>
              <w:t>2022</w:t>
            </w:r>
          </w:p>
        </w:tc>
        <w:tc>
          <w:tcPr>
            <w:tcW w:w="20" w:type="dxa"/>
            <w:vAlign w:val="bottom"/>
            <w:tcBorders>
              <w:bottom w:val="single" w:sz="8" w:color="auto"/>
            </w:tcBorders>
          </w:tcPr>
          <w:p>
            <w:pPr>
              <w:spacing w:after="0"/>
              <w:rPr>
                <w:sz w:val="17"/>
                <w:szCs w:val="17"/>
                <w:color w:val="auto"/>
              </w:rPr>
            </w:pPr>
          </w:p>
        </w:tc>
      </w:tr>
      <w:tr>
        <w:trPr>
          <w:trHeight w:val="230"/>
        </w:trPr>
        <w:tc>
          <w:tcPr>
            <w:tcW w:w="20" w:type="dxa"/>
            <w:vAlign w:val="bottom"/>
            <w:shd w:val="clear" w:color="auto" w:fill="CCEEFF"/>
          </w:tcPr>
          <w:p>
            <w:pPr>
              <w:spacing w:after="0"/>
              <w:rPr>
                <w:sz w:val="19"/>
                <w:szCs w:val="19"/>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4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12,071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14,336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36,014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44,390</w:t>
            </w:r>
          </w:p>
        </w:tc>
        <w:tc>
          <w:tcPr>
            <w:tcW w:w="20" w:type="dxa"/>
            <w:vAlign w:val="bottom"/>
            <w:shd w:val="clear" w:color="auto" w:fill="CCEEFF"/>
          </w:tcPr>
          <w:p>
            <w:pPr>
              <w:spacing w:after="0"/>
              <w:rPr>
                <w:sz w:val="19"/>
                <w:szCs w:val="19"/>
                <w:color w:val="auto"/>
              </w:rPr>
            </w:pPr>
          </w:p>
        </w:tc>
      </w:tr>
      <w:tr>
        <w:trPr>
          <w:trHeight w:val="257"/>
        </w:trPr>
        <w:tc>
          <w:tcPr>
            <w:tcW w:w="20" w:type="dxa"/>
            <w:vAlign w:val="bottom"/>
          </w:tcPr>
          <w:p>
            <w:pPr>
              <w:spacing w:after="0"/>
              <w:rPr>
                <w:sz w:val="22"/>
                <w:szCs w:val="22"/>
                <w:color w:val="auto"/>
              </w:rPr>
            </w:pPr>
          </w:p>
        </w:tc>
        <w:tc>
          <w:tcPr>
            <w:tcW w:w="47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29"/>
        </w:trPr>
        <w:tc>
          <w:tcPr>
            <w:tcW w:w="20" w:type="dxa"/>
            <w:vAlign w:val="bottom"/>
            <w:shd w:val="clear" w:color="auto" w:fill="CCEEFF"/>
          </w:tcPr>
          <w:p>
            <w:pPr>
              <w:spacing w:after="0"/>
              <w:rPr>
                <w:sz w:val="19"/>
                <w:szCs w:val="19"/>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COSTS AND EXPENSES</w:t>
            </w:r>
          </w:p>
        </w:tc>
        <w:tc>
          <w:tcPr>
            <w:tcW w:w="4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Purchases and related costs</w:t>
            </w:r>
          </w:p>
        </w:tc>
        <w:tc>
          <w:tcPr>
            <w:tcW w:w="4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11,106</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13,071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32,972</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41,181</w:t>
            </w:r>
          </w:p>
        </w:tc>
        <w:tc>
          <w:tcPr>
            <w:tcW w:w="2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Field operating costs</w:t>
            </w:r>
          </w:p>
        </w:tc>
        <w:tc>
          <w:tcPr>
            <w:tcW w:w="4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971</w:t>
            </w:r>
          </w:p>
        </w:tc>
        <w:tc>
          <w:tcPr>
            <w:tcW w:w="2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4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263</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243</w:t>
            </w:r>
          </w:p>
        </w:tc>
        <w:tc>
          <w:tcPr>
            <w:tcW w:w="2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4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711</w:t>
            </w:r>
          </w:p>
        </w:tc>
        <w:tc>
          <w:tcPr>
            <w:tcW w:w="2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(Gains)/losses on asset sales and asset impairments, net</w:t>
            </w:r>
          </w:p>
        </w:tc>
        <w:tc>
          <w:tcPr>
            <w:tcW w:w="4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(144)</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(46)</w:t>
            </w:r>
          </w:p>
        </w:tc>
        <w:tc>
          <w:tcPr>
            <w:tcW w:w="20" w:type="dxa"/>
            <w:vAlign w:val="bottom"/>
          </w:tcPr>
          <w:p>
            <w:pPr>
              <w:spacing w:after="0"/>
              <w:rPr>
                <w:sz w:val="19"/>
                <w:szCs w:val="19"/>
                <w:color w:val="auto"/>
              </w:rPr>
            </w:pPr>
          </w:p>
        </w:tc>
      </w:tr>
      <w:tr>
        <w:trPr>
          <w:trHeight w:val="223"/>
        </w:trPr>
        <w:tc>
          <w:tcPr>
            <w:tcW w:w="20" w:type="dxa"/>
            <w:vAlign w:val="bottom"/>
            <w:tcBorders>
              <w:top w:val="single" w:sz="8" w:color="CCEEFF"/>
            </w:tcBorders>
            <w:shd w:val="clear" w:color="auto" w:fill="CCEEFF"/>
          </w:tcPr>
          <w:p>
            <w:pPr>
              <w:spacing w:after="0"/>
              <w:rPr>
                <w:sz w:val="19"/>
                <w:szCs w:val="19"/>
                <w:color w:val="auto"/>
              </w:rPr>
            </w:pPr>
          </w:p>
        </w:tc>
        <w:tc>
          <w:tcPr>
            <w:tcW w:w="4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costs and expenses</w:t>
            </w:r>
          </w:p>
        </w:tc>
        <w:tc>
          <w:tcPr>
            <w:tcW w:w="42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11,837</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13,710</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34,929</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43,060</w:t>
            </w:r>
          </w:p>
        </w:tc>
        <w:tc>
          <w:tcPr>
            <w:tcW w:w="20" w:type="dxa"/>
            <w:vAlign w:val="bottom"/>
            <w:tcBorders>
              <w:top w:val="single" w:sz="8" w:color="auto"/>
            </w:tcBorders>
            <w:shd w:val="clear" w:color="auto" w:fill="CCEEFF"/>
          </w:tcPr>
          <w:p>
            <w:pPr>
              <w:spacing w:after="0"/>
              <w:rPr>
                <w:sz w:val="19"/>
                <w:szCs w:val="19"/>
                <w:color w:val="auto"/>
              </w:rPr>
            </w:pPr>
          </w:p>
        </w:tc>
      </w:tr>
      <w:tr>
        <w:trPr>
          <w:trHeight w:val="257"/>
        </w:trPr>
        <w:tc>
          <w:tcPr>
            <w:tcW w:w="20" w:type="dxa"/>
            <w:vAlign w:val="bottom"/>
          </w:tcPr>
          <w:p>
            <w:pPr>
              <w:spacing w:after="0"/>
              <w:rPr>
                <w:sz w:val="22"/>
                <w:szCs w:val="22"/>
                <w:color w:val="auto"/>
              </w:rPr>
            </w:pPr>
          </w:p>
        </w:tc>
        <w:tc>
          <w:tcPr>
            <w:tcW w:w="47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30"/>
        </w:trPr>
        <w:tc>
          <w:tcPr>
            <w:tcW w:w="20" w:type="dxa"/>
            <w:vAlign w:val="bottom"/>
            <w:shd w:val="clear" w:color="auto" w:fill="CCEEFF"/>
          </w:tcPr>
          <w:p>
            <w:pPr>
              <w:spacing w:after="0"/>
              <w:rPr>
                <w:sz w:val="19"/>
                <w:szCs w:val="19"/>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INCOME</w:t>
            </w:r>
          </w:p>
        </w:tc>
        <w:tc>
          <w:tcPr>
            <w:tcW w:w="4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1,330</w:t>
            </w:r>
          </w:p>
        </w:tc>
        <w:tc>
          <w:tcPr>
            <w:tcW w:w="20" w:type="dxa"/>
            <w:vAlign w:val="bottom"/>
            <w:shd w:val="clear" w:color="auto" w:fill="CCEEFF"/>
          </w:tcPr>
          <w:p>
            <w:pPr>
              <w:spacing w:after="0"/>
              <w:rPr>
                <w:sz w:val="19"/>
                <w:szCs w:val="19"/>
                <w:color w:val="auto"/>
              </w:rPr>
            </w:pPr>
          </w:p>
        </w:tc>
      </w:tr>
      <w:tr>
        <w:trPr>
          <w:trHeight w:val="256"/>
        </w:trPr>
        <w:tc>
          <w:tcPr>
            <w:tcW w:w="20" w:type="dxa"/>
            <w:vAlign w:val="bottom"/>
          </w:tcPr>
          <w:p>
            <w:pPr>
              <w:spacing w:after="0"/>
              <w:rPr>
                <w:sz w:val="22"/>
                <w:szCs w:val="22"/>
                <w:color w:val="auto"/>
              </w:rPr>
            </w:pPr>
          </w:p>
        </w:tc>
        <w:tc>
          <w:tcPr>
            <w:tcW w:w="47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30"/>
        </w:trPr>
        <w:tc>
          <w:tcPr>
            <w:tcW w:w="20" w:type="dxa"/>
            <w:vAlign w:val="bottom"/>
            <w:shd w:val="clear" w:color="auto" w:fill="CCEEFF"/>
          </w:tcPr>
          <w:p>
            <w:pPr>
              <w:spacing w:after="0"/>
              <w:rPr>
                <w:sz w:val="19"/>
                <w:szCs w:val="19"/>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INCOME/(EXPENSE)</w:t>
            </w:r>
          </w:p>
        </w:tc>
        <w:tc>
          <w:tcPr>
            <w:tcW w:w="4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Equity earnings in unconsolidated entities</w:t>
            </w:r>
          </w:p>
        </w:tc>
        <w:tc>
          <w:tcPr>
            <w:tcW w:w="4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277</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306</w:t>
            </w:r>
          </w:p>
        </w:tc>
        <w:tc>
          <w:tcPr>
            <w:tcW w:w="2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Gain on investment in unconsolidated entities</w:t>
            </w:r>
          </w:p>
        </w:tc>
        <w:tc>
          <w:tcPr>
            <w:tcW w:w="4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Interest expense, net</w:t>
            </w:r>
          </w:p>
        </w:tc>
        <w:tc>
          <w:tcPr>
            <w:tcW w:w="4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(290)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(305)</w:t>
            </w:r>
          </w:p>
        </w:tc>
        <w:tc>
          <w:tcPr>
            <w:tcW w:w="2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Other income/(expense), net</w:t>
            </w:r>
          </w:p>
        </w:tc>
        <w:tc>
          <w:tcPr>
            <w:tcW w:w="4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20" w:type="dxa"/>
            <w:vAlign w:val="bottom"/>
            <w:shd w:val="clear" w:color="auto" w:fill="CCEEFF"/>
          </w:tcPr>
          <w:p>
            <w:pPr>
              <w:spacing w:after="0"/>
              <w:rPr>
                <w:sz w:val="19"/>
                <w:szCs w:val="19"/>
                <w:color w:val="auto"/>
              </w:rPr>
            </w:pPr>
          </w:p>
        </w:tc>
      </w:tr>
      <w:tr>
        <w:trPr>
          <w:trHeight w:val="236"/>
        </w:trPr>
        <w:tc>
          <w:tcPr>
            <w:tcW w:w="20" w:type="dxa"/>
            <w:vAlign w:val="bottom"/>
          </w:tcPr>
          <w:p>
            <w:pPr>
              <w:spacing w:after="0"/>
              <w:rPr>
                <w:sz w:val="20"/>
                <w:szCs w:val="20"/>
                <w:color w:val="auto"/>
              </w:rPr>
            </w:pPr>
          </w:p>
        </w:tc>
        <w:tc>
          <w:tcPr>
            <w:tcW w:w="47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r>
      <w:tr>
        <w:trPr>
          <w:trHeight w:val="230"/>
        </w:trPr>
        <w:tc>
          <w:tcPr>
            <w:tcW w:w="20" w:type="dxa"/>
            <w:vAlign w:val="bottom"/>
            <w:shd w:val="clear" w:color="auto" w:fill="CCEEFF"/>
          </w:tcPr>
          <w:p>
            <w:pPr>
              <w:spacing w:after="0"/>
              <w:rPr>
                <w:sz w:val="19"/>
                <w:szCs w:val="19"/>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BEFORE TAX</w:t>
            </w:r>
          </w:p>
        </w:tc>
        <w:tc>
          <w:tcPr>
            <w:tcW w:w="4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1,095</w:t>
            </w:r>
          </w:p>
        </w:tc>
        <w:tc>
          <w:tcPr>
            <w:tcW w:w="2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Current income tax expense</w:t>
            </w:r>
          </w:p>
        </w:tc>
        <w:tc>
          <w:tcPr>
            <w:tcW w:w="4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(60)</w:t>
            </w:r>
          </w:p>
        </w:tc>
        <w:tc>
          <w:tcPr>
            <w:tcW w:w="2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 (expense)/benefit</w:t>
            </w:r>
          </w:p>
        </w:tc>
        <w:tc>
          <w:tcPr>
            <w:tcW w:w="4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20" w:type="dxa"/>
            <w:vAlign w:val="bottom"/>
            <w:tcBorders>
              <w:bottom w:val="single" w:sz="8" w:color="auto"/>
            </w:tcBorders>
            <w:shd w:val="clear" w:color="auto" w:fill="CCEEFF"/>
          </w:tcPr>
          <w:p>
            <w:pPr>
              <w:spacing w:after="0"/>
              <w:rPr>
                <w:sz w:val="19"/>
                <w:szCs w:val="19"/>
                <w:color w:val="auto"/>
              </w:rPr>
            </w:pPr>
          </w:p>
        </w:tc>
      </w:tr>
      <w:tr>
        <w:trPr>
          <w:trHeight w:val="237"/>
        </w:trPr>
        <w:tc>
          <w:tcPr>
            <w:tcW w:w="20" w:type="dxa"/>
            <w:vAlign w:val="bottom"/>
          </w:tcPr>
          <w:p>
            <w:pPr>
              <w:spacing w:after="0"/>
              <w:rPr>
                <w:sz w:val="20"/>
                <w:szCs w:val="20"/>
                <w:color w:val="auto"/>
              </w:rPr>
            </w:pPr>
          </w:p>
        </w:tc>
        <w:tc>
          <w:tcPr>
            <w:tcW w:w="47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30"/>
        </w:trPr>
        <w:tc>
          <w:tcPr>
            <w:tcW w:w="20" w:type="dxa"/>
            <w:vAlign w:val="bottom"/>
            <w:shd w:val="clear" w:color="auto" w:fill="CCEEFF"/>
          </w:tcPr>
          <w:p>
            <w:pPr>
              <w:spacing w:after="0"/>
              <w:rPr>
                <w:sz w:val="19"/>
                <w:szCs w:val="19"/>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4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918</w:t>
            </w:r>
          </w:p>
        </w:tc>
        <w:tc>
          <w:tcPr>
            <w:tcW w:w="20" w:type="dxa"/>
            <w:vAlign w:val="bottom"/>
            <w:shd w:val="clear" w:color="auto" w:fill="CCEEFF"/>
          </w:tcPr>
          <w:p>
            <w:pPr>
              <w:spacing w:after="0"/>
              <w:rPr>
                <w:sz w:val="19"/>
                <w:szCs w:val="19"/>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470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Net income attributable to noncontrolling interests</w:t>
            </w:r>
          </w:p>
        </w:tc>
        <w:tc>
          <w:tcPr>
            <w:tcW w:w="42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w:t>
            </w:r>
          </w:p>
        </w:tc>
        <w:tc>
          <w:tcPr>
            <w:tcW w:w="20" w:type="dxa"/>
            <w:vAlign w:val="bottom"/>
            <w:tcBorders>
              <w:bottom w:val="single" w:sz="8" w:color="auto"/>
            </w:tcBorders>
          </w:tcPr>
          <w:p>
            <w:pPr>
              <w:spacing w:after="0"/>
              <w:rPr>
                <w:sz w:val="19"/>
                <w:szCs w:val="19"/>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INCOME ATTRIBUTABLE TO PAA</w:t>
            </w:r>
          </w:p>
        </w:tc>
        <w:tc>
          <w:tcPr>
            <w:tcW w:w="4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774</w:t>
            </w:r>
          </w:p>
        </w:tc>
        <w:tc>
          <w:tcPr>
            <w:tcW w:w="20" w:type="dxa"/>
            <w:vAlign w:val="bottom"/>
            <w:tcBorders>
              <w:bottom w:val="single" w:sz="8" w:color="auto"/>
            </w:tcBorders>
            <w:shd w:val="clear" w:color="auto" w:fill="CCEEFF"/>
          </w:tcPr>
          <w:p>
            <w:pPr>
              <w:spacing w:after="0"/>
              <w:rPr>
                <w:sz w:val="21"/>
                <w:szCs w:val="2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7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7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0"/>
        </w:trPr>
        <w:tc>
          <w:tcPr>
            <w:tcW w:w="20" w:type="dxa"/>
            <w:vAlign w:val="bottom"/>
            <w:shd w:val="clear" w:color="auto" w:fill="CCEEFF"/>
          </w:tcPr>
          <w:p>
            <w:pPr>
              <w:spacing w:after="0"/>
              <w:rPr>
                <w:sz w:val="19"/>
                <w:szCs w:val="19"/>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PER COMMON UNIT:</w:t>
            </w:r>
          </w:p>
        </w:tc>
        <w:tc>
          <w:tcPr>
            <w:tcW w:w="4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120" w:type="dxa"/>
            <w:vAlign w:val="bottom"/>
            <w:gridSpan w:val="2"/>
          </w:tcPr>
          <w:p>
            <w:pPr>
              <w:ind w:left="120"/>
              <w:spacing w:after="0"/>
              <w:rPr>
                <w:sz w:val="20"/>
                <w:szCs w:val="20"/>
                <w:color w:val="auto"/>
              </w:rPr>
            </w:pPr>
            <w:r>
              <w:rPr>
                <w:rFonts w:ascii="Arial" w:cs="Arial" w:eastAsia="Arial" w:hAnsi="Arial"/>
                <w:sz w:val="18"/>
                <w:szCs w:val="18"/>
                <w:color w:val="auto"/>
                <w:w w:val="95"/>
              </w:rPr>
              <w:t>Net income allocated to common unitholders — Basic and Diluted</w:t>
            </w:r>
          </w:p>
        </w:tc>
        <w:tc>
          <w:tcPr>
            <w:tcW w:w="142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140</w:t>
            </w:r>
          </w:p>
        </w:tc>
        <w:tc>
          <w:tcPr>
            <w:tcW w:w="100" w:type="dxa"/>
            <w:vAlign w:val="bottom"/>
          </w:tcPr>
          <w:p>
            <w:pPr>
              <w:spacing w:after="0"/>
              <w:rPr>
                <w:sz w:val="19"/>
                <w:szCs w:val="19"/>
                <w:color w:val="auto"/>
              </w:rPr>
            </w:pPr>
          </w:p>
        </w:tc>
        <w:tc>
          <w:tcPr>
            <w:tcW w:w="420" w:type="dxa"/>
            <w:vAlign w:val="bottom"/>
          </w:tcPr>
          <w:p>
            <w:pPr>
              <w:ind w:left="2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333</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728</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621</w:t>
            </w:r>
          </w:p>
        </w:tc>
        <w:tc>
          <w:tcPr>
            <w:tcW w:w="2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470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1"/>
              </w:rPr>
              <w:t>Basic and diluted weighted average common units outstanding</w:t>
            </w:r>
          </w:p>
        </w:tc>
        <w:tc>
          <w:tcPr>
            <w:tcW w:w="4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w:t>
            </w:r>
          </w:p>
        </w:tc>
        <w:tc>
          <w:tcPr>
            <w:tcW w:w="2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700" w:type="dxa"/>
            <w:vAlign w:val="bottom"/>
          </w:tcPr>
          <w:p>
            <w:pPr>
              <w:ind w:left="120"/>
              <w:spacing w:after="0"/>
              <w:rPr>
                <w:sz w:val="20"/>
                <w:szCs w:val="20"/>
                <w:color w:val="auto"/>
              </w:rPr>
            </w:pPr>
            <w:r>
              <w:rPr>
                <w:rFonts w:ascii="Arial" w:cs="Arial" w:eastAsia="Arial" w:hAnsi="Arial"/>
                <w:sz w:val="18"/>
                <w:szCs w:val="18"/>
                <w:color w:val="auto"/>
              </w:rPr>
              <w:t>Basic and diluted net income per common unit</w:t>
            </w:r>
          </w:p>
        </w:tc>
        <w:tc>
          <w:tcPr>
            <w:tcW w:w="420" w:type="dxa"/>
            <w:vAlign w:val="bottom"/>
          </w:tcPr>
          <w:p>
            <w:pPr>
              <w:spacing w:after="0"/>
              <w:rPr>
                <w:sz w:val="19"/>
                <w:szCs w:val="19"/>
                <w:color w:val="auto"/>
              </w:rPr>
            </w:pPr>
          </w:p>
        </w:tc>
        <w:tc>
          <w:tcPr>
            <w:tcW w:w="142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0.20</w:t>
            </w:r>
          </w:p>
        </w:tc>
        <w:tc>
          <w:tcPr>
            <w:tcW w:w="100" w:type="dxa"/>
            <w:vAlign w:val="bottom"/>
          </w:tcPr>
          <w:p>
            <w:pPr>
              <w:spacing w:after="0"/>
              <w:rPr>
                <w:sz w:val="19"/>
                <w:szCs w:val="19"/>
                <w:color w:val="auto"/>
              </w:rPr>
            </w:pPr>
          </w:p>
        </w:tc>
        <w:tc>
          <w:tcPr>
            <w:tcW w:w="420" w:type="dxa"/>
            <w:vAlign w:val="bottom"/>
          </w:tcPr>
          <w:p>
            <w:pPr>
              <w:ind w:left="2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0.48</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0.89</w:t>
            </w:r>
          </w:p>
        </w:tc>
        <w:tc>
          <w:tcPr>
            <w:tcW w:w="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r>
        <w:trPr>
          <w:trHeight w:val="696"/>
        </w:trPr>
        <w:tc>
          <w:tcPr>
            <w:tcW w:w="2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20" w:type="dxa"/>
            <w:vAlign w:val="bottom"/>
            <w:gridSpan w:val="2"/>
          </w:tcPr>
          <w:p>
            <w:pPr>
              <w:jc w:val="right"/>
              <w:ind w:right="550"/>
              <w:spacing w:after="0"/>
              <w:rPr>
                <w:sz w:val="20"/>
                <w:szCs w:val="20"/>
                <w:color w:val="auto"/>
              </w:rPr>
            </w:pPr>
            <w:r>
              <w:rPr>
                <w:rFonts w:ascii="Arial" w:cs="Arial" w:eastAsia="Arial" w:hAnsi="Arial"/>
                <w:sz w:val="18"/>
                <w:szCs w:val="18"/>
                <w:color w:val="auto"/>
              </w:rPr>
              <w:t>- more -</w:t>
            </w: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35"/>
        </w:trPr>
        <w:tc>
          <w:tcPr>
            <w:tcW w:w="20" w:type="dxa"/>
            <w:vAlign w:val="bottom"/>
          </w:tcPr>
          <w:p>
            <w:pPr>
              <w:spacing w:after="0"/>
              <w:rPr>
                <w:sz w:val="11"/>
                <w:szCs w:val="11"/>
                <w:color w:val="auto"/>
              </w:rPr>
            </w:pPr>
          </w:p>
        </w:tc>
        <w:tc>
          <w:tcPr>
            <w:tcW w:w="4700" w:type="dxa"/>
            <w:vAlign w:val="bottom"/>
            <w:tcBorders>
              <w:bottom w:val="single" w:sz="8" w:color="auto"/>
            </w:tcBorders>
          </w:tcPr>
          <w:p>
            <w:pPr>
              <w:spacing w:after="0"/>
              <w:rPr>
                <w:sz w:val="11"/>
                <w:szCs w:val="11"/>
                <w:color w:val="auto"/>
              </w:rPr>
            </w:pPr>
          </w:p>
        </w:tc>
        <w:tc>
          <w:tcPr>
            <w:tcW w:w="1840" w:type="dxa"/>
            <w:vAlign w:val="bottom"/>
            <w:tcBorders>
              <w:bottom w:val="single" w:sz="8" w:color="auto"/>
            </w:tcBorders>
            <w:gridSpan w:val="3"/>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460" w:type="dxa"/>
            <w:vAlign w:val="bottom"/>
            <w:tcBorders>
              <w:bottom w:val="single" w:sz="8" w:color="auto"/>
            </w:tcBorders>
            <w:gridSpan w:val="5"/>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r>
      <w:tr>
        <w:trPr>
          <w:trHeight w:val="331"/>
        </w:trPr>
        <w:tc>
          <w:tcPr>
            <w:tcW w:w="20" w:type="dxa"/>
            <w:vAlign w:val="bottom"/>
          </w:tcPr>
          <w:p>
            <w:pPr>
              <w:spacing w:after="0"/>
              <w:rPr>
                <w:sz w:val="24"/>
                <w:szCs w:val="24"/>
                <w:color w:val="auto"/>
              </w:rPr>
            </w:pPr>
          </w:p>
        </w:tc>
        <w:tc>
          <w:tcPr>
            <w:tcW w:w="4700" w:type="dxa"/>
            <w:vAlign w:val="bottom"/>
          </w:tcPr>
          <w:p>
            <w:pPr>
              <w:ind w:left="1640"/>
              <w:spacing w:after="0"/>
              <w:rPr>
                <w:sz w:val="20"/>
                <w:szCs w:val="20"/>
                <w:color w:val="auto"/>
              </w:rPr>
            </w:pPr>
            <w:r>
              <w:rPr>
                <w:rFonts w:ascii="Arial" w:cs="Arial" w:eastAsia="Arial" w:hAnsi="Arial"/>
                <w:sz w:val="18"/>
                <w:szCs w:val="18"/>
                <w:b w:val="1"/>
                <w:bCs w:val="1"/>
                <w:color w:val="auto"/>
              </w:rPr>
              <w:t>333 Clay Street, Suite 1600</w:t>
            </w:r>
          </w:p>
        </w:tc>
        <w:tc>
          <w:tcPr>
            <w:tcW w:w="184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w w:val="90"/>
              </w:rPr>
              <w:t>Houston, Texas 77002</w:t>
            </w: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60" w:type="dxa"/>
            <w:vAlign w:val="bottom"/>
            <w:gridSpan w:val="5"/>
          </w:tcPr>
          <w:p>
            <w:pPr>
              <w:spacing w:after="0"/>
              <w:rPr>
                <w:sz w:val="20"/>
                <w:szCs w:val="20"/>
                <w:color w:val="auto"/>
              </w:rPr>
            </w:pPr>
            <w:r>
              <w:rPr>
                <w:rFonts w:ascii="Arial" w:cs="Arial" w:eastAsia="Arial" w:hAnsi="Arial"/>
                <w:sz w:val="18"/>
                <w:szCs w:val="18"/>
                <w:b w:val="1"/>
                <w:bCs w:val="1"/>
                <w:color w:val="auto"/>
              </w:rPr>
              <w:t>713-646-4100 / 866-809-1291</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240"/>
          </w:cols>
          <w:pgMar w:left="320" w:top="368"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auto"/>
        </w:rPr>
        <w:t>Page 6</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1517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CONDENSED CONSOLIDATED BALANCE SHEET DATA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September 30,</w:t>
            </w:r>
          </w:p>
        </w:tc>
        <w:tc>
          <w:tcPr>
            <w:tcW w:w="140" w:type="dxa"/>
            <w:vAlign w:val="bottom"/>
          </w:tcPr>
          <w:p>
            <w:pPr>
              <w:spacing w:after="0"/>
              <w:rPr>
                <w:sz w:val="14"/>
                <w:szCs w:val="14"/>
                <w:color w:val="auto"/>
              </w:rPr>
            </w:pPr>
          </w:p>
        </w:tc>
        <w:tc>
          <w:tcPr>
            <w:tcW w:w="1060" w:type="dxa"/>
            <w:vAlign w:val="bottom"/>
          </w:tcPr>
          <w:p>
            <w:pPr>
              <w:jc w:val="center"/>
              <w:ind w:right="52"/>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800" w:type="dxa"/>
            <w:vAlign w:val="bottom"/>
            <w:tcBorders>
              <w:bottom w:val="single" w:sz="8" w:color="CCEEFF"/>
            </w:tcBorders>
          </w:tcPr>
          <w:p>
            <w:pPr>
              <w:spacing w:after="0"/>
              <w:rPr>
                <w:sz w:val="17"/>
                <w:szCs w:val="17"/>
                <w:color w:val="auto"/>
              </w:rPr>
            </w:pPr>
          </w:p>
        </w:tc>
        <w:tc>
          <w:tcPr>
            <w:tcW w:w="1920" w:type="dxa"/>
            <w:vAlign w:val="bottom"/>
            <w:tcBorders>
              <w:bottom w:val="single" w:sz="8" w:color="CCEEFF"/>
            </w:tcBorders>
          </w:tcPr>
          <w:p>
            <w:pPr>
              <w:spacing w:after="0"/>
              <w:rPr>
                <w:sz w:val="17"/>
                <w:szCs w:val="17"/>
                <w:color w:val="auto"/>
              </w:rPr>
            </w:pPr>
          </w:p>
        </w:tc>
        <w:tc>
          <w:tcPr>
            <w:tcW w:w="2320" w:type="dxa"/>
            <w:vAlign w:val="bottom"/>
            <w:tcBorders>
              <w:bottom w:val="single" w:sz="8" w:color="CCEEFF"/>
            </w:tcBorders>
          </w:tcPr>
          <w:p>
            <w:pPr>
              <w:spacing w:after="0"/>
              <w:rPr>
                <w:sz w:val="17"/>
                <w:szCs w:val="17"/>
                <w:color w:val="auto"/>
              </w:rPr>
            </w:pPr>
          </w:p>
        </w:tc>
        <w:tc>
          <w:tcPr>
            <w:tcW w:w="16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center"/>
              <w:ind w:right="52"/>
              <w:spacing w:after="0"/>
              <w:rPr>
                <w:sz w:val="20"/>
                <w:szCs w:val="20"/>
                <w:color w:val="auto"/>
              </w:rPr>
            </w:pPr>
            <w:r>
              <w:rPr>
                <w:rFonts w:ascii="Arial" w:cs="Arial" w:eastAsia="Arial" w:hAnsi="Arial"/>
                <w:sz w:val="14"/>
                <w:szCs w:val="14"/>
                <w:b w:val="1"/>
                <w:bCs w:val="1"/>
                <w:color w:val="auto"/>
                <w:w w:val="89"/>
              </w:rPr>
              <w:t>2023</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center"/>
              <w:ind w:right="52"/>
              <w:spacing w:after="0"/>
              <w:rPr>
                <w:sz w:val="20"/>
                <w:szCs w:val="20"/>
                <w:color w:val="auto"/>
              </w:rPr>
            </w:pPr>
            <w:r>
              <w:rPr>
                <w:rFonts w:ascii="Arial" w:cs="Arial" w:eastAsia="Arial" w:hAnsi="Arial"/>
                <w:sz w:val="14"/>
                <w:szCs w:val="14"/>
                <w:b w:val="1"/>
                <w:bCs w:val="1"/>
                <w:color w:val="auto"/>
                <w:w w:val="89"/>
              </w:rPr>
              <w:t>2022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32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040" w:type="dxa"/>
            <w:vAlign w:val="bottom"/>
            <w:gridSpan w:val="3"/>
          </w:tcPr>
          <w:p>
            <w:pPr>
              <w:ind w:left="20"/>
              <w:spacing w:after="0"/>
              <w:rPr>
                <w:sz w:val="20"/>
                <w:szCs w:val="20"/>
                <w:color w:val="auto"/>
              </w:rPr>
            </w:pPr>
            <w:r>
              <w:rPr>
                <w:rFonts w:ascii="Arial" w:cs="Arial" w:eastAsia="Arial" w:hAnsi="Arial"/>
                <w:sz w:val="18"/>
                <w:szCs w:val="18"/>
                <w:color w:val="auto"/>
              </w:rPr>
              <w:t>Current assets (including Cash and cash equivalents of $260 and $401, respectively)</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5,331</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5,355</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Property and equipment, net</w:t>
            </w:r>
          </w:p>
        </w:tc>
        <w:tc>
          <w:tcPr>
            <w:tcW w:w="23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15,589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15,250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20" w:type="dxa"/>
            <w:vAlign w:val="bottom"/>
            <w:gridSpan w:val="2"/>
          </w:tcPr>
          <w:p>
            <w:pPr>
              <w:ind w:left="20"/>
              <w:spacing w:after="0"/>
              <w:rPr>
                <w:sz w:val="20"/>
                <w:szCs w:val="20"/>
                <w:color w:val="auto"/>
              </w:rPr>
            </w:pPr>
            <w:r>
              <w:rPr>
                <w:rFonts w:ascii="Arial" w:cs="Arial" w:eastAsia="Arial" w:hAnsi="Arial"/>
                <w:sz w:val="18"/>
                <w:szCs w:val="18"/>
                <w:color w:val="auto"/>
              </w:rPr>
              <w:t>Investments in unconsolidated entities</w:t>
            </w:r>
          </w:p>
        </w:tc>
        <w:tc>
          <w:tcPr>
            <w:tcW w:w="23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2,830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3,084</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Intangible assets, net</w:t>
            </w:r>
          </w:p>
        </w:tc>
        <w:tc>
          <w:tcPr>
            <w:tcW w:w="23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2,145</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720" w:type="dxa"/>
            <w:vAlign w:val="bottom"/>
            <w:gridSpan w:val="2"/>
          </w:tcPr>
          <w:p>
            <w:pPr>
              <w:ind w:left="20"/>
              <w:spacing w:after="0"/>
              <w:rPr>
                <w:sz w:val="20"/>
                <w:szCs w:val="20"/>
                <w:color w:val="auto"/>
              </w:rPr>
            </w:pPr>
            <w:r>
              <w:rPr>
                <w:rFonts w:ascii="Arial" w:cs="Arial" w:eastAsia="Arial" w:hAnsi="Arial"/>
                <w:sz w:val="18"/>
                <w:szCs w:val="18"/>
                <w:color w:val="auto"/>
              </w:rPr>
              <w:t>Linefill</w:t>
            </w:r>
          </w:p>
        </w:tc>
        <w:tc>
          <w:tcPr>
            <w:tcW w:w="23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957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961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Long-term operating lease right-of-use assets, net</w:t>
            </w:r>
          </w:p>
        </w:tc>
        <w:tc>
          <w:tcPr>
            <w:tcW w:w="23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720" w:type="dxa"/>
            <w:vAlign w:val="bottom"/>
            <w:gridSpan w:val="2"/>
          </w:tcPr>
          <w:p>
            <w:pPr>
              <w:ind w:left="20"/>
              <w:spacing w:after="0"/>
              <w:rPr>
                <w:sz w:val="20"/>
                <w:szCs w:val="20"/>
                <w:color w:val="auto"/>
              </w:rPr>
            </w:pPr>
            <w:r>
              <w:rPr>
                <w:rFonts w:ascii="Arial" w:cs="Arial" w:eastAsia="Arial" w:hAnsi="Arial"/>
                <w:sz w:val="18"/>
                <w:szCs w:val="18"/>
                <w:color w:val="auto"/>
              </w:rPr>
              <w:t>Long-term inventory</w:t>
            </w:r>
          </w:p>
        </w:tc>
        <w:tc>
          <w:tcPr>
            <w:tcW w:w="23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327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284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long-term assets, net</w:t>
            </w:r>
          </w:p>
        </w:tc>
        <w:tc>
          <w:tcPr>
            <w:tcW w:w="23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417</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20" w:type="dxa"/>
            <w:vAlign w:val="bottom"/>
            <w:gridSpan w:val="2"/>
          </w:tcPr>
          <w:p>
            <w:pPr>
              <w:ind w:left="180"/>
              <w:spacing w:after="0"/>
              <w:rPr>
                <w:sz w:val="20"/>
                <w:szCs w:val="20"/>
                <w:color w:val="auto"/>
              </w:rPr>
            </w:pPr>
            <w:r>
              <w:rPr>
                <w:rFonts w:ascii="Arial" w:cs="Arial" w:eastAsia="Arial" w:hAnsi="Arial"/>
                <w:sz w:val="18"/>
                <w:szCs w:val="18"/>
                <w:color w:val="auto"/>
              </w:rPr>
              <w:t>Total assets</w:t>
            </w:r>
          </w:p>
        </w:tc>
        <w:tc>
          <w:tcPr>
            <w:tcW w:w="23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27,735</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27,892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0" w:type="dxa"/>
            <w:vAlign w:val="bottom"/>
            <w:tcBorders>
              <w:bottom w:val="single" w:sz="8" w:color="CCEEFF"/>
            </w:tcBorders>
          </w:tcPr>
          <w:p>
            <w:pPr>
              <w:spacing w:after="0" w:line="20" w:lineRule="exact"/>
              <w:rPr>
                <w:sz w:val="1"/>
                <w:szCs w:val="1"/>
                <w:color w:val="auto"/>
              </w:rPr>
            </w:pPr>
          </w:p>
        </w:tc>
        <w:tc>
          <w:tcPr>
            <w:tcW w:w="1920" w:type="dxa"/>
            <w:vAlign w:val="bottom"/>
            <w:tcBorders>
              <w:bottom w:val="single" w:sz="8" w:color="CCEEFF"/>
            </w:tcBorders>
          </w:tcPr>
          <w:p>
            <w:pPr>
              <w:spacing w:after="0" w:line="20" w:lineRule="exact"/>
              <w:rPr>
                <w:sz w:val="1"/>
                <w:szCs w:val="1"/>
                <w:color w:val="auto"/>
              </w:rPr>
            </w:pPr>
          </w:p>
        </w:tc>
        <w:tc>
          <w:tcPr>
            <w:tcW w:w="2320" w:type="dxa"/>
            <w:vAlign w:val="bottom"/>
            <w:tcBorders>
              <w:bottom w:val="single" w:sz="8" w:color="CCEEFF"/>
            </w:tcBorders>
          </w:tcPr>
          <w:p>
            <w:pPr>
              <w:spacing w:after="0" w:line="20" w:lineRule="exact"/>
              <w:rPr>
                <w:sz w:val="1"/>
                <w:szCs w:val="1"/>
                <w:color w:val="auto"/>
              </w:rPr>
            </w:pPr>
          </w:p>
        </w:tc>
        <w:tc>
          <w:tcPr>
            <w:tcW w:w="16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280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c>
          <w:tcPr>
            <w:tcW w:w="23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20" w:type="dxa"/>
            <w:vAlign w:val="bottom"/>
            <w:gridSpan w:val="2"/>
          </w:tcPr>
          <w:p>
            <w:pPr>
              <w:ind w:left="20"/>
              <w:spacing w:after="0"/>
              <w:rPr>
                <w:sz w:val="20"/>
                <w:szCs w:val="20"/>
                <w:color w:val="auto"/>
              </w:rPr>
            </w:pPr>
            <w:r>
              <w:rPr>
                <w:rFonts w:ascii="Arial" w:cs="Arial" w:eastAsia="Arial" w:hAnsi="Arial"/>
                <w:sz w:val="18"/>
                <w:szCs w:val="18"/>
                <w:b w:val="1"/>
                <w:bCs w:val="1"/>
                <w:color w:val="auto"/>
              </w:rPr>
              <w:t>LIABILITIES AND PARTNERS’ CAPITAL</w:t>
            </w:r>
          </w:p>
        </w:tc>
        <w:tc>
          <w:tcPr>
            <w:tcW w:w="23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2320" w:type="dxa"/>
            <w:vAlign w:val="bottom"/>
            <w:shd w:val="clear" w:color="auto" w:fill="CCEEFF"/>
          </w:tcPr>
          <w:p>
            <w:pPr>
              <w:spacing w:after="0"/>
              <w:rPr>
                <w:sz w:val="19"/>
                <w:szCs w:val="19"/>
                <w:color w:val="auto"/>
              </w:rPr>
            </w:pP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5,891</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720" w:type="dxa"/>
            <w:vAlign w:val="bottom"/>
            <w:gridSpan w:val="2"/>
          </w:tcPr>
          <w:p>
            <w:pPr>
              <w:ind w:left="20"/>
              <w:spacing w:after="0"/>
              <w:rPr>
                <w:sz w:val="20"/>
                <w:szCs w:val="20"/>
                <w:color w:val="auto"/>
              </w:rPr>
            </w:pPr>
            <w:r>
              <w:rPr>
                <w:rFonts w:ascii="Arial" w:cs="Arial" w:eastAsia="Arial" w:hAnsi="Arial"/>
                <w:sz w:val="18"/>
                <w:szCs w:val="18"/>
                <w:color w:val="auto"/>
              </w:rPr>
              <w:t>Senior notes, net</w:t>
            </w:r>
          </w:p>
        </w:tc>
        <w:tc>
          <w:tcPr>
            <w:tcW w:w="23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7,241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7,237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long-term debt, net</w:t>
            </w:r>
          </w:p>
        </w:tc>
        <w:tc>
          <w:tcPr>
            <w:tcW w:w="23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720" w:type="dxa"/>
            <w:vAlign w:val="bottom"/>
            <w:gridSpan w:val="2"/>
          </w:tcPr>
          <w:p>
            <w:pPr>
              <w:ind w:left="20"/>
              <w:spacing w:after="0"/>
              <w:rPr>
                <w:sz w:val="20"/>
                <w:szCs w:val="20"/>
                <w:color w:val="auto"/>
              </w:rPr>
            </w:pPr>
            <w:r>
              <w:rPr>
                <w:rFonts w:ascii="Arial" w:cs="Arial" w:eastAsia="Arial" w:hAnsi="Arial"/>
                <w:sz w:val="18"/>
                <w:szCs w:val="18"/>
                <w:color w:val="auto"/>
              </w:rPr>
              <w:t>Long-term operating lease liabilities</w:t>
            </w:r>
          </w:p>
        </w:tc>
        <w:tc>
          <w:tcPr>
            <w:tcW w:w="23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280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308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long-term liabilities and deferred credits</w:t>
            </w:r>
          </w:p>
        </w:tc>
        <w:tc>
          <w:tcPr>
            <w:tcW w:w="23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1,002</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20" w:type="dxa"/>
            <w:vAlign w:val="bottom"/>
            <w:gridSpan w:val="2"/>
          </w:tcPr>
          <w:p>
            <w:pPr>
              <w:ind w:left="180"/>
              <w:spacing w:after="0"/>
              <w:rPr>
                <w:sz w:val="20"/>
                <w:szCs w:val="20"/>
                <w:color w:val="auto"/>
              </w:rPr>
            </w:pPr>
            <w:r>
              <w:rPr>
                <w:rFonts w:ascii="Arial" w:cs="Arial" w:eastAsia="Arial" w:hAnsi="Arial"/>
                <w:sz w:val="18"/>
                <w:szCs w:val="18"/>
                <w:color w:val="auto"/>
              </w:rPr>
              <w:t>Total liabilities</w:t>
            </w:r>
          </w:p>
        </w:tc>
        <w:tc>
          <w:tcPr>
            <w:tcW w:w="23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14,184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14,567</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800" w:type="dxa"/>
            <w:vAlign w:val="bottom"/>
            <w:shd w:val="clear" w:color="auto" w:fill="CCEEFF"/>
          </w:tcPr>
          <w:p>
            <w:pPr>
              <w:spacing w:after="0"/>
              <w:rPr>
                <w:sz w:val="22"/>
                <w:szCs w:val="22"/>
                <w:color w:val="auto"/>
              </w:rPr>
            </w:pPr>
          </w:p>
        </w:tc>
        <w:tc>
          <w:tcPr>
            <w:tcW w:w="1920" w:type="dxa"/>
            <w:vAlign w:val="bottom"/>
            <w:shd w:val="clear" w:color="auto" w:fill="CCEEFF"/>
          </w:tcPr>
          <w:p>
            <w:pPr>
              <w:spacing w:after="0"/>
              <w:rPr>
                <w:sz w:val="22"/>
                <w:szCs w:val="22"/>
                <w:color w:val="auto"/>
              </w:rPr>
            </w:pPr>
          </w:p>
        </w:tc>
        <w:tc>
          <w:tcPr>
            <w:tcW w:w="2320" w:type="dxa"/>
            <w:vAlign w:val="bottom"/>
            <w:shd w:val="clear" w:color="auto" w:fill="CCEEFF"/>
          </w:tcPr>
          <w:p>
            <w:pPr>
              <w:spacing w:after="0"/>
              <w:rPr>
                <w:sz w:val="22"/>
                <w:szCs w:val="22"/>
                <w:color w:val="auto"/>
              </w:rPr>
            </w:pPr>
          </w:p>
        </w:tc>
        <w:tc>
          <w:tcPr>
            <w:tcW w:w="16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20" w:type="dxa"/>
            <w:vAlign w:val="bottom"/>
            <w:gridSpan w:val="2"/>
          </w:tcPr>
          <w:p>
            <w:pPr>
              <w:ind w:left="20"/>
              <w:spacing w:after="0"/>
              <w:rPr>
                <w:sz w:val="20"/>
                <w:szCs w:val="20"/>
                <w:color w:val="auto"/>
              </w:rPr>
            </w:pPr>
            <w:r>
              <w:rPr>
                <w:rFonts w:ascii="Arial" w:cs="Arial" w:eastAsia="Arial" w:hAnsi="Arial"/>
                <w:sz w:val="18"/>
                <w:szCs w:val="18"/>
                <w:color w:val="auto"/>
              </w:rPr>
              <w:t>Partners’ capital excluding noncontrolling interests</w:t>
            </w:r>
          </w:p>
        </w:tc>
        <w:tc>
          <w:tcPr>
            <w:tcW w:w="23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10,285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10,057</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Noncontrolling interests</w:t>
            </w:r>
          </w:p>
        </w:tc>
        <w:tc>
          <w:tcPr>
            <w:tcW w:w="23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3,266</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2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Total partners’ capital</w:t>
            </w:r>
          </w:p>
        </w:tc>
        <w:tc>
          <w:tcPr>
            <w:tcW w:w="2320" w:type="dxa"/>
            <w:vAlign w:val="bottom"/>
            <w:tcBorders>
              <w:bottom w:val="single" w:sz="8" w:color="CCEEFF"/>
            </w:tcBorders>
          </w:tcPr>
          <w:p>
            <w:pPr>
              <w:spacing w:after="0"/>
              <w:rPr>
                <w:sz w:val="19"/>
                <w:szCs w:val="19"/>
                <w:color w:val="auto"/>
              </w:rPr>
            </w:pPr>
          </w:p>
        </w:tc>
        <w:tc>
          <w:tcPr>
            <w:tcW w:w="16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13,551</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13,325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 liabilities and partners’ capital</w:t>
            </w:r>
          </w:p>
        </w:tc>
        <w:tc>
          <w:tcPr>
            <w:tcW w:w="2320" w:type="dxa"/>
            <w:vAlign w:val="bottom"/>
            <w:tcBorders>
              <w:bottom w:val="single" w:sz="8" w:color="CCEEFF"/>
            </w:tcBorders>
            <w:shd w:val="clear" w:color="auto" w:fill="CCEEFF"/>
          </w:tcPr>
          <w:p>
            <w:pPr>
              <w:spacing w:after="0"/>
              <w:rPr>
                <w:sz w:val="19"/>
                <w:szCs w:val="19"/>
                <w:color w:val="auto"/>
              </w:rPr>
            </w:pPr>
          </w:p>
        </w:tc>
        <w:tc>
          <w:tcPr>
            <w:tcW w:w="16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27,735</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27,892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0" w:type="dxa"/>
            <w:vAlign w:val="bottom"/>
            <w:shd w:val="clear" w:color="auto" w:fill="CCEEFF"/>
          </w:tcPr>
          <w:p>
            <w:pPr>
              <w:spacing w:after="0" w:line="20" w:lineRule="exact"/>
              <w:rPr>
                <w:sz w:val="1"/>
                <w:szCs w:val="1"/>
                <w:color w:val="auto"/>
              </w:rPr>
            </w:pPr>
          </w:p>
        </w:tc>
        <w:tc>
          <w:tcPr>
            <w:tcW w:w="1920" w:type="dxa"/>
            <w:vAlign w:val="bottom"/>
            <w:shd w:val="clear" w:color="auto" w:fill="CCEEFF"/>
          </w:tcPr>
          <w:p>
            <w:pPr>
              <w:spacing w:after="0" w:line="20" w:lineRule="exact"/>
              <w:rPr>
                <w:sz w:val="1"/>
                <w:szCs w:val="1"/>
                <w:color w:val="auto"/>
              </w:rPr>
            </w:pPr>
          </w:p>
        </w:tc>
        <w:tc>
          <w:tcPr>
            <w:tcW w:w="2320" w:type="dxa"/>
            <w:vAlign w:val="bottom"/>
            <w:shd w:val="clear" w:color="auto" w:fill="CCEEFF"/>
          </w:tcPr>
          <w:p>
            <w:pPr>
              <w:spacing w:after="0" w:line="20" w:lineRule="exact"/>
              <w:rPr>
                <w:sz w:val="1"/>
                <w:szCs w:val="1"/>
                <w:color w:val="auto"/>
              </w:rPr>
            </w:pPr>
          </w:p>
        </w:tc>
        <w:tc>
          <w:tcPr>
            <w:tcW w:w="16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74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DEBT CAPITALIZATION RATIOS</w:t>
            </w:r>
          </w:p>
        </w:tc>
        <w:tc>
          <w:tcPr>
            <w:tcW w:w="23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3"/>
        </w:trPr>
        <w:tc>
          <w:tcPr>
            <w:tcW w:w="4740" w:type="dxa"/>
            <w:vAlign w:val="bottom"/>
            <w:gridSpan w:val="3"/>
            <w:vMerge w:val="continue"/>
          </w:tcPr>
          <w:p>
            <w:pPr>
              <w:spacing w:after="0"/>
              <w:rPr>
                <w:sz w:val="24"/>
                <w:szCs w:val="24"/>
                <w:color w:val="auto"/>
              </w:rPr>
            </w:pPr>
          </w:p>
        </w:tc>
        <w:tc>
          <w:tcPr>
            <w:tcW w:w="23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82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(in millions)</w:t>
            </w:r>
          </w:p>
        </w:tc>
        <w:tc>
          <w:tcPr>
            <w:tcW w:w="192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September 30,</w:t>
            </w:r>
          </w:p>
        </w:tc>
        <w:tc>
          <w:tcPr>
            <w:tcW w:w="140" w:type="dxa"/>
            <w:vAlign w:val="bottom"/>
          </w:tcPr>
          <w:p>
            <w:pPr>
              <w:spacing w:after="0"/>
              <w:rPr>
                <w:sz w:val="14"/>
                <w:szCs w:val="14"/>
                <w:color w:val="auto"/>
              </w:rPr>
            </w:pPr>
          </w:p>
        </w:tc>
        <w:tc>
          <w:tcPr>
            <w:tcW w:w="1060" w:type="dxa"/>
            <w:vAlign w:val="bottom"/>
          </w:tcPr>
          <w:p>
            <w:pPr>
              <w:jc w:val="center"/>
              <w:ind w:right="52"/>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800" w:type="dxa"/>
            <w:vAlign w:val="bottom"/>
            <w:tcBorders>
              <w:bottom w:val="single" w:sz="8" w:color="CCEEFF"/>
            </w:tcBorders>
          </w:tcPr>
          <w:p>
            <w:pPr>
              <w:spacing w:after="0"/>
              <w:rPr>
                <w:sz w:val="16"/>
                <w:szCs w:val="16"/>
                <w:color w:val="auto"/>
              </w:rPr>
            </w:pPr>
          </w:p>
        </w:tc>
        <w:tc>
          <w:tcPr>
            <w:tcW w:w="1920" w:type="dxa"/>
            <w:vAlign w:val="bottom"/>
            <w:tcBorders>
              <w:bottom w:val="single" w:sz="8" w:color="CCEEFF"/>
            </w:tcBorders>
          </w:tcPr>
          <w:p>
            <w:pPr>
              <w:spacing w:after="0"/>
              <w:rPr>
                <w:sz w:val="16"/>
                <w:szCs w:val="16"/>
                <w:color w:val="auto"/>
              </w:rPr>
            </w:pPr>
          </w:p>
        </w:tc>
        <w:tc>
          <w:tcPr>
            <w:tcW w:w="2320" w:type="dxa"/>
            <w:vAlign w:val="bottom"/>
            <w:tcBorders>
              <w:bottom w:val="single" w:sz="8" w:color="CCEEFF"/>
            </w:tcBorders>
          </w:tcPr>
          <w:p>
            <w:pPr>
              <w:spacing w:after="0"/>
              <w:rPr>
                <w:sz w:val="16"/>
                <w:szCs w:val="16"/>
                <w:color w:val="auto"/>
              </w:rPr>
            </w:pPr>
          </w:p>
        </w:tc>
        <w:tc>
          <w:tcPr>
            <w:tcW w:w="166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52"/>
              <w:spacing w:after="0"/>
              <w:rPr>
                <w:sz w:val="20"/>
                <w:szCs w:val="20"/>
                <w:color w:val="auto"/>
              </w:rPr>
            </w:pPr>
            <w:r>
              <w:rPr>
                <w:rFonts w:ascii="Arial" w:cs="Arial" w:eastAsia="Arial" w:hAnsi="Arial"/>
                <w:sz w:val="14"/>
                <w:szCs w:val="14"/>
                <w:b w:val="1"/>
                <w:bCs w:val="1"/>
                <w:color w:val="auto"/>
                <w:w w:val="89"/>
              </w:rPr>
              <w:t>2023</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52"/>
              <w:spacing w:after="0"/>
              <w:rPr>
                <w:sz w:val="20"/>
                <w:szCs w:val="20"/>
                <w:color w:val="auto"/>
              </w:rPr>
            </w:pPr>
            <w:r>
              <w:rPr>
                <w:rFonts w:ascii="Arial" w:cs="Arial" w:eastAsia="Arial" w:hAnsi="Arial"/>
                <w:sz w:val="14"/>
                <w:szCs w:val="14"/>
                <w:b w:val="1"/>
                <w:bCs w:val="1"/>
                <w:color w:val="auto"/>
                <w:w w:val="89"/>
              </w:rPr>
              <w:t>2022</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Short-term debt</w:t>
            </w:r>
          </w:p>
        </w:tc>
        <w:tc>
          <w:tcPr>
            <w:tcW w:w="23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Long-term debt</w:t>
            </w:r>
          </w:p>
        </w:tc>
        <w:tc>
          <w:tcPr>
            <w:tcW w:w="2320" w:type="dxa"/>
            <w:vAlign w:val="bottom"/>
            <w:tcBorders>
              <w:bottom w:val="single" w:sz="8" w:color="CCEEFF"/>
            </w:tcBorders>
          </w:tcPr>
          <w:p>
            <w:pPr>
              <w:spacing w:after="0"/>
              <w:rPr>
                <w:sz w:val="19"/>
                <w:szCs w:val="19"/>
                <w:color w:val="auto"/>
              </w:rPr>
            </w:pPr>
          </w:p>
        </w:tc>
        <w:tc>
          <w:tcPr>
            <w:tcW w:w="16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7,296</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7,287</w:t>
            </w: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47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 debt</w:t>
            </w:r>
          </w:p>
        </w:tc>
        <w:tc>
          <w:tcPr>
            <w:tcW w:w="23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8,006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tcBorders>
              <w:top w:val="single" w:sz="8" w:color="CCEEFF"/>
            </w:tcBorders>
            <w:gridSpan w:val="2"/>
          </w:tcPr>
          <w:p>
            <w:pPr>
              <w:spacing w:after="0" w:line="20" w:lineRule="exact"/>
              <w:rPr>
                <w:sz w:val="1"/>
                <w:szCs w:val="1"/>
                <w:color w:val="auto"/>
              </w:rPr>
            </w:pPr>
          </w:p>
        </w:tc>
        <w:tc>
          <w:tcPr>
            <w:tcW w:w="232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tcBorders>
            <w:gridSpan w:val="2"/>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Long-term debt</w:t>
            </w:r>
          </w:p>
        </w:tc>
        <w:tc>
          <w:tcPr>
            <w:tcW w:w="2320" w:type="dxa"/>
            <w:vAlign w:val="bottom"/>
            <w:shd w:val="clear" w:color="auto" w:fill="CCEEFF"/>
          </w:tcPr>
          <w:p>
            <w:pPr>
              <w:spacing w:after="0"/>
              <w:rPr>
                <w:sz w:val="19"/>
                <w:szCs w:val="19"/>
                <w:color w:val="auto"/>
              </w:rPr>
            </w:pP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7,296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Partners’ capital excluding noncontrolling interests</w:t>
            </w:r>
          </w:p>
        </w:tc>
        <w:tc>
          <w:tcPr>
            <w:tcW w:w="2320" w:type="dxa"/>
            <w:vAlign w:val="bottom"/>
            <w:tcBorders>
              <w:bottom w:val="single" w:sz="8" w:color="CCEEFF"/>
            </w:tcBorders>
          </w:tcPr>
          <w:p>
            <w:pPr>
              <w:spacing w:after="0"/>
              <w:rPr>
                <w:sz w:val="19"/>
                <w:szCs w:val="19"/>
                <w:color w:val="auto"/>
              </w:rPr>
            </w:pPr>
          </w:p>
        </w:tc>
        <w:tc>
          <w:tcPr>
            <w:tcW w:w="16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10,285</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10,057</w:t>
            </w: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704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w w:val="99"/>
              </w:rPr>
              <w:t>Total book capitalization excluding noncontrolling interests (“Total book capitalization”)</w:t>
            </w:r>
          </w:p>
        </w:tc>
        <w:tc>
          <w:tcPr>
            <w:tcW w:w="16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17,581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tcBorders>
              <w:top w:val="single" w:sz="8" w:color="CCEEFF"/>
            </w:tcBorders>
            <w:gridSpan w:val="2"/>
          </w:tcPr>
          <w:p>
            <w:pPr>
              <w:spacing w:after="0" w:line="20" w:lineRule="exact"/>
              <w:rPr>
                <w:sz w:val="1"/>
                <w:szCs w:val="1"/>
                <w:color w:val="auto"/>
              </w:rPr>
            </w:pPr>
          </w:p>
        </w:tc>
        <w:tc>
          <w:tcPr>
            <w:tcW w:w="232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tcBorders>
            <w:gridSpan w:val="2"/>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4720" w:type="dxa"/>
            <w:vAlign w:val="bottom"/>
            <w:gridSpan w:val="2"/>
          </w:tcPr>
          <w:p>
            <w:pPr>
              <w:ind w:left="340"/>
              <w:spacing w:after="0" w:line="203" w:lineRule="exact"/>
              <w:rPr>
                <w:sz w:val="20"/>
                <w:szCs w:val="20"/>
                <w:color w:val="auto"/>
              </w:rPr>
            </w:pPr>
            <w:r>
              <w:rPr>
                <w:rFonts w:ascii="Arial" w:cs="Arial" w:eastAsia="Arial" w:hAnsi="Arial"/>
                <w:sz w:val="18"/>
                <w:szCs w:val="18"/>
                <w:color w:val="auto"/>
              </w:rPr>
              <w:t>Total book capitalization, including short-term debt</w:t>
            </w:r>
          </w:p>
        </w:tc>
        <w:tc>
          <w:tcPr>
            <w:tcW w:w="23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18,291</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18,503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0" w:type="dxa"/>
            <w:vAlign w:val="bottom"/>
            <w:tcBorders>
              <w:bottom w:val="single" w:sz="8" w:color="CCEEFF"/>
            </w:tcBorders>
          </w:tcPr>
          <w:p>
            <w:pPr>
              <w:spacing w:after="0" w:line="20" w:lineRule="exact"/>
              <w:rPr>
                <w:sz w:val="1"/>
                <w:szCs w:val="1"/>
                <w:color w:val="auto"/>
              </w:rPr>
            </w:pPr>
          </w:p>
        </w:tc>
        <w:tc>
          <w:tcPr>
            <w:tcW w:w="1920" w:type="dxa"/>
            <w:vAlign w:val="bottom"/>
            <w:tcBorders>
              <w:bottom w:val="single" w:sz="8" w:color="CCEEFF"/>
            </w:tcBorders>
          </w:tcPr>
          <w:p>
            <w:pPr>
              <w:spacing w:after="0" w:line="20" w:lineRule="exact"/>
              <w:rPr>
                <w:sz w:val="1"/>
                <w:szCs w:val="1"/>
                <w:color w:val="auto"/>
              </w:rPr>
            </w:pPr>
          </w:p>
        </w:tc>
        <w:tc>
          <w:tcPr>
            <w:tcW w:w="2320" w:type="dxa"/>
            <w:vAlign w:val="bottom"/>
            <w:tcBorders>
              <w:bottom w:val="single" w:sz="8" w:color="CCEEFF"/>
            </w:tcBorders>
          </w:tcPr>
          <w:p>
            <w:pPr>
              <w:spacing w:after="0" w:line="20" w:lineRule="exact"/>
              <w:rPr>
                <w:sz w:val="1"/>
                <w:szCs w:val="1"/>
                <w:color w:val="auto"/>
              </w:rPr>
            </w:pPr>
          </w:p>
        </w:tc>
        <w:tc>
          <w:tcPr>
            <w:tcW w:w="16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280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c>
          <w:tcPr>
            <w:tcW w:w="23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20" w:type="dxa"/>
            <w:vAlign w:val="bottom"/>
            <w:gridSpan w:val="2"/>
          </w:tcPr>
          <w:p>
            <w:pPr>
              <w:ind w:left="20"/>
              <w:spacing w:after="0"/>
              <w:rPr>
                <w:sz w:val="20"/>
                <w:szCs w:val="20"/>
                <w:color w:val="auto"/>
              </w:rPr>
            </w:pPr>
            <w:r>
              <w:rPr>
                <w:rFonts w:ascii="Arial" w:cs="Arial" w:eastAsia="Arial" w:hAnsi="Arial"/>
                <w:sz w:val="18"/>
                <w:szCs w:val="18"/>
                <w:color w:val="auto"/>
              </w:rPr>
              <w:t>Long-term debt-to-total book capitalization</w:t>
            </w:r>
          </w:p>
        </w:tc>
        <w:tc>
          <w:tcPr>
            <w:tcW w:w="23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3"/>
              </w:rPr>
              <w:t>Total debt-to-total book capitalization, including short-term debt</w:t>
            </w:r>
          </w:p>
        </w:tc>
        <w:tc>
          <w:tcPr>
            <w:tcW w:w="23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783"/>
        </w:trPr>
        <w:tc>
          <w:tcPr>
            <w:tcW w:w="2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320" w:type="dxa"/>
            <w:vAlign w:val="bottom"/>
          </w:tcPr>
          <w:p>
            <w:pPr>
              <w:jc w:val="center"/>
              <w:ind w:right="450"/>
              <w:spacing w:after="0"/>
              <w:rPr>
                <w:sz w:val="20"/>
                <w:szCs w:val="20"/>
                <w:color w:val="auto"/>
              </w:rPr>
            </w:pPr>
            <w:r>
              <w:rPr>
                <w:rFonts w:ascii="Arial" w:cs="Arial" w:eastAsia="Arial" w:hAnsi="Arial"/>
                <w:sz w:val="18"/>
                <w:szCs w:val="18"/>
                <w:color w:val="auto"/>
                <w:w w:val="91"/>
              </w:rPr>
              <w:t>- more -</w:t>
            </w:r>
          </w:p>
        </w:tc>
        <w:tc>
          <w:tcPr>
            <w:tcW w:w="1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720" w:type="dxa"/>
            <w:vAlign w:val="bottom"/>
            <w:tcBorders>
              <w:bottom w:val="single" w:sz="8" w:color="auto"/>
            </w:tcBorders>
            <w:gridSpan w:val="2"/>
          </w:tcPr>
          <w:p>
            <w:pPr>
              <w:spacing w:after="0"/>
              <w:rPr>
                <w:sz w:val="11"/>
                <w:szCs w:val="11"/>
                <w:color w:val="auto"/>
              </w:rPr>
            </w:pPr>
          </w:p>
        </w:tc>
        <w:tc>
          <w:tcPr>
            <w:tcW w:w="2320" w:type="dxa"/>
            <w:vAlign w:val="bottom"/>
            <w:tcBorders>
              <w:bottom w:val="single" w:sz="8" w:color="auto"/>
            </w:tcBorders>
          </w:tcPr>
          <w:p>
            <w:pPr>
              <w:spacing w:after="0"/>
              <w:rPr>
                <w:sz w:val="11"/>
                <w:szCs w:val="11"/>
                <w:color w:val="auto"/>
              </w:rPr>
            </w:pPr>
          </w:p>
        </w:tc>
        <w:tc>
          <w:tcPr>
            <w:tcW w:w="2860" w:type="dxa"/>
            <w:vAlign w:val="bottom"/>
            <w:tcBorders>
              <w:bottom w:val="single" w:sz="8" w:color="auto"/>
            </w:tcBorders>
            <w:gridSpan w:val="3"/>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4720" w:type="dxa"/>
            <w:vAlign w:val="bottom"/>
            <w:gridSpan w:val="2"/>
          </w:tcPr>
          <w:p>
            <w:pPr>
              <w:ind w:left="1640"/>
              <w:spacing w:after="0"/>
              <w:rPr>
                <w:sz w:val="20"/>
                <w:szCs w:val="20"/>
                <w:color w:val="auto"/>
              </w:rPr>
            </w:pPr>
            <w:r>
              <w:rPr>
                <w:rFonts w:ascii="Arial" w:cs="Arial" w:eastAsia="Arial" w:hAnsi="Arial"/>
                <w:sz w:val="18"/>
                <w:szCs w:val="18"/>
                <w:b w:val="1"/>
                <w:bCs w:val="1"/>
                <w:color w:val="auto"/>
              </w:rPr>
              <w:t>333 Clay Street, Suite 1600</w:t>
            </w:r>
          </w:p>
        </w:tc>
        <w:tc>
          <w:tcPr>
            <w:tcW w:w="2320" w:type="dxa"/>
            <w:vAlign w:val="bottom"/>
          </w:tcPr>
          <w:p>
            <w:pPr>
              <w:jc w:val="center"/>
              <w:ind w:right="470"/>
              <w:spacing w:after="0"/>
              <w:rPr>
                <w:sz w:val="20"/>
                <w:szCs w:val="20"/>
                <w:color w:val="auto"/>
              </w:rPr>
            </w:pPr>
            <w:r>
              <w:rPr>
                <w:rFonts w:ascii="Arial" w:cs="Arial" w:eastAsia="Arial" w:hAnsi="Arial"/>
                <w:sz w:val="18"/>
                <w:szCs w:val="18"/>
                <w:b w:val="1"/>
                <w:bCs w:val="1"/>
                <w:color w:val="auto"/>
                <w:w w:val="88"/>
              </w:rPr>
              <w:t>Houston, Texas 77002</w:t>
            </w:r>
          </w:p>
        </w:tc>
        <w:tc>
          <w:tcPr>
            <w:tcW w:w="2860" w:type="dxa"/>
            <w:vAlign w:val="bottom"/>
            <w:gridSpan w:val="3"/>
          </w:tcPr>
          <w:p>
            <w:pPr>
              <w:jc w:val="right"/>
              <w:ind w:right="152"/>
              <w:spacing w:after="0"/>
              <w:rPr>
                <w:sz w:val="20"/>
                <w:szCs w:val="20"/>
                <w:color w:val="auto"/>
              </w:rPr>
            </w:pPr>
            <w:r>
              <w:rPr>
                <w:rFonts w:ascii="Arial" w:cs="Arial" w:eastAsia="Arial" w:hAnsi="Arial"/>
                <w:sz w:val="18"/>
                <w:szCs w:val="18"/>
                <w:b w:val="1"/>
                <w:bCs w:val="1"/>
                <w:color w:val="auto"/>
              </w:rPr>
              <w:t>713-646-4100 / 866-809-1291</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320" w:top="368" w:right="35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auto"/>
        </w:rPr>
        <w:t>Page 7</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1517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COMPUTATION OF BASIC AND DILUTED NET INCOME PER COMMON UNIT</w:t>
      </w:r>
      <w:r>
        <w:rPr>
          <w:rFonts w:ascii="Arial" w:cs="Arial" w:eastAsia="Arial" w:hAnsi="Arial"/>
          <w:sz w:val="18"/>
          <w:szCs w:val="18"/>
          <w:b w:val="1"/>
          <w:bCs w:val="1"/>
          <w:color w:val="auto"/>
        </w:rPr>
        <w:t xml:space="preserve"> </w:t>
      </w:r>
      <w:r>
        <w:rPr>
          <w:rFonts w:ascii="Arial" w:cs="Arial" w:eastAsia="Arial" w:hAnsi="Arial"/>
          <w:sz w:val="23"/>
          <w:szCs w:val="23"/>
          <w:b w:val="1"/>
          <w:bCs w:val="1"/>
          <w:color w:val="auto"/>
          <w:vertAlign w:val="superscript"/>
        </w:rPr>
        <w:t>(1)</w:t>
      </w:r>
    </w:p>
    <w:p>
      <w:pPr>
        <w:spacing w:after="0"/>
        <w:rPr>
          <w:sz w:val="20"/>
          <w:szCs w:val="20"/>
          <w:color w:val="auto"/>
        </w:rPr>
      </w:pPr>
      <w:r>
        <w:rPr>
          <w:rFonts w:ascii="Arial" w:cs="Arial" w:eastAsia="Arial" w:hAnsi="Arial"/>
          <w:sz w:val="18"/>
          <w:szCs w:val="18"/>
          <w:color w:val="auto"/>
        </w:rPr>
        <w:t>(in millions, except per unit data)</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2080" w:type="dxa"/>
            <w:vAlign w:val="bottom"/>
            <w:gridSpan w:val="4"/>
          </w:tcPr>
          <w:p>
            <w:pPr>
              <w:jc w:val="right"/>
              <w:ind w:right="95"/>
              <w:spacing w:after="0"/>
              <w:rPr>
                <w:sz w:val="20"/>
                <w:szCs w:val="20"/>
                <w:color w:val="auto"/>
              </w:rPr>
            </w:pPr>
            <w:r>
              <w:rPr>
                <w:rFonts w:ascii="Arial" w:cs="Arial" w:eastAsia="Arial" w:hAnsi="Arial"/>
                <w:sz w:val="14"/>
                <w:szCs w:val="14"/>
                <w:b w:val="1"/>
                <w:bCs w:val="1"/>
                <w:color w:val="auto"/>
              </w:rPr>
              <w:t>Three Months Ended</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40" w:type="dxa"/>
            <w:vAlign w:val="bottom"/>
            <w:gridSpan w:val="4"/>
          </w:tcPr>
          <w:p>
            <w:pPr>
              <w:jc w:val="right"/>
              <w:ind w:right="95"/>
              <w:spacing w:after="0"/>
              <w:rPr>
                <w:sz w:val="20"/>
                <w:szCs w:val="20"/>
                <w:color w:val="auto"/>
              </w:rPr>
            </w:pPr>
            <w:r>
              <w:rPr>
                <w:rFonts w:ascii="Arial" w:cs="Arial" w:eastAsia="Arial" w:hAnsi="Arial"/>
                <w:sz w:val="14"/>
                <w:szCs w:val="14"/>
                <w:b w:val="1"/>
                <w:bCs w:val="1"/>
                <w:color w:val="auto"/>
              </w:rPr>
              <w:t>Nine Months Ended</w:t>
            </w:r>
          </w:p>
        </w:tc>
        <w:tc>
          <w:tcPr>
            <w:tcW w:w="420" w:type="dxa"/>
            <w:vAlign w:val="bottom"/>
          </w:tcPr>
          <w:p>
            <w:pPr>
              <w:spacing w:after="0"/>
              <w:rPr>
                <w:sz w:val="14"/>
                <w:szCs w:val="14"/>
                <w:color w:val="auto"/>
              </w:rPr>
            </w:pPr>
          </w:p>
        </w:tc>
      </w:tr>
      <w:tr>
        <w:trPr>
          <w:trHeight w:val="196"/>
        </w:trPr>
        <w:tc>
          <w:tcPr>
            <w:tcW w:w="20" w:type="dxa"/>
            <w:vAlign w:val="bottom"/>
          </w:tcPr>
          <w:p>
            <w:pPr>
              <w:spacing w:after="0"/>
              <w:rPr>
                <w:sz w:val="17"/>
                <w:szCs w:val="17"/>
                <w:color w:val="auto"/>
              </w:rPr>
            </w:pPr>
          </w:p>
        </w:tc>
        <w:tc>
          <w:tcPr>
            <w:tcW w:w="386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gridSpan w:val="3"/>
          </w:tcPr>
          <w:p>
            <w:pPr>
              <w:jc w:val="right"/>
              <w:ind w:right="315"/>
              <w:spacing w:after="0"/>
              <w:rPr>
                <w:sz w:val="20"/>
                <w:szCs w:val="20"/>
                <w:color w:val="auto"/>
              </w:rPr>
            </w:pPr>
            <w:r>
              <w:rPr>
                <w:rFonts w:ascii="Arial" w:cs="Arial" w:eastAsia="Arial" w:hAnsi="Arial"/>
                <w:sz w:val="14"/>
                <w:szCs w:val="14"/>
                <w:b w:val="1"/>
                <w:bCs w:val="1"/>
                <w:color w:val="auto"/>
                <w:w w:val="91"/>
              </w:rPr>
              <w:t>September 30,</w:t>
            </w:r>
          </w:p>
        </w:tc>
        <w:tc>
          <w:tcPr>
            <w:tcW w:w="4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gridSpan w:val="3"/>
          </w:tcPr>
          <w:p>
            <w:pPr>
              <w:jc w:val="right"/>
              <w:ind w:right="275"/>
              <w:spacing w:after="0"/>
              <w:rPr>
                <w:sz w:val="20"/>
                <w:szCs w:val="20"/>
                <w:color w:val="auto"/>
              </w:rPr>
            </w:pPr>
            <w:r>
              <w:rPr>
                <w:rFonts w:ascii="Arial" w:cs="Arial" w:eastAsia="Arial" w:hAnsi="Arial"/>
                <w:sz w:val="14"/>
                <w:szCs w:val="14"/>
                <w:b w:val="1"/>
                <w:bCs w:val="1"/>
                <w:color w:val="auto"/>
                <w:w w:val="93"/>
              </w:rPr>
              <w:t>September 30,</w:t>
            </w:r>
          </w:p>
        </w:tc>
        <w:tc>
          <w:tcPr>
            <w:tcW w:w="420" w:type="dxa"/>
            <w:vAlign w:val="bottom"/>
            <w:tcBorders>
              <w:bottom w:val="single" w:sz="8" w:color="auto"/>
            </w:tcBorders>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3860" w:type="dxa"/>
            <w:vAlign w:val="bottom"/>
            <w:tcBorders>
              <w:bottom w:val="single" w:sz="8" w:color="CCEEFF"/>
            </w:tcBorders>
          </w:tcPr>
          <w:p>
            <w:pPr>
              <w:spacing w:after="0"/>
              <w:rPr>
                <w:sz w:val="17"/>
                <w:szCs w:val="17"/>
                <w:color w:val="auto"/>
              </w:rPr>
            </w:pPr>
          </w:p>
        </w:tc>
        <w:tc>
          <w:tcPr>
            <w:tcW w:w="2280" w:type="dxa"/>
            <w:vAlign w:val="bottom"/>
            <w:tcBorders>
              <w:bottom w:val="single" w:sz="8" w:color="CCEEFF"/>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4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4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42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420" w:type="dxa"/>
            <w:vAlign w:val="bottom"/>
            <w:tcBorders>
              <w:bottom w:val="single" w:sz="8" w:color="auto"/>
            </w:tcBorders>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61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Basic and Diluted Net Income per Common Unit</w:t>
            </w:r>
          </w:p>
        </w:tc>
        <w:tc>
          <w:tcPr>
            <w:tcW w:w="7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6140" w:type="dxa"/>
            <w:vAlign w:val="bottom"/>
            <w:gridSpan w:val="2"/>
          </w:tcPr>
          <w:p>
            <w:pPr>
              <w:ind w:left="20"/>
              <w:spacing w:after="0"/>
              <w:rPr>
                <w:sz w:val="20"/>
                <w:szCs w:val="20"/>
                <w:color w:val="auto"/>
              </w:rPr>
            </w:pPr>
            <w:r>
              <w:rPr>
                <w:rFonts w:ascii="Arial" w:cs="Arial" w:eastAsia="Arial" w:hAnsi="Arial"/>
                <w:sz w:val="18"/>
                <w:szCs w:val="18"/>
                <w:color w:val="auto"/>
              </w:rPr>
              <w:t>Net income attributable to PAA</w:t>
            </w:r>
          </w:p>
        </w:tc>
        <w:tc>
          <w:tcPr>
            <w:tcW w:w="780" w:type="dxa"/>
            <w:vAlign w:val="bottom"/>
          </w:tcPr>
          <w:p>
            <w:pPr>
              <w:jc w:val="right"/>
              <w:ind w:right="597"/>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203</w:t>
            </w:r>
          </w:p>
        </w:tc>
        <w:tc>
          <w:tcPr>
            <w:tcW w:w="100" w:type="dxa"/>
            <w:vAlign w:val="bottom"/>
          </w:tcPr>
          <w:p>
            <w:pPr>
              <w:spacing w:after="0"/>
              <w:rPr>
                <w:sz w:val="19"/>
                <w:szCs w:val="19"/>
                <w:color w:val="auto"/>
              </w:rPr>
            </w:pPr>
          </w:p>
        </w:tc>
        <w:tc>
          <w:tcPr>
            <w:tcW w:w="780" w:type="dxa"/>
            <w:vAlign w:val="bottom"/>
          </w:tcPr>
          <w:p>
            <w:pPr>
              <w:jc w:val="right"/>
              <w:ind w:right="595"/>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384</w:t>
            </w:r>
          </w:p>
        </w:tc>
        <w:tc>
          <w:tcPr>
            <w:tcW w:w="100" w:type="dxa"/>
            <w:vAlign w:val="bottom"/>
          </w:tcPr>
          <w:p>
            <w:pPr>
              <w:spacing w:after="0"/>
              <w:rPr>
                <w:sz w:val="19"/>
                <w:szCs w:val="19"/>
                <w:color w:val="auto"/>
              </w:rPr>
            </w:pPr>
          </w:p>
        </w:tc>
        <w:tc>
          <w:tcPr>
            <w:tcW w:w="760" w:type="dxa"/>
            <w:vAlign w:val="bottom"/>
          </w:tcPr>
          <w:p>
            <w:pPr>
              <w:jc w:val="right"/>
              <w:ind w:right="557"/>
              <w:spacing w:after="0"/>
              <w:rPr>
                <w:sz w:val="20"/>
                <w:szCs w:val="20"/>
                <w:color w:val="auto"/>
              </w:rPr>
            </w:pPr>
            <w:r>
              <w:rPr>
                <w:rFonts w:ascii="Arial" w:cs="Arial" w:eastAsia="Arial" w:hAnsi="Arial"/>
                <w:sz w:val="18"/>
                <w:szCs w:val="18"/>
                <w:color w:val="auto"/>
                <w:w w:val="9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918</w:t>
            </w:r>
          </w:p>
        </w:tc>
        <w:tc>
          <w:tcPr>
            <w:tcW w:w="120" w:type="dxa"/>
            <w:vAlign w:val="bottom"/>
          </w:tcPr>
          <w:p>
            <w:pPr>
              <w:spacing w:after="0"/>
              <w:rPr>
                <w:sz w:val="19"/>
                <w:szCs w:val="19"/>
                <w:color w:val="auto"/>
              </w:rPr>
            </w:pPr>
          </w:p>
        </w:tc>
        <w:tc>
          <w:tcPr>
            <w:tcW w:w="740" w:type="dxa"/>
            <w:vAlign w:val="bottom"/>
          </w:tcPr>
          <w:p>
            <w:pPr>
              <w:jc w:val="right"/>
              <w:ind w:right="555"/>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774</w:t>
            </w:r>
          </w:p>
        </w:tc>
      </w:tr>
      <w:tr>
        <w:trPr>
          <w:trHeight w:val="229"/>
        </w:trPr>
        <w:tc>
          <w:tcPr>
            <w:tcW w:w="20" w:type="dxa"/>
            <w:vAlign w:val="bottom"/>
          </w:tcPr>
          <w:p>
            <w:pPr>
              <w:spacing w:after="0"/>
              <w:rPr>
                <w:sz w:val="19"/>
                <w:szCs w:val="19"/>
                <w:color w:val="auto"/>
              </w:rPr>
            </w:pPr>
          </w:p>
        </w:tc>
        <w:tc>
          <w:tcPr>
            <w:tcW w:w="61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Distributions to Series A preferred unitholders</w:t>
            </w:r>
          </w:p>
        </w:tc>
        <w:tc>
          <w:tcPr>
            <w:tcW w:w="78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(129)</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(112)</w:t>
            </w:r>
          </w:p>
        </w:tc>
      </w:tr>
      <w:tr>
        <w:trPr>
          <w:trHeight w:val="229"/>
        </w:trPr>
        <w:tc>
          <w:tcPr>
            <w:tcW w:w="20" w:type="dxa"/>
            <w:vAlign w:val="bottom"/>
          </w:tcPr>
          <w:p>
            <w:pPr>
              <w:spacing w:after="0"/>
              <w:rPr>
                <w:sz w:val="19"/>
                <w:szCs w:val="19"/>
                <w:color w:val="auto"/>
              </w:rPr>
            </w:pPr>
          </w:p>
        </w:tc>
        <w:tc>
          <w:tcPr>
            <w:tcW w:w="6140" w:type="dxa"/>
            <w:vAlign w:val="bottom"/>
            <w:gridSpan w:val="2"/>
          </w:tcPr>
          <w:p>
            <w:pPr>
              <w:ind w:left="180"/>
              <w:spacing w:after="0"/>
              <w:rPr>
                <w:sz w:val="20"/>
                <w:szCs w:val="20"/>
                <w:color w:val="auto"/>
              </w:rPr>
            </w:pPr>
            <w:r>
              <w:rPr>
                <w:rFonts w:ascii="Arial" w:cs="Arial" w:eastAsia="Arial" w:hAnsi="Arial"/>
                <w:sz w:val="18"/>
                <w:szCs w:val="18"/>
                <w:color w:val="auto"/>
              </w:rPr>
              <w:t>Distributions to Series B preferred unitholders</w:t>
            </w:r>
          </w:p>
        </w:tc>
        <w:tc>
          <w:tcPr>
            <w:tcW w:w="7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30"/>
        </w:trPr>
        <w:tc>
          <w:tcPr>
            <w:tcW w:w="20" w:type="dxa"/>
            <w:vAlign w:val="bottom"/>
          </w:tcPr>
          <w:p>
            <w:pPr>
              <w:spacing w:after="0"/>
              <w:rPr>
                <w:sz w:val="19"/>
                <w:szCs w:val="19"/>
                <w:color w:val="auto"/>
              </w:rPr>
            </w:pPr>
          </w:p>
        </w:tc>
        <w:tc>
          <w:tcPr>
            <w:tcW w:w="61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Amounts allocated to participating securities</w:t>
            </w:r>
          </w:p>
        </w:tc>
        <w:tc>
          <w:tcPr>
            <w:tcW w:w="78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29"/>
        </w:trPr>
        <w:tc>
          <w:tcPr>
            <w:tcW w:w="20" w:type="dxa"/>
            <w:vAlign w:val="bottom"/>
          </w:tcPr>
          <w:p>
            <w:pPr>
              <w:spacing w:after="0"/>
              <w:rPr>
                <w:sz w:val="19"/>
                <w:szCs w:val="19"/>
                <w:color w:val="auto"/>
              </w:rPr>
            </w:pPr>
          </w:p>
        </w:tc>
        <w:tc>
          <w:tcPr>
            <w:tcW w:w="6140" w:type="dxa"/>
            <w:vAlign w:val="bottom"/>
            <w:gridSpan w:val="2"/>
          </w:tcPr>
          <w:p>
            <w:pPr>
              <w:ind w:left="180"/>
              <w:spacing w:after="0"/>
              <w:rPr>
                <w:sz w:val="20"/>
                <w:szCs w:val="20"/>
                <w:color w:val="auto"/>
              </w:rPr>
            </w:pPr>
            <w:r>
              <w:rPr>
                <w:rFonts w:ascii="Arial" w:cs="Arial" w:eastAsia="Arial" w:hAnsi="Arial"/>
                <w:sz w:val="18"/>
                <w:szCs w:val="18"/>
                <w:color w:val="auto"/>
              </w:rPr>
              <w:t>Other</w:t>
            </w:r>
          </w:p>
        </w:tc>
        <w:tc>
          <w:tcPr>
            <w:tcW w:w="7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20" w:type="dxa"/>
            <w:vAlign w:val="bottom"/>
          </w:tcPr>
          <w:p>
            <w:pPr>
              <w:spacing w:after="0"/>
              <w:rPr>
                <w:sz w:val="21"/>
                <w:szCs w:val="21"/>
                <w:color w:val="auto"/>
              </w:rPr>
            </w:pPr>
          </w:p>
        </w:tc>
        <w:tc>
          <w:tcPr>
            <w:tcW w:w="614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income allocated to common unitholders</w:t>
            </w:r>
          </w:p>
        </w:tc>
        <w:tc>
          <w:tcPr>
            <w:tcW w:w="780" w:type="dxa"/>
            <w:vAlign w:val="bottom"/>
            <w:tcBorders>
              <w:top w:val="single" w:sz="8" w:color="auto"/>
              <w:bottom w:val="single" w:sz="8" w:color="auto"/>
            </w:tcBorders>
            <w:shd w:val="clear" w:color="auto" w:fill="CCEEFF"/>
          </w:tcPr>
          <w:p>
            <w:pPr>
              <w:jc w:val="right"/>
              <w:ind w:right="597"/>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auto"/>
            </w:tcBorders>
            <w:shd w:val="clear" w:color="auto" w:fill="CCEEFF"/>
          </w:tcPr>
          <w:p>
            <w:pPr>
              <w:jc w:val="right"/>
              <w:ind w:right="595"/>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760" w:type="dxa"/>
            <w:vAlign w:val="bottom"/>
            <w:tcBorders>
              <w:top w:val="single" w:sz="8" w:color="auto"/>
              <w:bottom w:val="single" w:sz="8" w:color="auto"/>
            </w:tcBorders>
            <w:shd w:val="clear" w:color="auto" w:fill="CCEEFF"/>
          </w:tcPr>
          <w:p>
            <w:pPr>
              <w:jc w:val="right"/>
              <w:ind w:right="557"/>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740" w:type="dxa"/>
            <w:vAlign w:val="bottom"/>
            <w:tcBorders>
              <w:top w:val="single" w:sz="8" w:color="auto"/>
              <w:bottom w:val="single" w:sz="8" w:color="auto"/>
            </w:tcBorders>
            <w:shd w:val="clear" w:color="auto" w:fill="CCEEFF"/>
          </w:tcPr>
          <w:p>
            <w:pPr>
              <w:jc w:val="right"/>
              <w:ind w:right="555"/>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621</w:t>
            </w:r>
          </w:p>
        </w:tc>
      </w:tr>
      <w:tr>
        <w:trPr>
          <w:trHeight w:val="20"/>
        </w:trPr>
        <w:tc>
          <w:tcPr>
            <w:tcW w:w="20" w:type="dxa"/>
            <w:vAlign w:val="bottom"/>
          </w:tcPr>
          <w:p>
            <w:pPr>
              <w:spacing w:after="0" w:line="20" w:lineRule="exact"/>
              <w:rPr>
                <w:sz w:val="1"/>
                <w:szCs w:val="1"/>
                <w:color w:val="auto"/>
              </w:rPr>
            </w:pPr>
          </w:p>
        </w:tc>
        <w:tc>
          <w:tcPr>
            <w:tcW w:w="3860" w:type="dxa"/>
            <w:vAlign w:val="bottom"/>
            <w:tcBorders>
              <w:top w:val="single" w:sz="8" w:color="CCEEFF"/>
            </w:tcBorders>
          </w:tcPr>
          <w:p>
            <w:pPr>
              <w:spacing w:after="0" w:line="20" w:lineRule="exact"/>
              <w:rPr>
                <w:sz w:val="1"/>
                <w:szCs w:val="1"/>
                <w:color w:val="auto"/>
              </w:rPr>
            </w:pPr>
          </w:p>
        </w:tc>
        <w:tc>
          <w:tcPr>
            <w:tcW w:w="22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386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229"/>
        </w:trPr>
        <w:tc>
          <w:tcPr>
            <w:tcW w:w="20" w:type="dxa"/>
            <w:vAlign w:val="bottom"/>
          </w:tcPr>
          <w:p>
            <w:pPr>
              <w:spacing w:after="0"/>
              <w:rPr>
                <w:sz w:val="19"/>
                <w:szCs w:val="19"/>
                <w:color w:val="auto"/>
              </w:rPr>
            </w:pPr>
          </w:p>
        </w:tc>
        <w:tc>
          <w:tcPr>
            <w:tcW w:w="614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Basic and diluted weighted average common units outstanding </w:t>
            </w:r>
            <w:r>
              <w:rPr>
                <w:rFonts w:ascii="Arial" w:cs="Arial" w:eastAsia="Arial" w:hAnsi="Arial"/>
                <w:sz w:val="23"/>
                <w:szCs w:val="23"/>
                <w:color w:val="auto"/>
                <w:vertAlign w:val="superscript"/>
              </w:rPr>
              <w:t>(2) (3)</w:t>
            </w:r>
          </w:p>
        </w:tc>
        <w:tc>
          <w:tcPr>
            <w:tcW w:w="78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698</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w:t>
            </w:r>
          </w:p>
        </w:tc>
      </w:tr>
      <w:tr>
        <w:trPr>
          <w:trHeight w:val="257"/>
        </w:trPr>
        <w:tc>
          <w:tcPr>
            <w:tcW w:w="20" w:type="dxa"/>
            <w:vAlign w:val="bottom"/>
          </w:tcPr>
          <w:p>
            <w:pPr>
              <w:spacing w:after="0"/>
              <w:rPr>
                <w:sz w:val="22"/>
                <w:szCs w:val="22"/>
                <w:color w:val="auto"/>
              </w:rPr>
            </w:pPr>
          </w:p>
        </w:tc>
        <w:tc>
          <w:tcPr>
            <w:tcW w:w="3860" w:type="dxa"/>
            <w:vAlign w:val="bottom"/>
          </w:tcPr>
          <w:p>
            <w:pPr>
              <w:spacing w:after="0"/>
              <w:rPr>
                <w:sz w:val="22"/>
                <w:szCs w:val="22"/>
                <w:color w:val="auto"/>
              </w:rPr>
            </w:pPr>
          </w:p>
        </w:tc>
        <w:tc>
          <w:tcPr>
            <w:tcW w:w="22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20" w:type="dxa"/>
            <w:vAlign w:val="bottom"/>
          </w:tcPr>
          <w:p>
            <w:pPr>
              <w:spacing w:after="0"/>
              <w:rPr>
                <w:sz w:val="22"/>
                <w:szCs w:val="22"/>
                <w:color w:val="auto"/>
              </w:rPr>
            </w:pPr>
          </w:p>
        </w:tc>
      </w:tr>
      <w:tr>
        <w:trPr>
          <w:trHeight w:val="254"/>
        </w:trPr>
        <w:tc>
          <w:tcPr>
            <w:tcW w:w="20" w:type="dxa"/>
            <w:vAlign w:val="bottom"/>
          </w:tcPr>
          <w:p>
            <w:pPr>
              <w:spacing w:after="0"/>
              <w:rPr>
                <w:sz w:val="21"/>
                <w:szCs w:val="21"/>
                <w:color w:val="auto"/>
              </w:rPr>
            </w:pPr>
          </w:p>
        </w:tc>
        <w:tc>
          <w:tcPr>
            <w:tcW w:w="61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Basic and diluted net income per common unit</w:t>
            </w:r>
          </w:p>
        </w:tc>
        <w:tc>
          <w:tcPr>
            <w:tcW w:w="780" w:type="dxa"/>
            <w:vAlign w:val="bottom"/>
            <w:tcBorders>
              <w:bottom w:val="single" w:sz="8" w:color="auto"/>
            </w:tcBorders>
            <w:shd w:val="clear" w:color="auto" w:fill="CCEEFF"/>
          </w:tcPr>
          <w:p>
            <w:pPr>
              <w:jc w:val="right"/>
              <w:ind w:right="597"/>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0.20</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595"/>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0.48</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ind w:right="557"/>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1.04</w:t>
            </w: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ind w:right="555"/>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0.89</w:t>
            </w:r>
          </w:p>
        </w:tc>
      </w:tr>
      <w:tr>
        <w:trPr>
          <w:trHeight w:val="20"/>
        </w:trPr>
        <w:tc>
          <w:tcPr>
            <w:tcW w:w="20" w:type="dxa"/>
            <w:vAlign w:val="bottom"/>
          </w:tcPr>
          <w:p>
            <w:pPr>
              <w:spacing w:after="0" w:line="20" w:lineRule="exact"/>
              <w:rPr>
                <w:sz w:val="1"/>
                <w:szCs w:val="1"/>
                <w:color w:val="auto"/>
              </w:rPr>
            </w:pPr>
          </w:p>
        </w:tc>
        <w:tc>
          <w:tcPr>
            <w:tcW w:w="3860" w:type="dxa"/>
            <w:vAlign w:val="bottom"/>
            <w:tcBorders>
              <w:top w:val="single" w:sz="8" w:color="CCEEFF"/>
            </w:tcBorders>
          </w:tcPr>
          <w:p>
            <w:pPr>
              <w:spacing w:after="0" w:line="20" w:lineRule="exact"/>
              <w:rPr>
                <w:sz w:val="1"/>
                <w:szCs w:val="1"/>
                <w:color w:val="auto"/>
              </w:rPr>
            </w:pPr>
          </w:p>
        </w:tc>
        <w:tc>
          <w:tcPr>
            <w:tcW w:w="22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r>
      <w:tr>
        <w:trPr>
          <w:trHeight w:val="109"/>
        </w:trPr>
        <w:tc>
          <w:tcPr>
            <w:tcW w:w="20" w:type="dxa"/>
            <w:vAlign w:val="bottom"/>
            <w:tcBorders>
              <w:bottom w:val="single" w:sz="8" w:color="auto"/>
            </w:tcBorders>
          </w:tcPr>
          <w:p>
            <w:pPr>
              <w:spacing w:after="0"/>
              <w:rPr>
                <w:sz w:val="9"/>
                <w:szCs w:val="9"/>
                <w:color w:val="auto"/>
              </w:rPr>
            </w:pPr>
          </w:p>
        </w:tc>
        <w:tc>
          <w:tcPr>
            <w:tcW w:w="3860" w:type="dxa"/>
            <w:vAlign w:val="bottom"/>
            <w:tcBorders>
              <w:bottom w:val="single" w:sz="8" w:color="auto"/>
            </w:tcBorders>
          </w:tcPr>
          <w:p>
            <w:pPr>
              <w:spacing w:after="0"/>
              <w:rPr>
                <w:sz w:val="9"/>
                <w:szCs w:val="9"/>
                <w:color w:val="auto"/>
              </w:rPr>
            </w:pPr>
          </w:p>
        </w:tc>
        <w:tc>
          <w:tcPr>
            <w:tcW w:w="2280" w:type="dxa"/>
            <w:vAlign w:val="bottom"/>
          </w:tcPr>
          <w:p>
            <w:pPr>
              <w:spacing w:after="0"/>
              <w:rPr>
                <w:sz w:val="9"/>
                <w:szCs w:val="9"/>
                <w:color w:val="auto"/>
              </w:rPr>
            </w:pPr>
          </w:p>
        </w:tc>
        <w:tc>
          <w:tcPr>
            <w:tcW w:w="7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420" w:type="dxa"/>
            <w:vAlign w:val="bottom"/>
          </w:tcPr>
          <w:p>
            <w:pPr>
              <w:spacing w:after="0"/>
              <w:rPr>
                <w:sz w:val="9"/>
                <w:szCs w:val="9"/>
                <w:color w:val="auto"/>
              </w:rPr>
            </w:pPr>
          </w:p>
        </w:tc>
      </w:tr>
    </w:tbl>
    <w:p>
      <w:pPr>
        <w:spacing w:after="0" w:line="134" w:lineRule="exact"/>
        <w:rPr>
          <w:sz w:val="20"/>
          <w:szCs w:val="20"/>
          <w:color w:val="auto"/>
        </w:rPr>
      </w:pPr>
    </w:p>
    <w:p>
      <w:pPr>
        <w:ind w:left="340" w:right="180" w:hanging="332"/>
        <w:spacing w:after="0" w:line="238" w:lineRule="auto"/>
        <w:tabs>
          <w:tab w:leader="none" w:pos="328" w:val="left"/>
        </w:tabs>
        <w:numPr>
          <w:ilvl w:val="0"/>
          <w:numId w:val="8"/>
        </w:numPr>
        <w:rPr>
          <w:rFonts w:ascii="Arial" w:cs="Arial" w:eastAsia="Arial" w:hAnsi="Arial"/>
          <w:sz w:val="23"/>
          <w:szCs w:val="23"/>
          <w:color w:val="auto"/>
          <w:vertAlign w:val="superscript"/>
        </w:rPr>
      </w:pPr>
      <w:r>
        <w:rPr>
          <w:rFonts w:ascii="Arial" w:cs="Arial" w:eastAsia="Arial" w:hAnsi="Arial"/>
          <w:sz w:val="18"/>
          <w:szCs w:val="18"/>
          <w:color w:val="auto"/>
        </w:rPr>
        <w:t>We calculate net income allocated to common unitholders based on the distributions pertaining to the current period’s net income. After adjusting for the appropriate period’s distributions, the remaining undistributed earnings or excess distributions over earnings, if any, are allocated to the common unitholders and participating securities in accordance with the contractual terms of our partnership agreement in effect for the period and as further prescribed under the two-class method.</w:t>
      </w:r>
    </w:p>
    <w:p>
      <w:pPr>
        <w:spacing w:after="0" w:line="39" w:lineRule="exact"/>
        <w:rPr>
          <w:rFonts w:ascii="Arial" w:cs="Arial" w:eastAsia="Arial" w:hAnsi="Arial"/>
          <w:sz w:val="23"/>
          <w:szCs w:val="23"/>
          <w:color w:val="auto"/>
          <w:vertAlign w:val="superscript"/>
        </w:rPr>
      </w:pPr>
    </w:p>
    <w:p>
      <w:pPr>
        <w:ind w:left="340" w:right="60" w:hanging="332"/>
        <w:spacing w:after="0" w:line="227" w:lineRule="auto"/>
        <w:tabs>
          <w:tab w:leader="none" w:pos="328" w:val="left"/>
        </w:tabs>
        <w:numPr>
          <w:ilvl w:val="0"/>
          <w:numId w:val="8"/>
        </w:numPr>
        <w:rPr>
          <w:rFonts w:ascii="Arial" w:cs="Arial" w:eastAsia="Arial" w:hAnsi="Arial"/>
          <w:sz w:val="23"/>
          <w:szCs w:val="23"/>
          <w:color w:val="auto"/>
          <w:vertAlign w:val="superscript"/>
        </w:rPr>
      </w:pPr>
      <w:r>
        <w:rPr>
          <w:rFonts w:ascii="Arial" w:cs="Arial" w:eastAsia="Arial" w:hAnsi="Arial"/>
          <w:sz w:val="18"/>
          <w:szCs w:val="18"/>
          <w:color w:val="auto"/>
        </w:rPr>
        <w:t>The possible conversion of our Series A preferred units was excluded from the calculation of diluted net income per common unit for each of the three and nine months ended September 30, 2023 and 2022 as the effect was antidilutive.</w:t>
      </w:r>
    </w:p>
    <w:p>
      <w:pPr>
        <w:spacing w:after="0" w:line="40" w:lineRule="exact"/>
        <w:rPr>
          <w:rFonts w:ascii="Arial" w:cs="Arial" w:eastAsia="Arial" w:hAnsi="Arial"/>
          <w:sz w:val="23"/>
          <w:szCs w:val="23"/>
          <w:color w:val="auto"/>
          <w:vertAlign w:val="superscript"/>
        </w:rPr>
      </w:pPr>
    </w:p>
    <w:p>
      <w:pPr>
        <w:ind w:left="340" w:right="260" w:hanging="332"/>
        <w:spacing w:after="0" w:line="238" w:lineRule="auto"/>
        <w:tabs>
          <w:tab w:leader="none" w:pos="328" w:val="left"/>
        </w:tabs>
        <w:numPr>
          <w:ilvl w:val="0"/>
          <w:numId w:val="8"/>
        </w:numPr>
        <w:rPr>
          <w:rFonts w:ascii="Arial" w:cs="Arial" w:eastAsia="Arial" w:hAnsi="Arial"/>
          <w:sz w:val="23"/>
          <w:szCs w:val="23"/>
          <w:color w:val="auto"/>
          <w:vertAlign w:val="superscript"/>
        </w:rPr>
      </w:pPr>
      <w:r>
        <w:rPr>
          <w:rFonts w:ascii="Arial" w:cs="Arial" w:eastAsia="Arial" w:hAnsi="Arial"/>
          <w:sz w:val="18"/>
          <w:szCs w:val="18"/>
          <w:color w:val="auto"/>
        </w:rPr>
        <w:t>Our equity-indexed compensation plan awards that contemplate the issuance of common units are considered dilutive unless (i) they become vested only upon the satisfaction of a performance condition and (ii) that performance condition has yet to be satisfied. Equity-indexed compensation plan awards that are deemed to be dilutive are reduced by a hypothetical common unit repurchase based on the remaining unamortized fair value, as prescribed by the treasury stock method in guidance issued by the FASB.</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100330</wp:posOffset>
            </wp:positionV>
            <wp:extent cx="711517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55" w:lineRule="exact"/>
        <w:rPr>
          <w:sz w:val="20"/>
          <w:szCs w:val="20"/>
          <w:color w:val="auto"/>
        </w:rPr>
      </w:pPr>
    </w:p>
    <w:p>
      <w:pPr>
        <w:ind w:left="1660"/>
        <w:spacing w:after="0"/>
        <w:tabs>
          <w:tab w:leader="none" w:pos="4760" w:val="left"/>
          <w:tab w:leader="none" w:pos="74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220"/>
          </w:cols>
          <w:pgMar w:left="320" w:top="368" w:right="35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auto"/>
        </w:rPr>
        <w:t>Page 8</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1517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CONDENSED CONSOLIDATED CASH FLOW DATA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pacing w:after="0" w:line="17" w:lineRule="exact"/>
        <w:rPr>
          <w:sz w:val="20"/>
          <w:szCs w:val="20"/>
          <w:color w:val="auto"/>
        </w:rPr>
      </w:pPr>
    </w:p>
    <w:p>
      <w:pPr>
        <w:jc w:val="center"/>
        <w:ind w:left="8660"/>
        <w:spacing w:after="0"/>
        <w:rPr>
          <w:sz w:val="20"/>
          <w:szCs w:val="20"/>
          <w:color w:val="auto"/>
        </w:rPr>
      </w:pPr>
      <w:r>
        <w:rPr>
          <w:rFonts w:ascii="Arial" w:cs="Arial" w:eastAsia="Arial" w:hAnsi="Arial"/>
          <w:sz w:val="14"/>
          <w:szCs w:val="14"/>
          <w:b w:val="1"/>
          <w:bCs w:val="1"/>
          <w:color w:val="auto"/>
        </w:rPr>
        <w:t>Nine Months Ended</w:t>
      </w:r>
    </w:p>
    <w:p>
      <w:pPr>
        <w:jc w:val="center"/>
        <w:ind w:left="8660"/>
        <w:spacing w:after="0"/>
        <w:rPr>
          <w:sz w:val="20"/>
          <w:szCs w:val="20"/>
          <w:color w:val="auto"/>
        </w:rPr>
      </w:pPr>
      <w:r>
        <w:rPr>
          <w:rFonts w:ascii="Arial" w:cs="Arial" w:eastAsia="Arial" w:hAnsi="Arial"/>
          <w:sz w:val="14"/>
          <w:szCs w:val="14"/>
          <w:b w:val="1"/>
          <w:bCs w:val="1"/>
          <w:color w:val="auto"/>
        </w:rPr>
        <w:t>September 30,</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70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top w:val="single" w:sz="8" w:color="auto"/>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2022</w:t>
            </w:r>
          </w:p>
        </w:tc>
      </w:tr>
      <w:tr>
        <w:trPr>
          <w:trHeight w:val="216"/>
        </w:trPr>
        <w:tc>
          <w:tcPr>
            <w:tcW w:w="87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29"/>
        </w:trPr>
        <w:tc>
          <w:tcPr>
            <w:tcW w:w="870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1,103</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918</w:t>
            </w:r>
          </w:p>
        </w:tc>
      </w:tr>
      <w:tr>
        <w:trPr>
          <w:trHeight w:val="230"/>
        </w:trPr>
        <w:tc>
          <w:tcPr>
            <w:tcW w:w="8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Reconciliation of net income to net cash provided by operating activities: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29"/>
        </w:trPr>
        <w:tc>
          <w:tcPr>
            <w:tcW w:w="8700" w:type="dxa"/>
            <w:vAlign w:val="bottom"/>
          </w:tcPr>
          <w:p>
            <w:pPr>
              <w:ind w:left="140"/>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776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711</w:t>
            </w:r>
          </w:p>
        </w:tc>
      </w:tr>
      <w:tr>
        <w:trPr>
          <w:trHeight w:val="229"/>
        </w:trPr>
        <w:tc>
          <w:tcPr>
            <w:tcW w:w="8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Gains on asset sales and asset impairments, net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r>
      <w:tr>
        <w:trPr>
          <w:trHeight w:val="230"/>
        </w:trPr>
        <w:tc>
          <w:tcPr>
            <w:tcW w:w="8700" w:type="dxa"/>
            <w:vAlign w:val="bottom"/>
          </w:tcPr>
          <w:p>
            <w:pPr>
              <w:ind w:left="140"/>
              <w:spacing w:after="0"/>
              <w:rPr>
                <w:sz w:val="20"/>
                <w:szCs w:val="20"/>
                <w:color w:val="auto"/>
              </w:rPr>
            </w:pPr>
            <w:r>
              <w:rPr>
                <w:rFonts w:ascii="Arial" w:cs="Arial" w:eastAsia="Arial" w:hAnsi="Arial"/>
                <w:sz w:val="18"/>
                <w:szCs w:val="18"/>
                <w:color w:val="auto"/>
              </w:rPr>
              <w:t>Deferred income tax expense/(benefit)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117</w:t>
            </w:r>
          </w:p>
        </w:tc>
      </w:tr>
      <w:tr>
        <w:trPr>
          <w:trHeight w:val="229"/>
        </w:trPr>
        <w:tc>
          <w:tcPr>
            <w:tcW w:w="8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Equity earnings in unconsolidated entities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w:t>
            </w:r>
          </w:p>
        </w:tc>
      </w:tr>
      <w:tr>
        <w:trPr>
          <w:trHeight w:val="230"/>
        </w:trPr>
        <w:tc>
          <w:tcPr>
            <w:tcW w:w="8700" w:type="dxa"/>
            <w:vAlign w:val="bottom"/>
          </w:tcPr>
          <w:p>
            <w:pPr>
              <w:ind w:left="140"/>
              <w:spacing w:after="0"/>
              <w:rPr>
                <w:sz w:val="20"/>
                <w:szCs w:val="20"/>
                <w:color w:val="auto"/>
              </w:rPr>
            </w:pPr>
            <w:r>
              <w:rPr>
                <w:rFonts w:ascii="Arial" w:cs="Arial" w:eastAsia="Arial" w:hAnsi="Arial"/>
                <w:sz w:val="18"/>
                <w:szCs w:val="18"/>
                <w:color w:val="auto"/>
              </w:rPr>
              <w:t>Distributions on earnings from unconsolidated entities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351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344</w:t>
            </w:r>
          </w:p>
        </w:tc>
      </w:tr>
      <w:tr>
        <w:trPr>
          <w:trHeight w:val="229"/>
        </w:trPr>
        <w:tc>
          <w:tcPr>
            <w:tcW w:w="8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w:t>
            </w:r>
          </w:p>
        </w:tc>
      </w:tr>
      <w:tr>
        <w:trPr>
          <w:trHeight w:val="229"/>
        </w:trPr>
        <w:tc>
          <w:tcPr>
            <w:tcW w:w="87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Changes in assets and liabilities, net of acquisitions</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r>
      <w:tr>
        <w:trPr>
          <w:trHeight w:val="223"/>
        </w:trPr>
        <w:tc>
          <w:tcPr>
            <w:tcW w:w="87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Net cash provided by operating activities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2,074</w:t>
            </w:r>
          </w:p>
        </w:tc>
      </w:tr>
      <w:tr>
        <w:trPr>
          <w:trHeight w:val="216"/>
        </w:trPr>
        <w:tc>
          <w:tcPr>
            <w:tcW w:w="8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29"/>
        </w:trPr>
        <w:tc>
          <w:tcPr>
            <w:tcW w:w="87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30"/>
        </w:trPr>
        <w:tc>
          <w:tcPr>
            <w:tcW w:w="8700" w:type="dxa"/>
            <w:vAlign w:val="bottom"/>
          </w:tcPr>
          <w:p>
            <w:pPr>
              <w:ind w:left="140"/>
              <w:spacing w:after="0"/>
              <w:rPr>
                <w:sz w:val="20"/>
                <w:szCs w:val="20"/>
                <w:color w:val="auto"/>
              </w:rPr>
            </w:pPr>
            <w:r>
              <w:rPr>
                <w:rFonts w:ascii="Arial" w:cs="Arial" w:eastAsia="Arial" w:hAnsi="Arial"/>
                <w:sz w:val="18"/>
                <w:szCs w:val="18"/>
                <w:color w:val="auto"/>
              </w:rPr>
              <w:t>Net cash used in investing activities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(444)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(291)</w:t>
            </w:r>
          </w:p>
        </w:tc>
      </w:tr>
      <w:tr>
        <w:trPr>
          <w:trHeight w:val="216"/>
        </w:trPr>
        <w:tc>
          <w:tcPr>
            <w:tcW w:w="8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29"/>
        </w:trPr>
        <w:tc>
          <w:tcPr>
            <w:tcW w:w="8700" w:type="dxa"/>
            <w:vAlign w:val="bottom"/>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0"/>
        </w:trPr>
        <w:tc>
          <w:tcPr>
            <w:tcW w:w="8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cash used in financing activities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(1,608)</w:t>
            </w:r>
          </w:p>
        </w:tc>
      </w:tr>
      <w:tr>
        <w:trPr>
          <w:trHeight w:val="216"/>
        </w:trPr>
        <w:tc>
          <w:tcPr>
            <w:tcW w:w="8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30"/>
        </w:trPr>
        <w:tc>
          <w:tcPr>
            <w:tcW w:w="8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Effect of translation adjustment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8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30"/>
        </w:trPr>
        <w:tc>
          <w:tcPr>
            <w:tcW w:w="8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increase/(decrease) in cash and cash equivalents and restricted cash</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r>
      <w:tr>
        <w:trPr>
          <w:trHeight w:val="216"/>
        </w:trPr>
        <w:tc>
          <w:tcPr>
            <w:tcW w:w="8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30"/>
        </w:trPr>
        <w:tc>
          <w:tcPr>
            <w:tcW w:w="8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 and restricted cash, beginning of period</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453</w:t>
            </w:r>
          </w:p>
        </w:tc>
      </w:tr>
      <w:tr>
        <w:trPr>
          <w:trHeight w:val="223"/>
        </w:trPr>
        <w:tc>
          <w:tcPr>
            <w:tcW w:w="8700" w:type="dxa"/>
            <w:vAlign w:val="bottom"/>
          </w:tcPr>
          <w:p>
            <w:pPr>
              <w:ind w:left="20"/>
              <w:spacing w:after="0"/>
              <w:rPr>
                <w:sz w:val="20"/>
                <w:szCs w:val="20"/>
                <w:color w:val="auto"/>
              </w:rPr>
            </w:pPr>
            <w:r>
              <w:rPr>
                <w:rFonts w:ascii="Arial" w:cs="Arial" w:eastAsia="Arial" w:hAnsi="Arial"/>
                <w:sz w:val="18"/>
                <w:szCs w:val="18"/>
                <w:color w:val="auto"/>
              </w:rPr>
              <w:t>Cash and cash equivalents and restricted cash, end of period</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623</w:t>
            </w:r>
          </w:p>
        </w:tc>
      </w:tr>
      <w:tr>
        <w:trPr>
          <w:trHeight w:val="20"/>
        </w:trPr>
        <w:tc>
          <w:tcPr>
            <w:tcW w:w="87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CAPITAL EXPENDITURES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20" w:type="dxa"/>
            <w:vAlign w:val="bottom"/>
            <w:gridSpan w:val="5"/>
          </w:tcPr>
          <w:p>
            <w:pPr>
              <w:ind w:left="280"/>
              <w:spacing w:after="0"/>
              <w:rPr>
                <w:sz w:val="20"/>
                <w:szCs w:val="20"/>
                <w:color w:val="auto"/>
              </w:rPr>
            </w:pPr>
            <w:r>
              <w:rPr>
                <w:rFonts w:ascii="Arial" w:cs="Arial" w:eastAsia="Arial" w:hAnsi="Arial"/>
                <w:sz w:val="14"/>
                <w:szCs w:val="14"/>
                <w:b w:val="1"/>
                <w:bCs w:val="1"/>
                <w:color w:val="auto"/>
              </w:rPr>
              <w:t xml:space="preserve">Net to PAA </w:t>
            </w:r>
            <w:r>
              <w:rPr>
                <w:rFonts w:ascii="Arial" w:cs="Arial" w:eastAsia="Arial" w:hAnsi="Arial"/>
                <w:sz w:val="9"/>
                <w:szCs w:val="9"/>
                <w:b w:val="1"/>
                <w:bCs w:val="1"/>
                <w:color w:val="auto"/>
              </w:rPr>
              <w:t>(1)</w:t>
            </w: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20" w:type="dxa"/>
            <w:vAlign w:val="bottom"/>
            <w:gridSpan w:val="5"/>
          </w:tcPr>
          <w:p>
            <w:pPr>
              <w:ind w:left="300"/>
              <w:spacing w:after="0"/>
              <w:rPr>
                <w:sz w:val="20"/>
                <w:szCs w:val="20"/>
                <w:color w:val="auto"/>
              </w:rPr>
            </w:pPr>
            <w:r>
              <w:rPr>
                <w:rFonts w:ascii="Arial" w:cs="Arial" w:eastAsia="Arial" w:hAnsi="Arial"/>
                <w:sz w:val="14"/>
                <w:szCs w:val="14"/>
                <w:b w:val="1"/>
                <w:bCs w:val="1"/>
                <w:color w:val="auto"/>
              </w:rPr>
              <w:t>Consolidated</w:t>
            </w: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25"/>
        </w:trPr>
        <w:tc>
          <w:tcPr>
            <w:tcW w:w="3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60" w:type="dxa"/>
            <w:vAlign w:val="bottom"/>
            <w:gridSpan w:val="5"/>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gridSpan w:val="5"/>
          </w:tcPr>
          <w:p>
            <w:pPr>
              <w:spacing w:after="0"/>
              <w:rPr>
                <w:sz w:val="2"/>
                <w:szCs w:val="2"/>
                <w:color w:val="auto"/>
              </w:rPr>
            </w:pPr>
          </w:p>
        </w:tc>
        <w:tc>
          <w:tcPr>
            <w:tcW w:w="180" w:type="dxa"/>
            <w:vAlign w:val="bottom"/>
          </w:tcPr>
          <w:p>
            <w:pPr>
              <w:spacing w:after="0"/>
              <w:rPr>
                <w:sz w:val="2"/>
                <w:szCs w:val="2"/>
                <w:color w:val="auto"/>
              </w:rPr>
            </w:pPr>
          </w:p>
        </w:tc>
        <w:tc>
          <w:tcPr>
            <w:tcW w:w="1740" w:type="dxa"/>
            <w:vAlign w:val="bottom"/>
            <w:gridSpan w:val="5"/>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gridSpan w:val="4"/>
          </w:tcPr>
          <w:p>
            <w:pPr>
              <w:spacing w:after="0"/>
              <w:rPr>
                <w:sz w:val="2"/>
                <w:szCs w:val="2"/>
                <w:color w:val="auto"/>
              </w:rPr>
            </w:pPr>
          </w:p>
        </w:tc>
      </w:tr>
      <w:tr>
        <w:trPr>
          <w:trHeight w:val="133"/>
        </w:trPr>
        <w:tc>
          <w:tcPr>
            <w:tcW w:w="352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740" w:type="dxa"/>
            <w:vAlign w:val="bottom"/>
            <w:tcBorders>
              <w:top w:val="single" w:sz="8" w:color="auto"/>
            </w:tcBorders>
            <w:gridSpan w:val="6"/>
          </w:tcPr>
          <w:p>
            <w:pPr>
              <w:jc w:val="center"/>
              <w:ind w:right="280"/>
              <w:spacing w:after="0" w:line="133" w:lineRule="exact"/>
              <w:rPr>
                <w:sz w:val="20"/>
                <w:szCs w:val="20"/>
                <w:color w:val="auto"/>
              </w:rPr>
            </w:pPr>
            <w:r>
              <w:rPr>
                <w:rFonts w:ascii="Arial" w:cs="Arial" w:eastAsia="Arial" w:hAnsi="Arial"/>
                <w:sz w:val="14"/>
                <w:szCs w:val="14"/>
                <w:b w:val="1"/>
                <w:bCs w:val="1"/>
                <w:color w:val="auto"/>
                <w:w w:val="93"/>
              </w:rPr>
              <w:t>Three Months Ended</w:t>
            </w:r>
          </w:p>
        </w:tc>
        <w:tc>
          <w:tcPr>
            <w:tcW w:w="200" w:type="dxa"/>
            <w:vAlign w:val="bottom"/>
            <w:tcBorders>
              <w:top w:val="single" w:sz="8" w:color="auto"/>
            </w:tcBorders>
          </w:tcPr>
          <w:p>
            <w:pPr>
              <w:spacing w:after="0"/>
              <w:rPr>
                <w:sz w:val="11"/>
                <w:szCs w:val="11"/>
                <w:color w:val="auto"/>
              </w:rPr>
            </w:pPr>
          </w:p>
        </w:tc>
        <w:tc>
          <w:tcPr>
            <w:tcW w:w="1620" w:type="dxa"/>
            <w:vAlign w:val="bottom"/>
            <w:tcBorders>
              <w:top w:val="single" w:sz="8" w:color="auto"/>
            </w:tcBorders>
            <w:gridSpan w:val="4"/>
          </w:tcPr>
          <w:p>
            <w:pPr>
              <w:jc w:val="center"/>
              <w:ind w:right="113"/>
              <w:spacing w:after="0" w:line="133" w:lineRule="exact"/>
              <w:rPr>
                <w:sz w:val="20"/>
                <w:szCs w:val="20"/>
                <w:color w:val="auto"/>
              </w:rPr>
            </w:pPr>
            <w:r>
              <w:rPr>
                <w:rFonts w:ascii="Arial" w:cs="Arial" w:eastAsia="Arial" w:hAnsi="Arial"/>
                <w:sz w:val="14"/>
                <w:szCs w:val="14"/>
                <w:b w:val="1"/>
                <w:bCs w:val="1"/>
                <w:color w:val="auto"/>
                <w:w w:val="93"/>
              </w:rPr>
              <w:t>Nine Months Ended</w:t>
            </w:r>
          </w:p>
        </w:tc>
        <w:tc>
          <w:tcPr>
            <w:tcW w:w="24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740" w:type="dxa"/>
            <w:vAlign w:val="bottom"/>
            <w:tcBorders>
              <w:top w:val="single" w:sz="8" w:color="auto"/>
            </w:tcBorders>
            <w:gridSpan w:val="5"/>
          </w:tcPr>
          <w:p>
            <w:pPr>
              <w:jc w:val="center"/>
              <w:ind w:right="280"/>
              <w:spacing w:after="0" w:line="133" w:lineRule="exact"/>
              <w:rPr>
                <w:sz w:val="20"/>
                <w:szCs w:val="20"/>
                <w:color w:val="auto"/>
              </w:rPr>
            </w:pPr>
            <w:r>
              <w:rPr>
                <w:rFonts w:ascii="Arial" w:cs="Arial" w:eastAsia="Arial" w:hAnsi="Arial"/>
                <w:sz w:val="14"/>
                <w:szCs w:val="14"/>
                <w:b w:val="1"/>
                <w:bCs w:val="1"/>
                <w:color w:val="auto"/>
                <w:w w:val="93"/>
              </w:rPr>
              <w:t>Three Months Ended</w:t>
            </w:r>
          </w:p>
        </w:tc>
        <w:tc>
          <w:tcPr>
            <w:tcW w:w="200" w:type="dxa"/>
            <w:vAlign w:val="bottom"/>
            <w:tcBorders>
              <w:top w:val="single" w:sz="8" w:color="auto"/>
            </w:tcBorders>
          </w:tcPr>
          <w:p>
            <w:pPr>
              <w:spacing w:after="0"/>
              <w:rPr>
                <w:sz w:val="11"/>
                <w:szCs w:val="11"/>
                <w:color w:val="auto"/>
              </w:rPr>
            </w:pPr>
          </w:p>
        </w:tc>
        <w:tc>
          <w:tcPr>
            <w:tcW w:w="1620" w:type="dxa"/>
            <w:vAlign w:val="bottom"/>
            <w:tcBorders>
              <w:top w:val="single" w:sz="8" w:color="auto"/>
            </w:tcBorders>
            <w:gridSpan w:val="4"/>
          </w:tcPr>
          <w:p>
            <w:pPr>
              <w:jc w:val="right"/>
              <w:ind w:right="213"/>
              <w:spacing w:after="0" w:line="133" w:lineRule="exact"/>
              <w:rPr>
                <w:sz w:val="20"/>
                <w:szCs w:val="20"/>
                <w:color w:val="auto"/>
              </w:rPr>
            </w:pPr>
            <w:r>
              <w:rPr>
                <w:rFonts w:ascii="Arial" w:cs="Arial" w:eastAsia="Arial" w:hAnsi="Arial"/>
                <w:sz w:val="14"/>
                <w:szCs w:val="14"/>
                <w:b w:val="1"/>
                <w:bCs w:val="1"/>
                <w:color w:val="auto"/>
                <w:w w:val="99"/>
              </w:rPr>
              <w:t>Nine Months Ended</w:t>
            </w:r>
          </w:p>
        </w:tc>
      </w:tr>
      <w:tr>
        <w:trPr>
          <w:trHeight w:val="192"/>
        </w:trPr>
        <w:tc>
          <w:tcPr>
            <w:tcW w:w="3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60" w:type="dxa"/>
            <w:vAlign w:val="bottom"/>
            <w:gridSpan w:val="5"/>
          </w:tcPr>
          <w:p>
            <w:pPr>
              <w:jc w:val="center"/>
              <w:ind w:right="480"/>
              <w:spacing w:after="0"/>
              <w:rPr>
                <w:sz w:val="20"/>
                <w:szCs w:val="20"/>
                <w:color w:val="auto"/>
              </w:rPr>
            </w:pPr>
            <w:r>
              <w:rPr>
                <w:rFonts w:ascii="Arial" w:cs="Arial" w:eastAsia="Arial" w:hAnsi="Arial"/>
                <w:sz w:val="14"/>
                <w:szCs w:val="14"/>
                <w:b w:val="1"/>
                <w:bCs w:val="1"/>
                <w:color w:val="auto"/>
                <w:w w:val="91"/>
              </w:rPr>
              <w:t>September 30,</w:t>
            </w:r>
          </w:p>
        </w:tc>
        <w:tc>
          <w:tcPr>
            <w:tcW w:w="200" w:type="dxa"/>
            <w:vAlign w:val="bottom"/>
          </w:tcPr>
          <w:p>
            <w:pPr>
              <w:spacing w:after="0"/>
              <w:rPr>
                <w:sz w:val="16"/>
                <w:szCs w:val="16"/>
                <w:color w:val="auto"/>
              </w:rPr>
            </w:pPr>
          </w:p>
        </w:tc>
        <w:tc>
          <w:tcPr>
            <w:tcW w:w="1860" w:type="dxa"/>
            <w:vAlign w:val="bottom"/>
            <w:gridSpan w:val="5"/>
          </w:tcPr>
          <w:p>
            <w:pPr>
              <w:jc w:val="center"/>
              <w:ind w:right="460"/>
              <w:spacing w:after="0"/>
              <w:rPr>
                <w:sz w:val="20"/>
                <w:szCs w:val="20"/>
                <w:color w:val="auto"/>
              </w:rPr>
            </w:pPr>
            <w:r>
              <w:rPr>
                <w:rFonts w:ascii="Arial" w:cs="Arial" w:eastAsia="Arial" w:hAnsi="Arial"/>
                <w:sz w:val="14"/>
                <w:szCs w:val="14"/>
                <w:b w:val="1"/>
                <w:bCs w:val="1"/>
                <w:color w:val="auto"/>
                <w:w w:val="91"/>
              </w:rPr>
              <w:t>September 30,</w:t>
            </w:r>
          </w:p>
        </w:tc>
        <w:tc>
          <w:tcPr>
            <w:tcW w:w="180" w:type="dxa"/>
            <w:vAlign w:val="bottom"/>
          </w:tcPr>
          <w:p>
            <w:pPr>
              <w:spacing w:after="0"/>
              <w:rPr>
                <w:sz w:val="16"/>
                <w:szCs w:val="16"/>
                <w:color w:val="auto"/>
              </w:rPr>
            </w:pPr>
          </w:p>
        </w:tc>
        <w:tc>
          <w:tcPr>
            <w:tcW w:w="174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1"/>
              </w:rPr>
              <w:t>September 30,</w:t>
            </w:r>
          </w:p>
        </w:tc>
        <w:tc>
          <w:tcPr>
            <w:tcW w:w="200" w:type="dxa"/>
            <w:vAlign w:val="bottom"/>
          </w:tcPr>
          <w:p>
            <w:pPr>
              <w:spacing w:after="0"/>
              <w:rPr>
                <w:sz w:val="16"/>
                <w:szCs w:val="16"/>
                <w:color w:val="auto"/>
              </w:rPr>
            </w:pPr>
          </w:p>
        </w:tc>
        <w:tc>
          <w:tcPr>
            <w:tcW w:w="1620" w:type="dxa"/>
            <w:vAlign w:val="bottom"/>
            <w:gridSpan w:val="4"/>
          </w:tcPr>
          <w:p>
            <w:pPr>
              <w:jc w:val="right"/>
              <w:ind w:right="393"/>
              <w:spacing w:after="0"/>
              <w:rPr>
                <w:sz w:val="20"/>
                <w:szCs w:val="20"/>
                <w:color w:val="auto"/>
              </w:rPr>
            </w:pPr>
            <w:r>
              <w:rPr>
                <w:rFonts w:ascii="Arial" w:cs="Arial" w:eastAsia="Arial" w:hAnsi="Arial"/>
                <w:sz w:val="14"/>
                <w:szCs w:val="14"/>
                <w:b w:val="1"/>
                <w:bCs w:val="1"/>
                <w:color w:val="auto"/>
              </w:rPr>
              <w:t>September 30,</w:t>
            </w:r>
          </w:p>
        </w:tc>
      </w:tr>
      <w:tr>
        <w:trPr>
          <w:trHeight w:val="195"/>
        </w:trPr>
        <w:tc>
          <w:tcPr>
            <w:tcW w:w="352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gridSpan w:val="2"/>
          </w:tcPr>
          <w:p>
            <w:pPr>
              <w:jc w:val="right"/>
              <w:ind w:right="208"/>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top w:val="single" w:sz="8" w:color="auto"/>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top w:val="single" w:sz="8" w:color="auto"/>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2022</w:t>
            </w:r>
          </w:p>
        </w:tc>
        <w:tc>
          <w:tcPr>
            <w:tcW w:w="24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top w:val="single" w:sz="8" w:color="auto"/>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top w:val="single" w:sz="8" w:color="auto"/>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2022</w:t>
            </w:r>
          </w:p>
        </w:tc>
      </w:tr>
      <w:tr>
        <w:trPr>
          <w:trHeight w:val="216"/>
        </w:trPr>
        <w:tc>
          <w:tcPr>
            <w:tcW w:w="3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Investment capital expenditures:</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r>
      <w:tr>
        <w:trPr>
          <w:trHeight w:val="230"/>
        </w:trPr>
        <w:tc>
          <w:tcPr>
            <w:tcW w:w="3520" w:type="dxa"/>
            <w:vAlign w:val="bottom"/>
          </w:tcPr>
          <w:p>
            <w:pPr>
              <w:ind w:left="140"/>
              <w:spacing w:after="0"/>
              <w:rPr>
                <w:sz w:val="20"/>
                <w:szCs w:val="20"/>
                <w:color w:val="auto"/>
              </w:rPr>
            </w:pPr>
            <w:r>
              <w:rPr>
                <w:rFonts w:ascii="Arial" w:cs="Arial" w:eastAsia="Arial" w:hAnsi="Arial"/>
                <w:sz w:val="18"/>
                <w:szCs w:val="18"/>
                <w:color w:val="auto"/>
              </w:rPr>
              <w:t>Crude Oil</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170</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184</w:t>
            </w:r>
          </w:p>
        </w:tc>
        <w:tc>
          <w:tcPr>
            <w:tcW w:w="24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234</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234</w:t>
            </w:r>
          </w:p>
        </w:tc>
      </w:tr>
      <w:tr>
        <w:trPr>
          <w:trHeight w:val="230"/>
        </w:trPr>
        <w:tc>
          <w:tcPr>
            <w:tcW w:w="35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NGL</w:t>
            </w:r>
          </w:p>
        </w:tc>
        <w:tc>
          <w:tcPr>
            <w:tcW w:w="1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r>
      <w:tr>
        <w:trPr>
          <w:trHeight w:val="223"/>
        </w:trPr>
        <w:tc>
          <w:tcPr>
            <w:tcW w:w="3520" w:type="dxa"/>
            <w:vAlign w:val="bottom"/>
          </w:tcPr>
          <w:p>
            <w:pPr>
              <w:ind w:left="20"/>
              <w:spacing w:after="0"/>
              <w:rPr>
                <w:sz w:val="20"/>
                <w:szCs w:val="20"/>
                <w:color w:val="auto"/>
              </w:rPr>
            </w:pPr>
            <w:r>
              <w:rPr>
                <w:rFonts w:ascii="Arial" w:cs="Arial" w:eastAsia="Arial" w:hAnsi="Arial"/>
                <w:sz w:val="18"/>
                <w:szCs w:val="18"/>
                <w:color w:val="auto"/>
              </w:rPr>
              <w:t>Total Investment capital expenditures</w:t>
            </w:r>
          </w:p>
        </w:tc>
        <w:tc>
          <w:tcPr>
            <w:tcW w:w="18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221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212</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285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262</w:t>
            </w:r>
          </w:p>
        </w:tc>
      </w:tr>
      <w:tr>
        <w:trPr>
          <w:trHeight w:val="230"/>
        </w:trPr>
        <w:tc>
          <w:tcPr>
            <w:tcW w:w="3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Maintenance capital expenditures</w:t>
            </w:r>
          </w:p>
        </w:tc>
        <w:tc>
          <w:tcPr>
            <w:tcW w:w="1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2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w:t>
            </w:r>
          </w:p>
        </w:tc>
      </w:tr>
      <w:tr>
        <w:trPr>
          <w:trHeight w:val="223"/>
        </w:trPr>
        <w:tc>
          <w:tcPr>
            <w:tcW w:w="35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379</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352</w:t>
            </w:r>
          </w:p>
        </w:tc>
        <w:tc>
          <w:tcPr>
            <w:tcW w:w="24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454</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408</w:t>
            </w:r>
          </w:p>
        </w:tc>
      </w:tr>
      <w:tr>
        <w:trPr>
          <w:trHeight w:val="20"/>
        </w:trPr>
        <w:tc>
          <w:tcPr>
            <w:tcW w:w="35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r>
        <w:trPr>
          <w:trHeight w:val="169"/>
        </w:trPr>
        <w:tc>
          <w:tcPr>
            <w:tcW w:w="35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r>
    </w:tbl>
    <w:p>
      <w:pPr>
        <w:spacing w:after="0" w:line="100" w:lineRule="exact"/>
        <w:rPr>
          <w:sz w:val="20"/>
          <w:szCs w:val="20"/>
          <w:color w:val="auto"/>
        </w:rPr>
      </w:pPr>
    </w:p>
    <w:p>
      <w:pPr>
        <w:ind w:left="320" w:hanging="312"/>
        <w:spacing w:after="0"/>
        <w:tabs>
          <w:tab w:leader="none" w:pos="320" w:val="left"/>
        </w:tabs>
        <w:numPr>
          <w:ilvl w:val="0"/>
          <w:numId w:val="9"/>
        </w:numPr>
        <w:rPr>
          <w:rFonts w:ascii="Arial" w:cs="Arial" w:eastAsia="Arial" w:hAnsi="Arial"/>
          <w:sz w:val="23"/>
          <w:szCs w:val="23"/>
          <w:color w:val="auto"/>
          <w:vertAlign w:val="superscript"/>
        </w:rPr>
      </w:pPr>
      <w:r>
        <w:rPr>
          <w:rFonts w:ascii="Arial" w:cs="Arial" w:eastAsia="Arial" w:hAnsi="Arial"/>
          <w:sz w:val="18"/>
          <w:szCs w:val="18"/>
          <w:color w:val="auto"/>
        </w:rPr>
        <w:t>Excludes expenditures attributable to noncontrolling interests.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100330</wp:posOffset>
            </wp:positionV>
            <wp:extent cx="711517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55" w:lineRule="exact"/>
        <w:rPr>
          <w:sz w:val="20"/>
          <w:szCs w:val="20"/>
          <w:color w:val="auto"/>
        </w:rPr>
      </w:pPr>
    </w:p>
    <w:p>
      <w:pPr>
        <w:ind w:left="1660"/>
        <w:spacing w:after="0"/>
        <w:tabs>
          <w:tab w:leader="none" w:pos="4760" w:val="left"/>
          <w:tab w:leader="none" w:pos="74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240"/>
          </w:cols>
          <w:pgMar w:left="320" w:top="368"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auto"/>
        </w:rPr>
        <w:t>Page 9</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1517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NON-GAAP RECONCILIATIONS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per unit and ratio data)</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Computation of Basic and Diluted Adjusted Net Income Per Common Unit </w:t>
      </w:r>
      <w:r>
        <w:rPr>
          <w:rFonts w:ascii="Arial" w:cs="Arial" w:eastAsia="Arial" w:hAnsi="Arial"/>
          <w:sz w:val="23"/>
          <w:szCs w:val="23"/>
          <w:b w:val="1"/>
          <w:bCs w:val="1"/>
          <w:color w:val="auto"/>
          <w:vertAlign w:val="superscript"/>
        </w:rPr>
        <w:t>(1)</w:t>
      </w:r>
      <w:r>
        <w:rPr>
          <w:rFonts w:ascii="Arial" w:cs="Arial" w:eastAsia="Arial" w:hAnsi="Arial"/>
          <w:sz w:val="18"/>
          <w:szCs w:val="18"/>
          <w:b w:val="1"/>
          <w:bCs w:val="1"/>
          <w:color w:val="auto"/>
        </w:rPr>
        <w:t xml:space="preserve"> :</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60" w:type="dxa"/>
            <w:vAlign w:val="bottom"/>
            <w:gridSpan w:val="5"/>
          </w:tcPr>
          <w:p>
            <w:pPr>
              <w:ind w:left="30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4"/>
                <w:szCs w:val="14"/>
                <w:color w:val="auto"/>
              </w:rPr>
            </w:pPr>
          </w:p>
        </w:tc>
        <w:tc>
          <w:tcPr>
            <w:tcW w:w="2160" w:type="dxa"/>
            <w:vAlign w:val="bottom"/>
            <w:gridSpan w:val="4"/>
          </w:tcPr>
          <w:p>
            <w:pPr>
              <w:jc w:val="right"/>
              <w:ind w:right="512"/>
              <w:spacing w:after="0"/>
              <w:rPr>
                <w:sz w:val="20"/>
                <w:szCs w:val="20"/>
                <w:color w:val="auto"/>
              </w:rPr>
            </w:pPr>
            <w:r>
              <w:rPr>
                <w:rFonts w:ascii="Arial" w:cs="Arial" w:eastAsia="Arial" w:hAnsi="Arial"/>
                <w:sz w:val="14"/>
                <w:szCs w:val="14"/>
                <w:b w:val="1"/>
                <w:bCs w:val="1"/>
                <w:color w:val="auto"/>
              </w:rPr>
              <w:t>Nine Months Ended</w:t>
            </w:r>
          </w:p>
        </w:tc>
      </w:tr>
      <w:tr>
        <w:trPr>
          <w:trHeight w:val="196"/>
        </w:trPr>
        <w:tc>
          <w:tcPr>
            <w:tcW w:w="62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60" w:type="dxa"/>
            <w:vAlign w:val="bottom"/>
            <w:tcBorders>
              <w:bottom w:val="single" w:sz="8" w:color="auto"/>
            </w:tcBorders>
          </w:tcPr>
          <w:p>
            <w:pPr>
              <w:spacing w:after="0"/>
              <w:rPr>
                <w:sz w:val="17"/>
                <w:szCs w:val="17"/>
                <w:color w:val="auto"/>
              </w:rPr>
            </w:pPr>
          </w:p>
        </w:tc>
      </w:tr>
      <w:tr>
        <w:trPr>
          <w:trHeight w:val="196"/>
        </w:trPr>
        <w:tc>
          <w:tcPr>
            <w:tcW w:w="62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w w:val="96"/>
              </w:rPr>
              <w:t>2022</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w w:val="96"/>
              </w:rPr>
              <w:t>2022</w:t>
            </w:r>
          </w:p>
        </w:tc>
      </w:tr>
      <w:tr>
        <w:trPr>
          <w:trHeight w:val="216"/>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Basic and Diluted Adjusted Net Income per Common Unit</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29"/>
        </w:trPr>
        <w:tc>
          <w:tcPr>
            <w:tcW w:w="6280" w:type="dxa"/>
            <w:vAlign w:val="bottom"/>
          </w:tcPr>
          <w:p>
            <w:pPr>
              <w:ind w:left="20"/>
              <w:spacing w:after="0"/>
              <w:rPr>
                <w:sz w:val="20"/>
                <w:szCs w:val="20"/>
                <w:color w:val="auto"/>
              </w:rPr>
            </w:pPr>
            <w:r>
              <w:rPr>
                <w:rFonts w:ascii="Arial" w:cs="Arial" w:eastAsia="Arial" w:hAnsi="Arial"/>
                <w:sz w:val="18"/>
                <w:szCs w:val="18"/>
                <w:color w:val="auto"/>
              </w:rPr>
              <w:t>Net income attributable to PAA</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203</w:t>
            </w:r>
          </w:p>
        </w:tc>
        <w:tc>
          <w:tcPr>
            <w:tcW w:w="8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384</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918</w:t>
            </w:r>
          </w:p>
        </w:tc>
        <w:tc>
          <w:tcPr>
            <w:tcW w:w="8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774</w:t>
            </w:r>
          </w:p>
        </w:tc>
      </w:tr>
      <w:tr>
        <w:trPr>
          <w:trHeight w:val="176"/>
        </w:trPr>
        <w:tc>
          <w:tcPr>
            <w:tcW w:w="628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w w:val="94"/>
              </w:rPr>
              <w:t>Selected items impacting comparability - Adjusted net income attributable to PAA</w:t>
            </w: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r>
      <w:tr>
        <w:trPr>
          <w:trHeight w:val="175"/>
        </w:trPr>
        <w:tc>
          <w:tcPr>
            <w:tcW w:w="6280" w:type="dxa"/>
            <w:vAlign w:val="bottom"/>
            <w:tcBorders>
              <w:bottom w:val="single" w:sz="8" w:color="CCEEFF"/>
            </w:tcBorders>
            <w:shd w:val="clear" w:color="auto" w:fill="CCEEFF"/>
          </w:tcPr>
          <w:p>
            <w:pPr>
              <w:ind w:left="360"/>
              <w:spacing w:after="0" w:line="122" w:lineRule="exact"/>
              <w:rPr>
                <w:sz w:val="20"/>
                <w:szCs w:val="20"/>
                <w:color w:val="auto"/>
              </w:rPr>
            </w:pPr>
            <w:r>
              <w:rPr>
                <w:rFonts w:ascii="Arial" w:cs="Arial" w:eastAsia="Arial" w:hAnsi="Arial"/>
                <w:sz w:val="12"/>
                <w:szCs w:val="12"/>
                <w:color w:val="auto"/>
              </w:rPr>
              <w:t>(2)</w:t>
            </w:r>
          </w:p>
        </w:tc>
        <w:tc>
          <w:tcPr>
            <w:tcW w:w="26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105</w:t>
            </w:r>
          </w:p>
        </w:tc>
        <w:tc>
          <w:tcPr>
            <w:tcW w:w="8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(104)</w:t>
            </w:r>
          </w:p>
        </w:tc>
        <w:tc>
          <w:tcPr>
            <w:tcW w:w="1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(24)</w:t>
            </w:r>
          </w:p>
        </w:tc>
        <w:tc>
          <w:tcPr>
            <w:tcW w:w="8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31</w:t>
            </w:r>
          </w:p>
        </w:tc>
      </w:tr>
      <w:tr>
        <w:trPr>
          <w:trHeight w:val="223"/>
        </w:trPr>
        <w:tc>
          <w:tcPr>
            <w:tcW w:w="6280" w:type="dxa"/>
            <w:vAlign w:val="bottom"/>
          </w:tcPr>
          <w:p>
            <w:pPr>
              <w:ind w:left="20"/>
              <w:spacing w:after="0"/>
              <w:rPr>
                <w:sz w:val="20"/>
                <w:szCs w:val="20"/>
                <w:color w:val="auto"/>
              </w:rPr>
            </w:pPr>
            <w:r>
              <w:rPr>
                <w:rFonts w:ascii="Arial" w:cs="Arial" w:eastAsia="Arial" w:hAnsi="Arial"/>
                <w:sz w:val="18"/>
                <w:szCs w:val="18"/>
                <w:color w:val="auto"/>
              </w:rPr>
              <w:t>Adjusted net income attributable to PAA</w:t>
            </w: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308</w:t>
            </w:r>
          </w:p>
        </w:tc>
        <w:tc>
          <w:tcPr>
            <w:tcW w:w="80" w:type="dxa"/>
            <w:vAlign w:val="bottom"/>
          </w:tcPr>
          <w:p>
            <w:pPr>
              <w:spacing w:after="0"/>
              <w:rPr>
                <w:sz w:val="19"/>
                <w:szCs w:val="19"/>
                <w:color w:val="auto"/>
              </w:rPr>
            </w:pP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280</w:t>
            </w:r>
          </w:p>
        </w:tc>
        <w:tc>
          <w:tcPr>
            <w:tcW w:w="100" w:type="dxa"/>
            <w:vAlign w:val="bottom"/>
          </w:tcPr>
          <w:p>
            <w:pPr>
              <w:spacing w:after="0"/>
              <w:rPr>
                <w:sz w:val="19"/>
                <w:szCs w:val="19"/>
                <w:color w:val="auto"/>
              </w:rPr>
            </w:pP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894</w:t>
            </w:r>
          </w:p>
        </w:tc>
        <w:tc>
          <w:tcPr>
            <w:tcW w:w="80" w:type="dxa"/>
            <w:vAlign w:val="bottom"/>
          </w:tcPr>
          <w:p>
            <w:pPr>
              <w:spacing w:after="0"/>
              <w:rPr>
                <w:sz w:val="19"/>
                <w:szCs w:val="19"/>
                <w:color w:val="auto"/>
              </w:rPr>
            </w:pP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805</w:t>
            </w:r>
          </w:p>
        </w:tc>
      </w:tr>
      <w:tr>
        <w:trPr>
          <w:trHeight w:val="229"/>
        </w:trPr>
        <w:tc>
          <w:tcPr>
            <w:tcW w:w="6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Distributions to Series A preferred unitholders</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r>
      <w:tr>
        <w:trPr>
          <w:trHeight w:val="230"/>
        </w:trPr>
        <w:tc>
          <w:tcPr>
            <w:tcW w:w="6280" w:type="dxa"/>
            <w:vAlign w:val="bottom"/>
          </w:tcPr>
          <w:p>
            <w:pPr>
              <w:ind w:left="180"/>
              <w:spacing w:after="0"/>
              <w:rPr>
                <w:sz w:val="20"/>
                <w:szCs w:val="20"/>
                <w:color w:val="auto"/>
              </w:rPr>
            </w:pPr>
            <w:r>
              <w:rPr>
                <w:rFonts w:ascii="Arial" w:cs="Arial" w:eastAsia="Arial" w:hAnsi="Arial"/>
                <w:sz w:val="18"/>
                <w:szCs w:val="18"/>
                <w:color w:val="auto"/>
              </w:rPr>
              <w:t>Distributions to Series B preferred unitholders</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(56)</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29"/>
        </w:trPr>
        <w:tc>
          <w:tcPr>
            <w:tcW w:w="6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Amounts allocated to participating securities</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29"/>
        </w:trPr>
        <w:tc>
          <w:tcPr>
            <w:tcW w:w="6280" w:type="dxa"/>
            <w:vAlign w:val="bottom"/>
          </w:tcPr>
          <w:p>
            <w:pPr>
              <w:ind w:left="180"/>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62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Adjusted net income allocated to common unitholders</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704</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652</w:t>
            </w: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6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30"/>
        </w:trPr>
        <w:tc>
          <w:tcPr>
            <w:tcW w:w="62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Basic and diluted weighted average common units outstanding </w:t>
            </w:r>
            <w:r>
              <w:rPr>
                <w:rFonts w:ascii="Arial" w:cs="Arial" w:eastAsia="Arial" w:hAnsi="Arial"/>
                <w:sz w:val="23"/>
                <w:szCs w:val="23"/>
                <w:color w:val="auto"/>
                <w:vertAlign w:val="superscript"/>
              </w:rPr>
              <w:t>(3) (4)</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w:t>
            </w:r>
          </w:p>
        </w:tc>
      </w:tr>
      <w:tr>
        <w:trPr>
          <w:trHeight w:val="270"/>
        </w:trPr>
        <w:tc>
          <w:tcPr>
            <w:tcW w:w="62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60" w:type="dxa"/>
            <w:vAlign w:val="bottom"/>
          </w:tcPr>
          <w:p>
            <w:pPr>
              <w:spacing w:after="0"/>
              <w:rPr>
                <w:sz w:val="23"/>
                <w:szCs w:val="23"/>
                <w:color w:val="auto"/>
              </w:rPr>
            </w:pPr>
          </w:p>
        </w:tc>
      </w:tr>
      <w:tr>
        <w:trPr>
          <w:trHeight w:val="255"/>
        </w:trPr>
        <w:tc>
          <w:tcPr>
            <w:tcW w:w="6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Basic and diluted adjusted net income per common unit</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0.35</w:t>
            </w: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0.93</w:t>
            </w: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245999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459990" cy="8890"/>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ind w:left="340" w:right="420" w:hanging="332"/>
        <w:spacing w:after="0" w:line="238" w:lineRule="auto"/>
        <w:tabs>
          <w:tab w:leader="none" w:pos="328" w:val="left"/>
        </w:tabs>
        <w:numPr>
          <w:ilvl w:val="0"/>
          <w:numId w:val="10"/>
        </w:numPr>
        <w:rPr>
          <w:rFonts w:ascii="Arial" w:cs="Arial" w:eastAsia="Arial" w:hAnsi="Arial"/>
          <w:sz w:val="21"/>
          <w:szCs w:val="21"/>
          <w:color w:val="auto"/>
          <w:vertAlign w:val="superscript"/>
        </w:rPr>
      </w:pPr>
      <w:r>
        <w:rPr>
          <w:rFonts w:ascii="Arial" w:cs="Arial" w:eastAsia="Arial" w:hAnsi="Arial"/>
          <w:sz w:val="16"/>
          <w:szCs w:val="16"/>
          <w:color w:val="auto"/>
        </w:rPr>
        <w:t>We calculate adjusted net income allocated to common unitholders based on the distributions pertaining to the current period’s net income. After adjusting for the appropriate period’s distributions, the remaining undistributed earnings or excess distributions over earnings, if any, are allocated to the common unitholders and participating securities in accordance with the contractual terms of our partnership agreement in effect for the period and as further prescribed under the two-class method.</w:t>
      </w:r>
    </w:p>
    <w:p>
      <w:pPr>
        <w:spacing w:after="0" w:line="15" w:lineRule="exact"/>
        <w:rPr>
          <w:rFonts w:ascii="Arial" w:cs="Arial" w:eastAsia="Arial" w:hAnsi="Arial"/>
          <w:sz w:val="21"/>
          <w:szCs w:val="21"/>
          <w:color w:val="auto"/>
          <w:vertAlign w:val="superscript"/>
        </w:rPr>
      </w:pPr>
    </w:p>
    <w:p>
      <w:pPr>
        <w:ind w:left="320" w:hanging="312"/>
        <w:spacing w:after="0"/>
        <w:tabs>
          <w:tab w:leader="none" w:pos="320" w:val="left"/>
        </w:tabs>
        <w:numPr>
          <w:ilvl w:val="0"/>
          <w:numId w:val="10"/>
        </w:numPr>
        <w:rPr>
          <w:rFonts w:ascii="Arial" w:cs="Arial" w:eastAsia="Arial" w:hAnsi="Arial"/>
          <w:sz w:val="21"/>
          <w:szCs w:val="21"/>
          <w:color w:val="auto"/>
          <w:vertAlign w:val="superscript"/>
        </w:rPr>
      </w:pPr>
      <w:r>
        <w:rPr>
          <w:rFonts w:ascii="Arial" w:cs="Arial" w:eastAsia="Arial" w:hAnsi="Arial"/>
          <w:sz w:val="16"/>
          <w:szCs w:val="16"/>
          <w:color w:val="auto"/>
        </w:rPr>
        <w:t>See the “Selected Items Impacting Comparability” table for additional information.</w:t>
      </w:r>
    </w:p>
    <w:p>
      <w:pPr>
        <w:spacing w:after="0" w:line="50" w:lineRule="exact"/>
        <w:rPr>
          <w:rFonts w:ascii="Arial" w:cs="Arial" w:eastAsia="Arial" w:hAnsi="Arial"/>
          <w:sz w:val="21"/>
          <w:szCs w:val="21"/>
          <w:color w:val="auto"/>
          <w:vertAlign w:val="superscript"/>
        </w:rPr>
      </w:pPr>
    </w:p>
    <w:p>
      <w:pPr>
        <w:ind w:left="340" w:right="300" w:hanging="332"/>
        <w:spacing w:after="0" w:line="215" w:lineRule="auto"/>
        <w:tabs>
          <w:tab w:leader="none" w:pos="328" w:val="left"/>
        </w:tabs>
        <w:numPr>
          <w:ilvl w:val="0"/>
          <w:numId w:val="10"/>
        </w:numPr>
        <w:rPr>
          <w:rFonts w:ascii="Arial" w:cs="Arial" w:eastAsia="Arial" w:hAnsi="Arial"/>
          <w:sz w:val="21"/>
          <w:szCs w:val="21"/>
          <w:color w:val="auto"/>
          <w:vertAlign w:val="superscript"/>
        </w:rPr>
      </w:pPr>
      <w:r>
        <w:rPr>
          <w:rFonts w:ascii="Arial" w:cs="Arial" w:eastAsia="Arial" w:hAnsi="Arial"/>
          <w:sz w:val="16"/>
          <w:szCs w:val="16"/>
          <w:color w:val="auto"/>
        </w:rPr>
        <w:t>The possible conversion of our Series A preferred units was excluded from the calculation of diluted adjusted net income per common unit for each of the three and nine months ended September 30, 2023 and 2022 as the effect was antidilutive.</w:t>
      </w:r>
    </w:p>
    <w:p>
      <w:pPr>
        <w:spacing w:after="0" w:line="50" w:lineRule="exact"/>
        <w:rPr>
          <w:rFonts w:ascii="Arial" w:cs="Arial" w:eastAsia="Arial" w:hAnsi="Arial"/>
          <w:sz w:val="21"/>
          <w:szCs w:val="21"/>
          <w:color w:val="auto"/>
          <w:vertAlign w:val="superscript"/>
        </w:rPr>
      </w:pPr>
    </w:p>
    <w:p>
      <w:pPr>
        <w:ind w:left="340" w:right="140" w:hanging="332"/>
        <w:spacing w:after="0" w:line="238" w:lineRule="auto"/>
        <w:tabs>
          <w:tab w:leader="none" w:pos="328" w:val="left"/>
        </w:tabs>
        <w:numPr>
          <w:ilvl w:val="0"/>
          <w:numId w:val="10"/>
        </w:numPr>
        <w:rPr>
          <w:rFonts w:ascii="Arial" w:cs="Arial" w:eastAsia="Arial" w:hAnsi="Arial"/>
          <w:sz w:val="21"/>
          <w:szCs w:val="21"/>
          <w:color w:val="auto"/>
          <w:vertAlign w:val="superscript"/>
        </w:rPr>
      </w:pPr>
      <w:r>
        <w:rPr>
          <w:rFonts w:ascii="Arial" w:cs="Arial" w:eastAsia="Arial" w:hAnsi="Arial"/>
          <w:sz w:val="16"/>
          <w:szCs w:val="16"/>
          <w:color w:val="auto"/>
        </w:rPr>
        <w:t>Our equity-indexed compensation plan awards that contemplate the issuance of common units are considered dilutive unless (i) they become vested only upon the satisfaction of a performance condition and (ii) that performance condition has yet to be satisfied. Equity-indexed compensation plan awards that are deemed to be dilutive are reduced by a hypothetical common unit repurchase based on the remaining unamortized fair value, as prescribed by the treasury stock method in guidance issued by the FASB.</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Per Common Unit to Adjusted Net Income Per Common Unit Reconciliation:</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2540" w:type="dxa"/>
            <w:vAlign w:val="bottom"/>
            <w:gridSpan w:val="6"/>
          </w:tcPr>
          <w:p>
            <w:pPr>
              <w:ind w:left="56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4"/>
                <w:szCs w:val="14"/>
                <w:color w:val="auto"/>
              </w:rPr>
            </w:pPr>
          </w:p>
        </w:tc>
        <w:tc>
          <w:tcPr>
            <w:tcW w:w="2180" w:type="dxa"/>
            <w:vAlign w:val="bottom"/>
            <w:gridSpan w:val="4"/>
          </w:tcPr>
          <w:p>
            <w:pPr>
              <w:jc w:val="right"/>
              <w:ind w:right="535"/>
              <w:spacing w:after="0"/>
              <w:rPr>
                <w:sz w:val="20"/>
                <w:szCs w:val="20"/>
                <w:color w:val="auto"/>
              </w:rPr>
            </w:pPr>
            <w:r>
              <w:rPr>
                <w:rFonts w:ascii="Arial" w:cs="Arial" w:eastAsia="Arial" w:hAnsi="Arial"/>
                <w:sz w:val="14"/>
                <w:szCs w:val="14"/>
                <w:b w:val="1"/>
                <w:bCs w:val="1"/>
                <w:color w:val="auto"/>
              </w:rPr>
              <w:t>Nine Months Ended</w:t>
            </w:r>
          </w:p>
        </w:tc>
      </w:tr>
      <w:tr>
        <w:trPr>
          <w:trHeight w:val="192"/>
        </w:trPr>
        <w:tc>
          <w:tcPr>
            <w:tcW w:w="388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w w:val="91"/>
              </w:rPr>
              <w:t>September 30,</w:t>
            </w:r>
          </w:p>
        </w:tc>
        <w:tc>
          <w:tcPr>
            <w:tcW w:w="7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ind w:left="520"/>
              <w:spacing w:after="0"/>
              <w:rPr>
                <w:sz w:val="20"/>
                <w:szCs w:val="20"/>
                <w:color w:val="auto"/>
              </w:rPr>
            </w:pPr>
            <w:r>
              <w:rPr>
                <w:rFonts w:ascii="Arial" w:cs="Arial" w:eastAsia="Arial" w:hAnsi="Arial"/>
                <w:sz w:val="14"/>
                <w:szCs w:val="14"/>
                <w:b w:val="1"/>
                <w:bCs w:val="1"/>
                <w:color w:val="auto"/>
                <w:w w:val="91"/>
              </w:rPr>
              <w:t>September 30,</w:t>
            </w:r>
          </w:p>
        </w:tc>
        <w:tc>
          <w:tcPr>
            <w:tcW w:w="760" w:type="dxa"/>
            <w:vAlign w:val="bottom"/>
            <w:tcBorders>
              <w:bottom w:val="single" w:sz="8" w:color="auto"/>
            </w:tcBorders>
          </w:tcPr>
          <w:p>
            <w:pPr>
              <w:spacing w:after="0"/>
              <w:rPr>
                <w:sz w:val="16"/>
                <w:szCs w:val="16"/>
                <w:color w:val="auto"/>
              </w:rPr>
            </w:pPr>
          </w:p>
        </w:tc>
      </w:tr>
      <w:tr>
        <w:trPr>
          <w:trHeight w:val="195"/>
        </w:trPr>
        <w:tc>
          <w:tcPr>
            <w:tcW w:w="3880" w:type="dxa"/>
            <w:vAlign w:val="bottom"/>
            <w:tcBorders>
              <w:bottom w:val="single" w:sz="8" w:color="CCEEFF"/>
            </w:tcBorders>
          </w:tcPr>
          <w:p>
            <w:pPr>
              <w:spacing w:after="0"/>
              <w:rPr>
                <w:sz w:val="17"/>
                <w:szCs w:val="17"/>
                <w:color w:val="auto"/>
              </w:rPr>
            </w:pPr>
          </w:p>
        </w:tc>
        <w:tc>
          <w:tcPr>
            <w:tcW w:w="2360" w:type="dxa"/>
            <w:vAlign w:val="bottom"/>
            <w:tcBorders>
              <w:bottom w:val="single" w:sz="8" w:color="CCEEFF"/>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4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w w:val="96"/>
              </w:rPr>
              <w:t>2022</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w w:val="96"/>
              </w:rPr>
              <w:t>2022</w:t>
            </w:r>
          </w:p>
        </w:tc>
      </w:tr>
      <w:tr>
        <w:trPr>
          <w:trHeight w:val="230"/>
        </w:trPr>
        <w:tc>
          <w:tcPr>
            <w:tcW w:w="6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Basic and diluted net income per common unit</w:t>
            </w:r>
          </w:p>
        </w:tc>
        <w:tc>
          <w:tcPr>
            <w:tcW w:w="740" w:type="dxa"/>
            <w:vAlign w:val="bottom"/>
            <w:shd w:val="clear" w:color="auto" w:fill="CCEEFF"/>
          </w:tcPr>
          <w:p>
            <w:pPr>
              <w:jc w:val="right"/>
              <w:ind w:right="559"/>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0.20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center"/>
              <w:ind w:left="195"/>
              <w:spacing w:after="0"/>
              <w:rPr>
                <w:sz w:val="20"/>
                <w:szCs w:val="20"/>
                <w:color w:val="auto"/>
              </w:rPr>
            </w:pPr>
            <w:r>
              <w:rPr>
                <w:rFonts w:ascii="Arial" w:cs="Arial" w:eastAsia="Arial" w:hAnsi="Arial"/>
                <w:sz w:val="18"/>
                <w:szCs w:val="18"/>
                <w:color w:val="auto"/>
                <w:w w:val="91"/>
              </w:rPr>
              <w:t>0.48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1.04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0.89</w:t>
            </w:r>
          </w:p>
        </w:tc>
      </w:tr>
      <w:tr>
        <w:trPr>
          <w:trHeight w:val="229"/>
        </w:trPr>
        <w:tc>
          <w:tcPr>
            <w:tcW w:w="6240" w:type="dxa"/>
            <w:vAlign w:val="bottom"/>
            <w:tcBorders>
              <w:bottom w:val="single" w:sz="8" w:color="CCEEFF"/>
            </w:tcBorders>
            <w:gridSpan w:val="2"/>
          </w:tcPr>
          <w:p>
            <w:pPr>
              <w:ind w:left="20"/>
              <w:spacing w:after="0" w:line="230" w:lineRule="exact"/>
              <w:rPr>
                <w:sz w:val="20"/>
                <w:szCs w:val="20"/>
                <w:color w:val="auto"/>
              </w:rPr>
            </w:pPr>
            <w:r>
              <w:rPr>
                <w:rFonts w:ascii="Arial" w:cs="Arial" w:eastAsia="Arial" w:hAnsi="Arial"/>
                <w:sz w:val="18"/>
                <w:szCs w:val="18"/>
                <w:color w:val="auto"/>
              </w:rPr>
              <w:t xml:space="preserve">Selected items impacting comparability per common unit </w:t>
            </w:r>
            <w:r>
              <w:rPr>
                <w:rFonts w:ascii="Arial" w:cs="Arial" w:eastAsia="Arial" w:hAnsi="Arial"/>
                <w:sz w:val="23"/>
                <w:szCs w:val="23"/>
                <w:color w:val="auto"/>
                <w:vertAlign w:val="superscript"/>
              </w:rPr>
              <w:t>(1)</w:t>
            </w:r>
          </w:p>
        </w:tc>
        <w:tc>
          <w:tcPr>
            <w:tcW w:w="7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0.15</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center"/>
              <w:ind w:left="175"/>
              <w:spacing w:after="0"/>
              <w:rPr>
                <w:sz w:val="20"/>
                <w:szCs w:val="20"/>
                <w:color w:val="auto"/>
              </w:rPr>
            </w:pPr>
            <w:r>
              <w:rPr>
                <w:rFonts w:ascii="Arial" w:cs="Arial" w:eastAsia="Arial" w:hAnsi="Arial"/>
                <w:sz w:val="18"/>
                <w:szCs w:val="18"/>
                <w:color w:val="auto"/>
                <w:w w:val="89"/>
              </w:rPr>
              <w:t>(0.15)</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(0.03)</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0.04</w:t>
            </w:r>
          </w:p>
        </w:tc>
      </w:tr>
      <w:tr>
        <w:trPr>
          <w:trHeight w:val="248"/>
        </w:trPr>
        <w:tc>
          <w:tcPr>
            <w:tcW w:w="6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Basic and diluted adjusted net income per common unit</w:t>
            </w:r>
          </w:p>
        </w:tc>
        <w:tc>
          <w:tcPr>
            <w:tcW w:w="740" w:type="dxa"/>
            <w:vAlign w:val="bottom"/>
            <w:tcBorders>
              <w:bottom w:val="single" w:sz="8" w:color="auto"/>
            </w:tcBorders>
            <w:shd w:val="clear" w:color="auto" w:fill="CCEEFF"/>
          </w:tcPr>
          <w:p>
            <w:pPr>
              <w:jc w:val="right"/>
              <w:ind w:right="559"/>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0.35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center"/>
              <w:ind w:left="195"/>
              <w:spacing w:after="0"/>
              <w:rPr>
                <w:sz w:val="20"/>
                <w:szCs w:val="20"/>
                <w:color w:val="auto"/>
              </w:rPr>
            </w:pPr>
            <w:r>
              <w:rPr>
                <w:rFonts w:ascii="Arial" w:cs="Arial" w:eastAsia="Arial" w:hAnsi="Arial"/>
                <w:sz w:val="18"/>
                <w:szCs w:val="18"/>
                <w:color w:val="auto"/>
                <w:w w:val="91"/>
              </w:rPr>
              <w:t>0.33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ind w:left="520"/>
              <w:spacing w:after="0"/>
              <w:rPr>
                <w:sz w:val="20"/>
                <w:szCs w:val="20"/>
                <w:color w:val="auto"/>
              </w:rPr>
            </w:pPr>
            <w:r>
              <w:rPr>
                <w:rFonts w:ascii="Arial" w:cs="Arial" w:eastAsia="Arial" w:hAnsi="Arial"/>
                <w:sz w:val="18"/>
                <w:szCs w:val="18"/>
                <w:color w:val="auto"/>
              </w:rPr>
              <w:t>1.01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0.93</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236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r>
        <w:trPr>
          <w:trHeight w:val="123"/>
        </w:trPr>
        <w:tc>
          <w:tcPr>
            <w:tcW w:w="3880" w:type="dxa"/>
            <w:vAlign w:val="bottom"/>
            <w:tcBorders>
              <w:bottom w:val="single" w:sz="8" w:color="auto"/>
            </w:tcBorders>
          </w:tcPr>
          <w:p>
            <w:pPr>
              <w:spacing w:after="0"/>
              <w:rPr>
                <w:sz w:val="10"/>
                <w:szCs w:val="10"/>
                <w:color w:val="auto"/>
              </w:rPr>
            </w:pPr>
          </w:p>
        </w:tc>
        <w:tc>
          <w:tcPr>
            <w:tcW w:w="23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60" w:type="dxa"/>
            <w:vAlign w:val="bottom"/>
          </w:tcPr>
          <w:p>
            <w:pPr>
              <w:spacing w:after="0"/>
              <w:rPr>
                <w:sz w:val="10"/>
                <w:szCs w:val="10"/>
                <w:color w:val="auto"/>
              </w:rPr>
            </w:pPr>
          </w:p>
        </w:tc>
      </w:tr>
    </w:tbl>
    <w:p>
      <w:pPr>
        <w:spacing w:after="0" w:line="139" w:lineRule="exact"/>
        <w:rPr>
          <w:sz w:val="20"/>
          <w:szCs w:val="20"/>
          <w:color w:val="auto"/>
        </w:rPr>
      </w:pPr>
    </w:p>
    <w:p>
      <w:pPr>
        <w:ind w:left="340" w:right="720" w:hanging="332"/>
        <w:spacing w:after="0" w:line="223" w:lineRule="auto"/>
        <w:tabs>
          <w:tab w:leader="none" w:pos="328" w:val="left"/>
        </w:tabs>
        <w:numPr>
          <w:ilvl w:val="0"/>
          <w:numId w:val="11"/>
        </w:numPr>
        <w:rPr>
          <w:rFonts w:ascii="Arial" w:cs="Arial" w:eastAsia="Arial" w:hAnsi="Arial"/>
          <w:sz w:val="21"/>
          <w:szCs w:val="21"/>
          <w:color w:val="auto"/>
          <w:vertAlign w:val="superscript"/>
        </w:rPr>
      </w:pPr>
      <w:r>
        <w:rPr>
          <w:rFonts w:ascii="Arial" w:cs="Arial" w:eastAsia="Arial" w:hAnsi="Arial"/>
          <w:sz w:val="16"/>
          <w:szCs w:val="16"/>
          <w:color w:val="auto"/>
        </w:rPr>
        <w:t>See the “Selected Items Impacting Comparability” and the “Computation of Basic and Diluted Adjusted Net Income Per Common Unit” tables for additional information.</w:t>
      </w:r>
    </w:p>
    <w:p>
      <w:pPr>
        <w:spacing w:after="0" w:line="167" w:lineRule="exact"/>
        <w:rPr>
          <w:rFonts w:ascii="Arial" w:cs="Arial" w:eastAsia="Arial" w:hAnsi="Arial"/>
          <w:sz w:val="21"/>
          <w:szCs w:val="21"/>
          <w:color w:val="auto"/>
          <w:vertAlign w:val="superscript"/>
        </w:rPr>
      </w:pPr>
    </w:p>
    <w:p>
      <w:pPr>
        <w:ind w:left="5440" w:hanging="106"/>
        <w:spacing w:after="0"/>
        <w:tabs>
          <w:tab w:leader="none" w:pos="5440" w:val="left"/>
        </w:tabs>
        <w:numPr>
          <w:ilvl w:val="1"/>
          <w:numId w:val="11"/>
        </w:numPr>
        <w:rPr>
          <w:rFonts w:ascii="Arial" w:cs="Arial" w:eastAsia="Arial" w:hAnsi="Arial"/>
          <w:sz w:val="18"/>
          <w:szCs w:val="18"/>
          <w:color w:val="auto"/>
        </w:rPr>
      </w:pPr>
      <w:r>
        <w:rPr>
          <w:rFonts w:ascii="Arial" w:cs="Arial" w:eastAsia="Arial" w:hAnsi="Arial"/>
          <w:sz w:val="18"/>
          <w:szCs w:val="18"/>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100330</wp:posOffset>
            </wp:positionV>
            <wp:extent cx="711517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55" w:lineRule="exact"/>
        <w:rPr>
          <w:sz w:val="20"/>
          <w:szCs w:val="20"/>
          <w:color w:val="auto"/>
        </w:rPr>
      </w:pPr>
    </w:p>
    <w:p>
      <w:pPr>
        <w:ind w:left="1660"/>
        <w:spacing w:after="0"/>
        <w:tabs>
          <w:tab w:leader="none" w:pos="4760" w:val="left"/>
          <w:tab w:leader="none" w:pos="74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240"/>
          </w:cols>
          <w:pgMar w:left="320" w:top="368"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auto"/>
        </w:rPr>
        <w:t>Page 10</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1517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to Adjusted EBITDA attributable to PAA and Implied DCF Reconciliation:</w:t>
      </w:r>
    </w:p>
    <w:p>
      <w:pPr>
        <w:spacing w:after="0" w:line="271"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6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80" w:type="dxa"/>
            <w:vAlign w:val="bottom"/>
            <w:gridSpan w:val="5"/>
          </w:tcPr>
          <w:p>
            <w:pPr>
              <w:ind w:left="30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4"/>
                <w:szCs w:val="14"/>
                <w:color w:val="auto"/>
              </w:rPr>
            </w:pPr>
          </w:p>
        </w:tc>
        <w:tc>
          <w:tcPr>
            <w:tcW w:w="2180" w:type="dxa"/>
            <w:vAlign w:val="bottom"/>
            <w:gridSpan w:val="4"/>
          </w:tcPr>
          <w:p>
            <w:pPr>
              <w:jc w:val="right"/>
              <w:ind w:right="511"/>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96"/>
        </w:trPr>
        <w:tc>
          <w:tcPr>
            <w:tcW w:w="61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18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w w:val="96"/>
              </w:rPr>
              <w:t>2022</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w w:val="96"/>
              </w:rPr>
              <w:t>2022</w:t>
            </w:r>
          </w:p>
        </w:tc>
        <w:tc>
          <w:tcPr>
            <w:tcW w:w="0" w:type="dxa"/>
            <w:vAlign w:val="bottom"/>
          </w:tcPr>
          <w:p>
            <w:pPr>
              <w:spacing w:after="0"/>
              <w:rPr>
                <w:sz w:val="1"/>
                <w:szCs w:val="1"/>
                <w:color w:val="auto"/>
              </w:rPr>
            </w:pPr>
          </w:p>
        </w:tc>
      </w:tr>
      <w:tr>
        <w:trPr>
          <w:trHeight w:val="229"/>
        </w:trPr>
        <w:tc>
          <w:tcPr>
            <w:tcW w:w="6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income</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1,103</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918</w:t>
            </w:r>
          </w:p>
        </w:tc>
        <w:tc>
          <w:tcPr>
            <w:tcW w:w="0" w:type="dxa"/>
            <w:vAlign w:val="bottom"/>
          </w:tcPr>
          <w:p>
            <w:pPr>
              <w:spacing w:after="0"/>
              <w:rPr>
                <w:sz w:val="1"/>
                <w:szCs w:val="1"/>
                <w:color w:val="auto"/>
              </w:rPr>
            </w:pPr>
          </w:p>
        </w:tc>
      </w:tr>
      <w:tr>
        <w:trPr>
          <w:trHeight w:val="230"/>
        </w:trPr>
        <w:tc>
          <w:tcPr>
            <w:tcW w:w="6180" w:type="dxa"/>
            <w:vAlign w:val="bottom"/>
          </w:tcPr>
          <w:p>
            <w:pPr>
              <w:ind w:left="120"/>
              <w:spacing w:after="0"/>
              <w:rPr>
                <w:sz w:val="20"/>
                <w:szCs w:val="20"/>
                <w:color w:val="auto"/>
              </w:rPr>
            </w:pPr>
            <w:r>
              <w:rPr>
                <w:rFonts w:ascii="Arial" w:cs="Arial" w:eastAsia="Arial" w:hAnsi="Arial"/>
                <w:sz w:val="17"/>
                <w:szCs w:val="17"/>
                <w:color w:val="auto"/>
              </w:rPr>
              <w:t>Interest expense, net</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290</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305</w:t>
            </w:r>
          </w:p>
        </w:tc>
        <w:tc>
          <w:tcPr>
            <w:tcW w:w="0" w:type="dxa"/>
            <w:vAlign w:val="bottom"/>
          </w:tcPr>
          <w:p>
            <w:pPr>
              <w:spacing w:after="0"/>
              <w:rPr>
                <w:sz w:val="1"/>
                <w:szCs w:val="1"/>
                <w:color w:val="auto"/>
              </w:rPr>
            </w:pPr>
          </w:p>
        </w:tc>
      </w:tr>
      <w:tr>
        <w:trPr>
          <w:trHeight w:val="229"/>
        </w:trPr>
        <w:tc>
          <w:tcPr>
            <w:tcW w:w="6180" w:type="dxa"/>
            <w:vAlign w:val="bottom"/>
            <w:shd w:val="clear" w:color="auto" w:fill="CCEEFF"/>
          </w:tcPr>
          <w:p>
            <w:pPr>
              <w:ind w:left="120"/>
              <w:spacing w:after="0"/>
              <w:rPr>
                <w:sz w:val="20"/>
                <w:szCs w:val="20"/>
                <w:color w:val="auto"/>
              </w:rPr>
            </w:pPr>
            <w:r>
              <w:rPr>
                <w:rFonts w:ascii="Arial" w:cs="Arial" w:eastAsia="Arial" w:hAnsi="Arial"/>
                <w:sz w:val="17"/>
                <w:szCs w:val="17"/>
                <w:color w:val="auto"/>
              </w:rPr>
              <w:t>Income tax expense/(benefit)</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29"/>
        </w:trPr>
        <w:tc>
          <w:tcPr>
            <w:tcW w:w="6180" w:type="dxa"/>
            <w:vAlign w:val="bottom"/>
          </w:tcPr>
          <w:p>
            <w:pPr>
              <w:ind w:left="120"/>
              <w:spacing w:after="0"/>
              <w:rPr>
                <w:sz w:val="20"/>
                <w:szCs w:val="20"/>
                <w:color w:val="auto"/>
              </w:rPr>
            </w:pPr>
            <w:r>
              <w:rPr>
                <w:rFonts w:ascii="Arial" w:cs="Arial" w:eastAsia="Arial" w:hAnsi="Arial"/>
                <w:sz w:val="17"/>
                <w:szCs w:val="17"/>
                <w:color w:val="auto"/>
              </w:rPr>
              <w:t>Depreciation and amortization</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260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238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776</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711</w:t>
            </w:r>
          </w:p>
        </w:tc>
        <w:tc>
          <w:tcPr>
            <w:tcW w:w="0" w:type="dxa"/>
            <w:vAlign w:val="bottom"/>
          </w:tcPr>
          <w:p>
            <w:pPr>
              <w:spacing w:after="0"/>
              <w:rPr>
                <w:sz w:val="1"/>
                <w:szCs w:val="1"/>
                <w:color w:val="auto"/>
              </w:rPr>
            </w:pPr>
          </w:p>
        </w:tc>
      </w:tr>
      <w:tr>
        <w:trPr>
          <w:trHeight w:val="230"/>
        </w:trPr>
        <w:tc>
          <w:tcPr>
            <w:tcW w:w="6180" w:type="dxa"/>
            <w:vAlign w:val="bottom"/>
            <w:shd w:val="clear" w:color="auto" w:fill="CCEEFF"/>
          </w:tcPr>
          <w:p>
            <w:pPr>
              <w:ind w:left="120"/>
              <w:spacing w:after="0"/>
              <w:rPr>
                <w:sz w:val="20"/>
                <w:szCs w:val="20"/>
                <w:color w:val="auto"/>
              </w:rPr>
            </w:pPr>
            <w:r>
              <w:rPr>
                <w:rFonts w:ascii="Arial" w:cs="Arial" w:eastAsia="Arial" w:hAnsi="Arial"/>
                <w:sz w:val="17"/>
                <w:szCs w:val="17"/>
                <w:color w:val="auto"/>
              </w:rPr>
              <w:t>(Gains)/losses on asset sales and asset impairments, net</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29"/>
        </w:trPr>
        <w:tc>
          <w:tcPr>
            <w:tcW w:w="6180" w:type="dxa"/>
            <w:vAlign w:val="bottom"/>
          </w:tcPr>
          <w:p>
            <w:pPr>
              <w:ind w:left="120"/>
              <w:spacing w:after="0"/>
              <w:rPr>
                <w:sz w:val="20"/>
                <w:szCs w:val="20"/>
                <w:color w:val="auto"/>
              </w:rPr>
            </w:pPr>
            <w:r>
              <w:rPr>
                <w:rFonts w:ascii="Arial" w:cs="Arial" w:eastAsia="Arial" w:hAnsi="Arial"/>
                <w:sz w:val="17"/>
                <w:szCs w:val="17"/>
                <w:color w:val="auto"/>
              </w:rPr>
              <w:t>Gain on investment in unconsolidated entities</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6180" w:type="dxa"/>
            <w:vAlign w:val="bottom"/>
            <w:shd w:val="clear" w:color="auto" w:fill="CCEEFF"/>
          </w:tcPr>
          <w:p>
            <w:pPr>
              <w:ind w:left="120"/>
              <w:spacing w:after="0" w:line="229" w:lineRule="exact"/>
              <w:rPr>
                <w:sz w:val="20"/>
                <w:szCs w:val="20"/>
                <w:color w:val="auto"/>
              </w:rPr>
            </w:pPr>
            <w:r>
              <w:rPr>
                <w:rFonts w:ascii="Arial" w:cs="Arial" w:eastAsia="Arial" w:hAnsi="Arial"/>
                <w:sz w:val="17"/>
                <w:szCs w:val="17"/>
                <w:color w:val="auto"/>
              </w:rPr>
              <w:t xml:space="preserve">Depreciation and amortization of unconsolidated entities </w:t>
            </w:r>
            <w:r>
              <w:rPr>
                <w:rFonts w:ascii="Arial" w:cs="Arial" w:eastAsia="Arial" w:hAnsi="Arial"/>
                <w:sz w:val="22"/>
                <w:szCs w:val="22"/>
                <w:color w:val="auto"/>
                <w:vertAlign w:val="superscript"/>
              </w:rPr>
              <w:t>(1)</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30"/>
        </w:trPr>
        <w:tc>
          <w:tcPr>
            <w:tcW w:w="6180" w:type="dxa"/>
            <w:vAlign w:val="bottom"/>
            <w:tcBorders>
              <w:bottom w:val="single" w:sz="8" w:color="CCEEFF"/>
            </w:tcBorders>
          </w:tcPr>
          <w:p>
            <w:pPr>
              <w:ind w:left="120"/>
              <w:spacing w:after="0" w:line="229" w:lineRule="exact"/>
              <w:rPr>
                <w:sz w:val="20"/>
                <w:szCs w:val="20"/>
                <w:color w:val="auto"/>
              </w:rPr>
            </w:pPr>
            <w:r>
              <w:rPr>
                <w:rFonts w:ascii="Arial" w:cs="Arial" w:eastAsia="Arial" w:hAnsi="Arial"/>
                <w:sz w:val="17"/>
                <w:szCs w:val="17"/>
                <w:color w:val="auto"/>
              </w:rPr>
              <w:t xml:space="preserve">Selected items impacting comparability - Adjusted EBITDA </w:t>
            </w:r>
            <w:r>
              <w:rPr>
                <w:rFonts w:ascii="Arial" w:cs="Arial" w:eastAsia="Arial" w:hAnsi="Arial"/>
                <w:sz w:val="22"/>
                <w:szCs w:val="22"/>
                <w:color w:val="auto"/>
                <w:vertAlign w:val="superscript"/>
              </w:rPr>
              <w:t>(2)</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3"/>
        </w:trPr>
        <w:tc>
          <w:tcPr>
            <w:tcW w:w="6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Adjusted EBITDA</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2,292</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2,115</w:t>
            </w:r>
          </w:p>
        </w:tc>
        <w:tc>
          <w:tcPr>
            <w:tcW w:w="0" w:type="dxa"/>
            <w:vAlign w:val="bottom"/>
          </w:tcPr>
          <w:p>
            <w:pPr>
              <w:spacing w:after="0"/>
              <w:rPr>
                <w:sz w:val="1"/>
                <w:szCs w:val="1"/>
                <w:color w:val="auto"/>
              </w:rPr>
            </w:pPr>
          </w:p>
        </w:tc>
      </w:tr>
      <w:tr>
        <w:trPr>
          <w:trHeight w:val="230"/>
        </w:trPr>
        <w:tc>
          <w:tcPr>
            <w:tcW w:w="618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Adjusted EBITDA attributable to noncontrolling interests</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w:t>
            </w:r>
          </w:p>
        </w:tc>
        <w:tc>
          <w:tcPr>
            <w:tcW w:w="0" w:type="dxa"/>
            <w:vAlign w:val="bottom"/>
          </w:tcPr>
          <w:p>
            <w:pPr>
              <w:spacing w:after="0"/>
              <w:rPr>
                <w:sz w:val="1"/>
                <w:szCs w:val="1"/>
                <w:color w:val="auto"/>
              </w:rPr>
            </w:pPr>
          </w:p>
        </w:tc>
      </w:tr>
      <w:tr>
        <w:trPr>
          <w:trHeight w:val="248"/>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Adjusted EBITDA attributable to PAA</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1,974</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1,851</w:t>
            </w:r>
          </w:p>
        </w:tc>
        <w:tc>
          <w:tcPr>
            <w:tcW w:w="0" w:type="dxa"/>
            <w:vAlign w:val="bottom"/>
          </w:tcPr>
          <w:p>
            <w:pPr>
              <w:spacing w:after="0"/>
              <w:rPr>
                <w:sz w:val="1"/>
                <w:szCs w:val="1"/>
                <w:color w:val="auto"/>
              </w:rPr>
            </w:pPr>
          </w:p>
        </w:tc>
      </w:tr>
      <w:tr>
        <w:trPr>
          <w:trHeight w:val="20"/>
        </w:trPr>
        <w:tc>
          <w:tcPr>
            <w:tcW w:w="61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6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9"/>
        </w:trPr>
        <w:tc>
          <w:tcPr>
            <w:tcW w:w="6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Adjusted EBITDA</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2,292</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2,115</w:t>
            </w:r>
          </w:p>
        </w:tc>
        <w:tc>
          <w:tcPr>
            <w:tcW w:w="0" w:type="dxa"/>
            <w:vAlign w:val="bottom"/>
          </w:tcPr>
          <w:p>
            <w:pPr>
              <w:spacing w:after="0"/>
              <w:rPr>
                <w:sz w:val="1"/>
                <w:szCs w:val="1"/>
                <w:color w:val="auto"/>
              </w:rPr>
            </w:pPr>
          </w:p>
        </w:tc>
      </w:tr>
      <w:tr>
        <w:trPr>
          <w:trHeight w:val="230"/>
        </w:trPr>
        <w:tc>
          <w:tcPr>
            <w:tcW w:w="6180" w:type="dxa"/>
            <w:vAlign w:val="bottom"/>
          </w:tcPr>
          <w:p>
            <w:pPr>
              <w:ind w:left="120"/>
              <w:spacing w:after="0" w:line="229" w:lineRule="exact"/>
              <w:rPr>
                <w:sz w:val="20"/>
                <w:szCs w:val="20"/>
                <w:color w:val="auto"/>
              </w:rPr>
            </w:pPr>
            <w:r>
              <w:rPr>
                <w:rFonts w:ascii="Arial" w:cs="Arial" w:eastAsia="Arial" w:hAnsi="Arial"/>
                <w:sz w:val="17"/>
                <w:szCs w:val="17"/>
                <w:color w:val="auto"/>
              </w:rPr>
              <w:t xml:space="preserve">Interest expense, net of certain non-cash items </w:t>
            </w:r>
            <w:r>
              <w:rPr>
                <w:rFonts w:ascii="Arial" w:cs="Arial" w:eastAsia="Arial" w:hAnsi="Arial"/>
                <w:sz w:val="22"/>
                <w:szCs w:val="22"/>
                <w:color w:val="auto"/>
                <w:vertAlign w:val="superscript"/>
              </w:rPr>
              <w:t>(3)</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(275)</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(295)</w:t>
            </w:r>
          </w:p>
        </w:tc>
        <w:tc>
          <w:tcPr>
            <w:tcW w:w="0" w:type="dxa"/>
            <w:vAlign w:val="bottom"/>
          </w:tcPr>
          <w:p>
            <w:pPr>
              <w:spacing w:after="0"/>
              <w:rPr>
                <w:sz w:val="1"/>
                <w:szCs w:val="1"/>
                <w:color w:val="auto"/>
              </w:rPr>
            </w:pPr>
          </w:p>
        </w:tc>
      </w:tr>
      <w:tr>
        <w:trPr>
          <w:trHeight w:val="229"/>
        </w:trPr>
        <w:tc>
          <w:tcPr>
            <w:tcW w:w="6180" w:type="dxa"/>
            <w:vAlign w:val="bottom"/>
            <w:shd w:val="clear" w:color="auto" w:fill="CCEEFF"/>
          </w:tcPr>
          <w:p>
            <w:pPr>
              <w:ind w:left="120"/>
              <w:spacing w:after="0"/>
              <w:rPr>
                <w:sz w:val="20"/>
                <w:szCs w:val="20"/>
                <w:color w:val="auto"/>
              </w:rPr>
            </w:pPr>
            <w:r>
              <w:rPr>
                <w:rFonts w:ascii="Arial" w:cs="Arial" w:eastAsia="Arial" w:hAnsi="Arial"/>
                <w:sz w:val="17"/>
                <w:szCs w:val="17"/>
                <w:color w:val="auto"/>
              </w:rPr>
              <w:t>Maintenance capital</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30"/>
        </w:trPr>
        <w:tc>
          <w:tcPr>
            <w:tcW w:w="6180" w:type="dxa"/>
            <w:vAlign w:val="bottom"/>
          </w:tcPr>
          <w:p>
            <w:pPr>
              <w:ind w:left="120"/>
              <w:spacing w:after="0" w:line="229" w:lineRule="exact"/>
              <w:rPr>
                <w:sz w:val="20"/>
                <w:szCs w:val="20"/>
                <w:color w:val="auto"/>
              </w:rPr>
            </w:pPr>
            <w:r>
              <w:rPr>
                <w:rFonts w:ascii="Arial" w:cs="Arial" w:eastAsia="Arial" w:hAnsi="Arial"/>
                <w:sz w:val="17"/>
                <w:szCs w:val="17"/>
                <w:color w:val="auto"/>
              </w:rPr>
              <w:t xml:space="preserve">Investment capital of noncontrolling interests </w:t>
            </w:r>
            <w:r>
              <w:rPr>
                <w:rFonts w:ascii="Arial" w:cs="Arial" w:eastAsia="Arial" w:hAnsi="Arial"/>
                <w:sz w:val="22"/>
                <w:szCs w:val="22"/>
                <w:color w:val="auto"/>
                <w:vertAlign w:val="superscript"/>
              </w:rPr>
              <w:t>(4)</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30"/>
        </w:trPr>
        <w:tc>
          <w:tcPr>
            <w:tcW w:w="6180" w:type="dxa"/>
            <w:vAlign w:val="bottom"/>
            <w:shd w:val="clear" w:color="auto" w:fill="CCEEFF"/>
          </w:tcPr>
          <w:p>
            <w:pPr>
              <w:ind w:left="120"/>
              <w:spacing w:after="0"/>
              <w:rPr>
                <w:sz w:val="20"/>
                <w:szCs w:val="20"/>
                <w:color w:val="auto"/>
              </w:rPr>
            </w:pPr>
            <w:r>
              <w:rPr>
                <w:rFonts w:ascii="Arial" w:cs="Arial" w:eastAsia="Arial" w:hAnsi="Arial"/>
                <w:sz w:val="17"/>
                <w:szCs w:val="17"/>
                <w:color w:val="auto"/>
              </w:rPr>
              <w:t>Current income tax expense</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162"/>
        </w:trPr>
        <w:tc>
          <w:tcPr>
            <w:tcW w:w="6180" w:type="dxa"/>
            <w:vAlign w:val="bottom"/>
          </w:tcPr>
          <w:p>
            <w:pPr>
              <w:ind w:left="120"/>
              <w:spacing w:after="0" w:line="162" w:lineRule="exact"/>
              <w:rPr>
                <w:sz w:val="20"/>
                <w:szCs w:val="20"/>
                <w:color w:val="auto"/>
              </w:rPr>
            </w:pPr>
            <w:r>
              <w:rPr>
                <w:rFonts w:ascii="Arial" w:cs="Arial" w:eastAsia="Arial" w:hAnsi="Arial"/>
                <w:sz w:val="17"/>
                <w:szCs w:val="17"/>
                <w:color w:val="auto"/>
                <w:w w:val="99"/>
              </w:rPr>
              <w:t>Distributions from unconsolidated entities in excess of/(less than) adjusted equity</w:t>
            </w:r>
          </w:p>
        </w:tc>
        <w:tc>
          <w:tcPr>
            <w:tcW w:w="28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30"/>
        </w:trPr>
        <w:tc>
          <w:tcPr>
            <w:tcW w:w="6180" w:type="dxa"/>
            <w:vAlign w:val="bottom"/>
          </w:tcPr>
          <w:p>
            <w:pPr>
              <w:ind w:left="120"/>
              <w:spacing w:after="0" w:line="229" w:lineRule="exact"/>
              <w:rPr>
                <w:sz w:val="20"/>
                <w:szCs w:val="20"/>
                <w:color w:val="auto"/>
              </w:rPr>
            </w:pPr>
            <w:r>
              <w:rPr>
                <w:rFonts w:ascii="Arial" w:cs="Arial" w:eastAsia="Arial" w:hAnsi="Arial"/>
                <w:sz w:val="17"/>
                <w:szCs w:val="17"/>
                <w:color w:val="auto"/>
              </w:rPr>
              <w:t xml:space="preserve">earnings </w:t>
            </w:r>
            <w:r>
              <w:rPr>
                <w:rFonts w:ascii="Arial" w:cs="Arial" w:eastAsia="Arial" w:hAnsi="Arial"/>
                <w:sz w:val="22"/>
                <w:szCs w:val="22"/>
                <w:color w:val="auto"/>
                <w:vertAlign w:val="superscript"/>
              </w:rPr>
              <w:t>(5)</w:t>
            </w:r>
          </w:p>
        </w:tc>
        <w:tc>
          <w:tcPr>
            <w:tcW w:w="28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80" w:type="dxa"/>
            <w:vAlign w:val="bottom"/>
            <w:shd w:val="clear" w:color="auto" w:fill="CCEEFF"/>
          </w:tcPr>
          <w:p>
            <w:pPr>
              <w:ind w:left="120"/>
              <w:spacing w:after="0" w:line="229" w:lineRule="exact"/>
              <w:rPr>
                <w:sz w:val="20"/>
                <w:szCs w:val="20"/>
                <w:color w:val="auto"/>
              </w:rPr>
            </w:pPr>
            <w:r>
              <w:rPr>
                <w:rFonts w:ascii="Arial" w:cs="Arial" w:eastAsia="Arial" w:hAnsi="Arial"/>
                <w:sz w:val="17"/>
                <w:szCs w:val="17"/>
                <w:color w:val="auto"/>
              </w:rPr>
              <w:t xml:space="preserve">Distributions to noncontrolling interests </w:t>
            </w:r>
            <w:r>
              <w:rPr>
                <w:rFonts w:ascii="Arial" w:cs="Arial" w:eastAsia="Arial" w:hAnsi="Arial"/>
                <w:sz w:val="22"/>
                <w:szCs w:val="22"/>
                <w:color w:val="auto"/>
                <w:vertAlign w:val="superscript"/>
              </w:rPr>
              <w:t>(6)</w:t>
            </w: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23"/>
        </w:trPr>
        <w:tc>
          <w:tcPr>
            <w:tcW w:w="6180" w:type="dxa"/>
            <w:vAlign w:val="bottom"/>
          </w:tcPr>
          <w:p>
            <w:pPr>
              <w:ind w:left="20"/>
              <w:spacing w:after="0"/>
              <w:rPr>
                <w:sz w:val="20"/>
                <w:szCs w:val="20"/>
                <w:color w:val="auto"/>
              </w:rPr>
            </w:pPr>
            <w:r>
              <w:rPr>
                <w:rFonts w:ascii="Arial" w:cs="Arial" w:eastAsia="Arial" w:hAnsi="Arial"/>
                <w:sz w:val="17"/>
                <w:szCs w:val="17"/>
                <w:color w:val="auto"/>
              </w:rPr>
              <w:t>Implied DCF</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494</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422</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1,423</w:t>
            </w:r>
          </w:p>
        </w:tc>
        <w:tc>
          <w:tcPr>
            <w:tcW w:w="12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1,322</w:t>
            </w:r>
          </w:p>
        </w:tc>
        <w:tc>
          <w:tcPr>
            <w:tcW w:w="0" w:type="dxa"/>
            <w:vAlign w:val="bottom"/>
          </w:tcPr>
          <w:p>
            <w:pPr>
              <w:spacing w:after="0"/>
              <w:rPr>
                <w:sz w:val="1"/>
                <w:szCs w:val="1"/>
                <w:color w:val="auto"/>
              </w:rPr>
            </w:pPr>
          </w:p>
        </w:tc>
      </w:tr>
      <w:tr>
        <w:trPr>
          <w:trHeight w:val="230"/>
        </w:trPr>
        <w:tc>
          <w:tcPr>
            <w:tcW w:w="6180" w:type="dxa"/>
            <w:vAlign w:val="bottom"/>
            <w:shd w:val="clear" w:color="auto" w:fill="CCEEFF"/>
          </w:tcPr>
          <w:p>
            <w:pPr>
              <w:ind w:left="180"/>
              <w:spacing w:after="0" w:line="229" w:lineRule="exact"/>
              <w:rPr>
                <w:sz w:val="20"/>
                <w:szCs w:val="20"/>
                <w:color w:val="auto"/>
              </w:rPr>
            </w:pPr>
            <w:r>
              <w:rPr>
                <w:rFonts w:ascii="Arial" w:cs="Arial" w:eastAsia="Arial" w:hAnsi="Arial"/>
                <w:sz w:val="17"/>
                <w:szCs w:val="17"/>
                <w:color w:val="auto"/>
              </w:rPr>
              <w:t xml:space="preserve">Preferred unit distributions paid </w:t>
            </w:r>
            <w:r>
              <w:rPr>
                <w:rFonts w:ascii="Arial" w:cs="Arial" w:eastAsia="Arial" w:hAnsi="Arial"/>
                <w:sz w:val="22"/>
                <w:szCs w:val="22"/>
                <w:color w:val="auto"/>
                <w:vertAlign w:val="superscript"/>
              </w:rPr>
              <w:t>(6)</w:t>
            </w: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23"/>
        </w:trPr>
        <w:tc>
          <w:tcPr>
            <w:tcW w:w="6180" w:type="dxa"/>
            <w:vAlign w:val="bottom"/>
          </w:tcPr>
          <w:p>
            <w:pPr>
              <w:ind w:left="20"/>
              <w:spacing w:after="0"/>
              <w:rPr>
                <w:sz w:val="20"/>
                <w:szCs w:val="20"/>
                <w:color w:val="auto"/>
              </w:rPr>
            </w:pPr>
            <w:r>
              <w:rPr>
                <w:rFonts w:ascii="Arial" w:cs="Arial" w:eastAsia="Arial" w:hAnsi="Arial"/>
                <w:sz w:val="17"/>
                <w:szCs w:val="17"/>
                <w:color w:val="auto"/>
              </w:rPr>
              <w:t>Implied DCF Available to Common Unitholders</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431</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385</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1,245</w:t>
            </w:r>
          </w:p>
        </w:tc>
        <w:tc>
          <w:tcPr>
            <w:tcW w:w="12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1,185</w:t>
            </w:r>
          </w:p>
        </w:tc>
        <w:tc>
          <w:tcPr>
            <w:tcW w:w="0" w:type="dxa"/>
            <w:vAlign w:val="bottom"/>
          </w:tcPr>
          <w:p>
            <w:pPr>
              <w:spacing w:after="0"/>
              <w:rPr>
                <w:sz w:val="1"/>
                <w:szCs w:val="1"/>
                <w:color w:val="auto"/>
              </w:rPr>
            </w:pPr>
          </w:p>
        </w:tc>
      </w:tr>
      <w:tr>
        <w:trPr>
          <w:trHeight w:val="20"/>
        </w:trPr>
        <w:tc>
          <w:tcPr>
            <w:tcW w:w="61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61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6180" w:type="dxa"/>
            <w:vAlign w:val="bottom"/>
          </w:tcPr>
          <w:p>
            <w:pPr>
              <w:ind w:left="20"/>
              <w:spacing w:after="0"/>
              <w:rPr>
                <w:sz w:val="20"/>
                <w:szCs w:val="20"/>
                <w:color w:val="auto"/>
              </w:rPr>
            </w:pPr>
            <w:r>
              <w:rPr>
                <w:rFonts w:ascii="Arial" w:cs="Arial" w:eastAsia="Arial" w:hAnsi="Arial"/>
                <w:sz w:val="17"/>
                <w:szCs w:val="17"/>
                <w:color w:val="auto"/>
              </w:rPr>
              <w:t>Weighted Average Common Units Outstanding</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700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698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699</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702</w:t>
            </w:r>
          </w:p>
        </w:tc>
        <w:tc>
          <w:tcPr>
            <w:tcW w:w="0" w:type="dxa"/>
            <w:vAlign w:val="bottom"/>
          </w:tcPr>
          <w:p>
            <w:pPr>
              <w:spacing w:after="0"/>
              <w:rPr>
                <w:sz w:val="1"/>
                <w:szCs w:val="1"/>
                <w:color w:val="auto"/>
              </w:rPr>
            </w:pPr>
          </w:p>
        </w:tc>
      </w:tr>
      <w:tr>
        <w:trPr>
          <w:trHeight w:val="229"/>
        </w:trPr>
        <w:tc>
          <w:tcPr>
            <w:tcW w:w="6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Weighted Average Common Units and Common Unit Equivalents</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770</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773</w:t>
            </w:r>
          </w:p>
        </w:tc>
        <w:tc>
          <w:tcPr>
            <w:tcW w:w="0" w:type="dxa"/>
            <w:vAlign w:val="bottom"/>
          </w:tcPr>
          <w:p>
            <w:pPr>
              <w:spacing w:after="0"/>
              <w:rPr>
                <w:sz w:val="1"/>
                <w:szCs w:val="1"/>
                <w:color w:val="auto"/>
              </w:rPr>
            </w:pPr>
          </w:p>
        </w:tc>
      </w:tr>
      <w:tr>
        <w:trPr>
          <w:trHeight w:val="216"/>
        </w:trPr>
        <w:tc>
          <w:tcPr>
            <w:tcW w:w="6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180" w:type="dxa"/>
            <w:vAlign w:val="bottom"/>
            <w:shd w:val="clear" w:color="auto" w:fill="CCEEFF"/>
          </w:tcPr>
          <w:p>
            <w:pPr>
              <w:ind w:left="20"/>
              <w:spacing w:after="0" w:line="229" w:lineRule="exact"/>
              <w:rPr>
                <w:sz w:val="20"/>
                <w:szCs w:val="20"/>
                <w:color w:val="auto"/>
              </w:rPr>
            </w:pPr>
            <w:r>
              <w:rPr>
                <w:rFonts w:ascii="Arial" w:cs="Arial" w:eastAsia="Arial" w:hAnsi="Arial"/>
                <w:sz w:val="17"/>
                <w:szCs w:val="17"/>
                <w:color w:val="auto"/>
              </w:rPr>
              <w:t xml:space="preserve">Implied DCF per Common Unit </w:t>
            </w:r>
            <w:r>
              <w:rPr>
                <w:rFonts w:ascii="Arial" w:cs="Arial" w:eastAsia="Arial" w:hAnsi="Arial"/>
                <w:sz w:val="22"/>
                <w:szCs w:val="22"/>
                <w:color w:val="auto"/>
                <w:vertAlign w:val="superscript"/>
              </w:rPr>
              <w:t>(7)</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29"/>
        </w:trPr>
        <w:tc>
          <w:tcPr>
            <w:tcW w:w="6180" w:type="dxa"/>
            <w:vAlign w:val="bottom"/>
          </w:tcPr>
          <w:p>
            <w:pPr>
              <w:ind w:left="20"/>
              <w:spacing w:after="0" w:line="229" w:lineRule="exact"/>
              <w:rPr>
                <w:sz w:val="20"/>
                <w:szCs w:val="20"/>
                <w:color w:val="auto"/>
              </w:rPr>
            </w:pPr>
            <w:r>
              <w:rPr>
                <w:rFonts w:ascii="Arial" w:cs="Arial" w:eastAsia="Arial" w:hAnsi="Arial"/>
                <w:sz w:val="17"/>
                <w:szCs w:val="17"/>
                <w:color w:val="auto"/>
              </w:rPr>
              <w:t xml:space="preserve">Implied DCF per Common Unit and Common Unit Equivalent </w:t>
            </w:r>
            <w:r>
              <w:rPr>
                <w:rFonts w:ascii="Arial" w:cs="Arial" w:eastAsia="Arial" w:hAnsi="Arial"/>
                <w:sz w:val="22"/>
                <w:szCs w:val="22"/>
                <w:color w:val="auto"/>
                <w:vertAlign w:val="superscript"/>
              </w:rPr>
              <w:t>(8)</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0.62</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0.55</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1.78</w:t>
            </w:r>
          </w:p>
        </w:tc>
        <w:tc>
          <w:tcPr>
            <w:tcW w:w="12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162"/>
        </w:trPr>
        <w:tc>
          <w:tcPr>
            <w:tcW w:w="61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6180" w:type="dxa"/>
            <w:vAlign w:val="bottom"/>
          </w:tcPr>
          <w:p>
            <w:pPr>
              <w:ind w:left="20"/>
              <w:spacing w:after="0"/>
              <w:rPr>
                <w:sz w:val="20"/>
                <w:szCs w:val="20"/>
                <w:color w:val="auto"/>
              </w:rPr>
            </w:pPr>
            <w:r>
              <w:rPr>
                <w:rFonts w:ascii="Arial" w:cs="Arial" w:eastAsia="Arial" w:hAnsi="Arial"/>
                <w:sz w:val="17"/>
                <w:szCs w:val="17"/>
                <w:color w:val="auto"/>
              </w:rPr>
              <w:t>Cash Distribution Paid per Common Unit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0.2675</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0.2175</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0.8025</w:t>
            </w:r>
          </w:p>
        </w:tc>
        <w:tc>
          <w:tcPr>
            <w:tcW w:w="12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0.6150</w:t>
            </w:r>
          </w:p>
        </w:tc>
        <w:tc>
          <w:tcPr>
            <w:tcW w:w="0" w:type="dxa"/>
            <w:vAlign w:val="bottom"/>
          </w:tcPr>
          <w:p>
            <w:pPr>
              <w:spacing w:after="0"/>
              <w:rPr>
                <w:sz w:val="1"/>
                <w:szCs w:val="1"/>
                <w:color w:val="auto"/>
              </w:rPr>
            </w:pPr>
          </w:p>
        </w:tc>
      </w:tr>
      <w:tr>
        <w:trPr>
          <w:trHeight w:val="230"/>
        </w:trPr>
        <w:tc>
          <w:tcPr>
            <w:tcW w:w="6180" w:type="dxa"/>
            <w:vAlign w:val="bottom"/>
            <w:shd w:val="clear" w:color="auto" w:fill="CCEEFF"/>
          </w:tcPr>
          <w:p>
            <w:pPr>
              <w:ind w:left="20"/>
              <w:spacing w:after="0" w:line="229" w:lineRule="exact"/>
              <w:rPr>
                <w:sz w:val="20"/>
                <w:szCs w:val="20"/>
                <w:color w:val="auto"/>
              </w:rPr>
            </w:pPr>
            <w:r>
              <w:rPr>
                <w:rFonts w:ascii="Arial" w:cs="Arial" w:eastAsia="Arial" w:hAnsi="Arial"/>
                <w:sz w:val="17"/>
                <w:szCs w:val="17"/>
                <w:color w:val="auto"/>
              </w:rPr>
              <w:t xml:space="preserve">Common Unit Cash Distributions </w:t>
            </w:r>
            <w:r>
              <w:rPr>
                <w:rFonts w:ascii="Arial" w:cs="Arial" w:eastAsia="Arial" w:hAnsi="Arial"/>
                <w:sz w:val="22"/>
                <w:szCs w:val="22"/>
                <w:color w:val="auto"/>
                <w:vertAlign w:val="superscript"/>
              </w:rPr>
              <w:t>(6)</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w:t>
            </w:r>
          </w:p>
        </w:tc>
        <w:tc>
          <w:tcPr>
            <w:tcW w:w="0" w:type="dxa"/>
            <w:vAlign w:val="bottom"/>
          </w:tcPr>
          <w:p>
            <w:pPr>
              <w:spacing w:after="0"/>
              <w:rPr>
                <w:sz w:val="1"/>
                <w:szCs w:val="1"/>
                <w:color w:val="auto"/>
              </w:rPr>
            </w:pPr>
          </w:p>
        </w:tc>
      </w:tr>
      <w:tr>
        <w:trPr>
          <w:trHeight w:val="229"/>
        </w:trPr>
        <w:tc>
          <w:tcPr>
            <w:tcW w:w="6180" w:type="dxa"/>
            <w:vAlign w:val="bottom"/>
          </w:tcPr>
          <w:p>
            <w:pPr>
              <w:ind w:left="20"/>
              <w:spacing w:after="0"/>
              <w:rPr>
                <w:sz w:val="20"/>
                <w:szCs w:val="20"/>
                <w:color w:val="auto"/>
              </w:rPr>
            </w:pPr>
            <w:r>
              <w:rPr>
                <w:rFonts w:ascii="Arial" w:cs="Arial" w:eastAsia="Arial" w:hAnsi="Arial"/>
                <w:sz w:val="17"/>
                <w:szCs w:val="17"/>
                <w:color w:val="auto"/>
              </w:rPr>
              <w:t>Common Unit Distribution Coverage Ratio</w:t>
            </w:r>
          </w:p>
        </w:tc>
        <w:tc>
          <w:tcPr>
            <w:tcW w:w="280" w:type="dxa"/>
            <w:vAlign w:val="bottom"/>
          </w:tcPr>
          <w:p>
            <w:pPr>
              <w:spacing w:after="0"/>
              <w:rPr>
                <w:sz w:val="19"/>
                <w:szCs w:val="19"/>
                <w:color w:val="auto"/>
              </w:rPr>
            </w:pPr>
          </w:p>
        </w:tc>
        <w:tc>
          <w:tcPr>
            <w:tcW w:w="1000" w:type="dxa"/>
            <w:vAlign w:val="bottom"/>
            <w:gridSpan w:val="2"/>
          </w:tcPr>
          <w:p>
            <w:pPr>
              <w:ind w:left="480"/>
              <w:spacing w:after="0"/>
              <w:rPr>
                <w:sz w:val="20"/>
                <w:szCs w:val="20"/>
                <w:color w:val="auto"/>
              </w:rPr>
            </w:pPr>
            <w:r>
              <w:rPr>
                <w:rFonts w:ascii="Arial" w:cs="Arial" w:eastAsia="Arial" w:hAnsi="Arial"/>
                <w:sz w:val="18"/>
                <w:szCs w:val="18"/>
                <w:color w:val="auto"/>
              </w:rPr>
              <w:t>2.30x</w:t>
            </w:r>
          </w:p>
        </w:tc>
        <w:tc>
          <w:tcPr>
            <w:tcW w:w="420" w:type="dxa"/>
            <w:vAlign w:val="bottom"/>
          </w:tcPr>
          <w:p>
            <w:pPr>
              <w:spacing w:after="0"/>
              <w:rPr>
                <w:sz w:val="19"/>
                <w:szCs w:val="19"/>
                <w:color w:val="auto"/>
              </w:rPr>
            </w:pPr>
          </w:p>
        </w:tc>
        <w:tc>
          <w:tcPr>
            <w:tcW w:w="860" w:type="dxa"/>
            <w:vAlign w:val="bottom"/>
            <w:gridSpan w:val="2"/>
          </w:tcPr>
          <w:p>
            <w:pPr>
              <w:ind w:left="340"/>
              <w:spacing w:after="0"/>
              <w:rPr>
                <w:sz w:val="20"/>
                <w:szCs w:val="20"/>
                <w:color w:val="auto"/>
              </w:rPr>
            </w:pPr>
            <w:r>
              <w:rPr>
                <w:rFonts w:ascii="Arial" w:cs="Arial" w:eastAsia="Arial" w:hAnsi="Arial"/>
                <w:sz w:val="18"/>
                <w:szCs w:val="18"/>
                <w:color w:val="auto"/>
              </w:rPr>
              <w:t>2.53x</w:t>
            </w:r>
          </w:p>
        </w:tc>
        <w:tc>
          <w:tcPr>
            <w:tcW w:w="280" w:type="dxa"/>
            <w:vAlign w:val="bottom"/>
          </w:tcPr>
          <w:p>
            <w:pPr>
              <w:spacing w:after="0"/>
              <w:rPr>
                <w:sz w:val="19"/>
                <w:szCs w:val="19"/>
                <w:color w:val="auto"/>
              </w:rPr>
            </w:pPr>
          </w:p>
        </w:tc>
        <w:tc>
          <w:tcPr>
            <w:tcW w:w="1020" w:type="dxa"/>
            <w:vAlign w:val="bottom"/>
            <w:gridSpan w:val="2"/>
          </w:tcPr>
          <w:p>
            <w:pPr>
              <w:ind w:left="480"/>
              <w:spacing w:after="0"/>
              <w:rPr>
                <w:sz w:val="20"/>
                <w:szCs w:val="20"/>
                <w:color w:val="auto"/>
              </w:rPr>
            </w:pPr>
            <w:r>
              <w:rPr>
                <w:rFonts w:ascii="Arial" w:cs="Arial" w:eastAsia="Arial" w:hAnsi="Arial"/>
                <w:sz w:val="18"/>
                <w:szCs w:val="18"/>
                <w:color w:val="auto"/>
              </w:rPr>
              <w:t>2.22x</w:t>
            </w: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2.74x</w:t>
            </w:r>
          </w:p>
        </w:tc>
        <w:tc>
          <w:tcPr>
            <w:tcW w:w="0" w:type="dxa"/>
            <w:vAlign w:val="bottom"/>
          </w:tcPr>
          <w:p>
            <w:pPr>
              <w:spacing w:after="0"/>
              <w:rPr>
                <w:sz w:val="1"/>
                <w:szCs w:val="1"/>
                <w:color w:val="auto"/>
              </w:rPr>
            </w:pPr>
          </w:p>
        </w:tc>
      </w:tr>
      <w:tr>
        <w:trPr>
          <w:trHeight w:val="162"/>
        </w:trPr>
        <w:tc>
          <w:tcPr>
            <w:tcW w:w="61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6180" w:type="dxa"/>
            <w:vAlign w:val="bottom"/>
          </w:tcPr>
          <w:p>
            <w:pPr>
              <w:ind w:left="20"/>
              <w:spacing w:after="0"/>
              <w:rPr>
                <w:sz w:val="20"/>
                <w:szCs w:val="20"/>
                <w:color w:val="auto"/>
              </w:rPr>
            </w:pPr>
            <w:r>
              <w:rPr>
                <w:rFonts w:ascii="Arial" w:cs="Arial" w:eastAsia="Arial" w:hAnsi="Arial"/>
                <w:sz w:val="17"/>
                <w:szCs w:val="17"/>
                <w:color w:val="auto"/>
              </w:rPr>
              <w:t>Implied DCF Excess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244</w:t>
            </w:r>
          </w:p>
        </w:tc>
        <w:tc>
          <w:tcPr>
            <w:tcW w:w="100" w:type="dxa"/>
            <w:vAlign w:val="bottom"/>
          </w:tcPr>
          <w:p>
            <w:pPr>
              <w:spacing w:after="0"/>
              <w:rPr>
                <w:sz w:val="20"/>
                <w:szCs w:val="20"/>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233</w:t>
            </w:r>
          </w:p>
        </w:tc>
        <w:tc>
          <w:tcPr>
            <w:tcW w:w="10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685</w:t>
            </w:r>
          </w:p>
        </w:tc>
        <w:tc>
          <w:tcPr>
            <w:tcW w:w="120" w:type="dxa"/>
            <w:vAlign w:val="bottom"/>
          </w:tcPr>
          <w:p>
            <w:pPr>
              <w:spacing w:after="0"/>
              <w:rPr>
                <w:sz w:val="20"/>
                <w:szCs w:val="20"/>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753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102235</wp:posOffset>
            </wp:positionV>
            <wp:extent cx="245999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217" w:lineRule="exact"/>
        <w:rPr>
          <w:sz w:val="20"/>
          <w:szCs w:val="20"/>
          <w:color w:val="auto"/>
        </w:rPr>
      </w:pPr>
    </w:p>
    <w:p>
      <w:pPr>
        <w:ind w:left="320" w:hanging="312"/>
        <w:spacing w:after="0"/>
        <w:tabs>
          <w:tab w:leader="none" w:pos="320" w:val="left"/>
        </w:tabs>
        <w:numPr>
          <w:ilvl w:val="0"/>
          <w:numId w:val="12"/>
        </w:numPr>
        <w:rPr>
          <w:rFonts w:ascii="Arial" w:cs="Arial" w:eastAsia="Arial" w:hAnsi="Arial"/>
          <w:sz w:val="17"/>
          <w:szCs w:val="17"/>
          <w:color w:val="auto"/>
          <w:vertAlign w:val="superscript"/>
        </w:rPr>
      </w:pPr>
      <w:r>
        <w:rPr>
          <w:rFonts w:ascii="Arial" w:cs="Arial" w:eastAsia="Arial" w:hAnsi="Arial"/>
          <w:sz w:val="13"/>
          <w:szCs w:val="13"/>
          <w:color w:val="auto"/>
        </w:rPr>
        <w:t>Adjustment to exclude our proportionate share of depreciation and amortization expense (including write-downs related to cancelled projects and impairments) of unconsolidated entities.</w:t>
      </w:r>
    </w:p>
    <w:p>
      <w:pPr>
        <w:spacing w:after="0" w:line="32" w:lineRule="exact"/>
        <w:rPr>
          <w:rFonts w:ascii="Arial" w:cs="Arial" w:eastAsia="Arial" w:hAnsi="Arial"/>
          <w:sz w:val="17"/>
          <w:szCs w:val="17"/>
          <w:color w:val="auto"/>
          <w:vertAlign w:val="superscript"/>
        </w:rPr>
      </w:pPr>
    </w:p>
    <w:p>
      <w:pPr>
        <w:ind w:left="320" w:hanging="312"/>
        <w:spacing w:after="0"/>
        <w:tabs>
          <w:tab w:leader="none" w:pos="320" w:val="left"/>
        </w:tabs>
        <w:numPr>
          <w:ilvl w:val="0"/>
          <w:numId w:val="12"/>
        </w:numPr>
        <w:rPr>
          <w:rFonts w:ascii="Arial" w:cs="Arial" w:eastAsia="Arial" w:hAnsi="Arial"/>
          <w:sz w:val="9"/>
          <w:szCs w:val="9"/>
          <w:color w:val="auto"/>
        </w:rPr>
      </w:pPr>
      <w:r>
        <w:rPr>
          <w:rFonts w:ascii="Arial" w:cs="Arial" w:eastAsia="Arial" w:hAnsi="Arial"/>
          <w:sz w:val="14"/>
          <w:szCs w:val="14"/>
          <w:color w:val="auto"/>
        </w:rPr>
        <w:t>See the “Selected Items Impacting Comparability” table for additional information.</w:t>
      </w:r>
    </w:p>
    <w:p>
      <w:pPr>
        <w:spacing w:after="0" w:line="9" w:lineRule="exact"/>
        <w:rPr>
          <w:rFonts w:ascii="Arial" w:cs="Arial" w:eastAsia="Arial" w:hAnsi="Arial"/>
          <w:sz w:val="9"/>
          <w:szCs w:val="9"/>
          <w:color w:val="auto"/>
        </w:rPr>
      </w:pPr>
    </w:p>
    <w:p>
      <w:pPr>
        <w:ind w:left="320" w:hanging="312"/>
        <w:spacing w:after="0" w:line="237" w:lineRule="auto"/>
        <w:tabs>
          <w:tab w:leader="none" w:pos="320" w:val="left"/>
        </w:tabs>
        <w:numPr>
          <w:ilvl w:val="0"/>
          <w:numId w:val="12"/>
        </w:numPr>
        <w:rPr>
          <w:rFonts w:ascii="Arial" w:cs="Arial" w:eastAsia="Arial" w:hAnsi="Arial"/>
          <w:sz w:val="19"/>
          <w:szCs w:val="19"/>
          <w:color w:val="auto"/>
          <w:vertAlign w:val="superscript"/>
        </w:rPr>
      </w:pPr>
      <w:r>
        <w:rPr>
          <w:rFonts w:ascii="Arial" w:cs="Arial" w:eastAsia="Arial" w:hAnsi="Arial"/>
          <w:sz w:val="14"/>
          <w:szCs w:val="14"/>
          <w:color w:val="auto"/>
        </w:rPr>
        <w:t>Excludes certain non-cash items impacting interest expense such as amortization of debt issuance costs and terminated interest rate swaps.</w:t>
      </w:r>
    </w:p>
    <w:p>
      <w:pPr>
        <w:spacing w:after="0" w:line="32" w:lineRule="exact"/>
        <w:rPr>
          <w:rFonts w:ascii="Arial" w:cs="Arial" w:eastAsia="Arial" w:hAnsi="Arial"/>
          <w:sz w:val="19"/>
          <w:szCs w:val="19"/>
          <w:color w:val="auto"/>
          <w:vertAlign w:val="superscript"/>
        </w:rPr>
      </w:pPr>
    </w:p>
    <w:p>
      <w:pPr>
        <w:ind w:left="320" w:hanging="312"/>
        <w:spacing w:after="0"/>
        <w:tabs>
          <w:tab w:leader="none" w:pos="320" w:val="left"/>
        </w:tabs>
        <w:numPr>
          <w:ilvl w:val="0"/>
          <w:numId w:val="12"/>
        </w:numPr>
        <w:rPr>
          <w:rFonts w:ascii="Arial" w:cs="Arial" w:eastAsia="Arial" w:hAnsi="Arial"/>
          <w:sz w:val="9"/>
          <w:szCs w:val="9"/>
          <w:color w:val="auto"/>
        </w:rPr>
      </w:pPr>
      <w:r>
        <w:rPr>
          <w:rFonts w:ascii="Arial" w:cs="Arial" w:eastAsia="Arial" w:hAnsi="Arial"/>
          <w:sz w:val="14"/>
          <w:szCs w:val="14"/>
          <w:color w:val="auto"/>
        </w:rPr>
        <w:t>Investment capital expenditures attributable to noncontrolling interests that reduce Implied DCF available to PAA common unitholders.</w:t>
      </w:r>
    </w:p>
    <w:p>
      <w:pPr>
        <w:spacing w:after="0" w:line="43" w:lineRule="exact"/>
        <w:rPr>
          <w:rFonts w:ascii="Arial" w:cs="Arial" w:eastAsia="Arial" w:hAnsi="Arial"/>
          <w:sz w:val="9"/>
          <w:szCs w:val="9"/>
          <w:color w:val="auto"/>
        </w:rPr>
      </w:pPr>
    </w:p>
    <w:p>
      <w:pPr>
        <w:ind w:left="340" w:right="100" w:hanging="332"/>
        <w:spacing w:after="0" w:line="226" w:lineRule="auto"/>
        <w:tabs>
          <w:tab w:leader="none" w:pos="327" w:val="left"/>
        </w:tabs>
        <w:numPr>
          <w:ilvl w:val="0"/>
          <w:numId w:val="12"/>
        </w:numPr>
        <w:rPr>
          <w:rFonts w:ascii="Arial" w:cs="Arial" w:eastAsia="Arial" w:hAnsi="Arial"/>
          <w:sz w:val="19"/>
          <w:szCs w:val="19"/>
          <w:color w:val="auto"/>
          <w:vertAlign w:val="superscript"/>
        </w:rPr>
      </w:pPr>
      <w:r>
        <w:rPr>
          <w:rFonts w:ascii="Arial" w:cs="Arial" w:eastAsia="Arial" w:hAnsi="Arial"/>
          <w:sz w:val="14"/>
          <w:szCs w:val="14"/>
          <w:color w:val="auto"/>
        </w:rPr>
        <w:t>Comprised of cash distributions received from unconsolidated entities less equity earnings in unconsolidated entities (adjusted for our proportionate share of depreciation and amortization, including write-downs related to cancelled projects and impairments, and selected items impacting comparability of unconsolidated entities).</w:t>
      </w:r>
    </w:p>
    <w:p>
      <w:pPr>
        <w:ind w:left="320" w:hanging="312"/>
        <w:spacing w:after="0" w:line="222" w:lineRule="auto"/>
        <w:tabs>
          <w:tab w:leader="none" w:pos="320" w:val="left"/>
        </w:tabs>
        <w:numPr>
          <w:ilvl w:val="0"/>
          <w:numId w:val="12"/>
        </w:numPr>
        <w:rPr>
          <w:rFonts w:ascii="Arial" w:cs="Arial" w:eastAsia="Arial" w:hAnsi="Arial"/>
          <w:sz w:val="19"/>
          <w:szCs w:val="19"/>
          <w:color w:val="auto"/>
          <w:vertAlign w:val="superscript"/>
        </w:rPr>
      </w:pPr>
      <w:r>
        <w:rPr>
          <w:rFonts w:ascii="Arial" w:cs="Arial" w:eastAsia="Arial" w:hAnsi="Arial"/>
          <w:sz w:val="14"/>
          <w:szCs w:val="14"/>
          <w:color w:val="auto"/>
        </w:rPr>
        <w:t>Cash distributions paid during the period presented.</w:t>
      </w:r>
    </w:p>
    <w:p>
      <w:pPr>
        <w:spacing w:after="0" w:line="32" w:lineRule="exact"/>
        <w:rPr>
          <w:rFonts w:ascii="Arial" w:cs="Arial" w:eastAsia="Arial" w:hAnsi="Arial"/>
          <w:sz w:val="19"/>
          <w:szCs w:val="19"/>
          <w:color w:val="auto"/>
          <w:vertAlign w:val="superscript"/>
        </w:rPr>
      </w:pPr>
    </w:p>
    <w:p>
      <w:pPr>
        <w:ind w:left="320" w:hanging="312"/>
        <w:spacing w:after="0"/>
        <w:tabs>
          <w:tab w:leader="none" w:pos="320" w:val="left"/>
        </w:tabs>
        <w:numPr>
          <w:ilvl w:val="0"/>
          <w:numId w:val="12"/>
        </w:numPr>
        <w:rPr>
          <w:rFonts w:ascii="Arial" w:cs="Arial" w:eastAsia="Arial" w:hAnsi="Arial"/>
          <w:sz w:val="9"/>
          <w:szCs w:val="9"/>
          <w:color w:val="auto"/>
        </w:rPr>
      </w:pPr>
      <w:r>
        <w:rPr>
          <w:rFonts w:ascii="Arial" w:cs="Arial" w:eastAsia="Arial" w:hAnsi="Arial"/>
          <w:sz w:val="14"/>
          <w:szCs w:val="14"/>
          <w:color w:val="auto"/>
        </w:rPr>
        <w:t>Implied DCF Available to Common Unitholders for the period divided by the weighted average common units outstanding for the period.</w:t>
      </w:r>
    </w:p>
    <w:p>
      <w:pPr>
        <w:spacing w:after="0" w:line="43" w:lineRule="exact"/>
        <w:rPr>
          <w:rFonts w:ascii="Arial" w:cs="Arial" w:eastAsia="Arial" w:hAnsi="Arial"/>
          <w:sz w:val="9"/>
          <w:szCs w:val="9"/>
          <w:color w:val="auto"/>
        </w:rPr>
      </w:pPr>
    </w:p>
    <w:p>
      <w:pPr>
        <w:ind w:left="340" w:right="20" w:hanging="332"/>
        <w:spacing w:after="0" w:line="236" w:lineRule="auto"/>
        <w:tabs>
          <w:tab w:leader="none" w:pos="327" w:val="left"/>
        </w:tabs>
        <w:numPr>
          <w:ilvl w:val="0"/>
          <w:numId w:val="12"/>
        </w:numPr>
        <w:rPr>
          <w:rFonts w:ascii="Arial" w:cs="Arial" w:eastAsia="Arial" w:hAnsi="Arial"/>
          <w:sz w:val="19"/>
          <w:szCs w:val="19"/>
          <w:color w:val="auto"/>
          <w:vertAlign w:val="superscript"/>
        </w:rPr>
      </w:pPr>
      <w:r>
        <w:rPr>
          <w:rFonts w:ascii="Arial" w:cs="Arial" w:eastAsia="Arial" w:hAnsi="Arial"/>
          <w:sz w:val="14"/>
          <w:szCs w:val="14"/>
          <w:color w:val="auto"/>
        </w:rPr>
        <w:t>Implied DCF Available to Common Unitholders for the period, adjusted for Series A preferred unit cash distributions paid, divided by the weighted average common units and common unit equivalents outstanding for the period. Our Series A preferred units are convertible into common units, generally on a one-for-one basis and subject to customary anti-dilution adjustments, in whole or in part, subject to certain minimum conversion amounts.</w:t>
      </w: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100330</wp:posOffset>
            </wp:positionV>
            <wp:extent cx="711517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55" w:lineRule="exact"/>
        <w:rPr>
          <w:sz w:val="20"/>
          <w:szCs w:val="20"/>
          <w:color w:val="auto"/>
        </w:rPr>
      </w:pPr>
    </w:p>
    <w:p>
      <w:pPr>
        <w:ind w:left="1660"/>
        <w:spacing w:after="0"/>
        <w:tabs>
          <w:tab w:leader="none" w:pos="4760" w:val="left"/>
          <w:tab w:leader="none" w:pos="74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220"/>
          </w:cols>
          <w:pgMar w:left="320" w:top="368" w:right="35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auto"/>
        </w:rPr>
        <w:t>Page 11</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1517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Per Common Unit to Implied DCF Per Common Unit and Common Unit Equivalent Reconciliation:</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2000" w:type="dxa"/>
            <w:vAlign w:val="bottom"/>
            <w:gridSpan w:val="4"/>
          </w:tcPr>
          <w:p>
            <w:pPr>
              <w:jc w:val="right"/>
              <w:ind w:right="54"/>
              <w:spacing w:after="0"/>
              <w:rPr>
                <w:sz w:val="20"/>
                <w:szCs w:val="20"/>
                <w:color w:val="auto"/>
              </w:rPr>
            </w:pPr>
            <w:r>
              <w:rPr>
                <w:rFonts w:ascii="Arial" w:cs="Arial" w:eastAsia="Arial" w:hAnsi="Arial"/>
                <w:sz w:val="14"/>
                <w:szCs w:val="14"/>
                <w:b w:val="1"/>
                <w:bCs w:val="1"/>
                <w:color w:val="auto"/>
              </w:rPr>
              <w:t>Three Months Ended</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60" w:type="dxa"/>
            <w:vAlign w:val="bottom"/>
            <w:gridSpan w:val="4"/>
          </w:tcPr>
          <w:p>
            <w:pPr>
              <w:ind w:left="340"/>
              <w:spacing w:after="0"/>
              <w:rPr>
                <w:sz w:val="20"/>
                <w:szCs w:val="20"/>
                <w:color w:val="auto"/>
              </w:rPr>
            </w:pPr>
            <w:r>
              <w:rPr>
                <w:rFonts w:ascii="Arial" w:cs="Arial" w:eastAsia="Arial" w:hAnsi="Arial"/>
                <w:sz w:val="14"/>
                <w:szCs w:val="14"/>
                <w:b w:val="1"/>
                <w:bCs w:val="1"/>
                <w:color w:val="auto"/>
              </w:rPr>
              <w:t>Nine Months Ended</w:t>
            </w:r>
          </w:p>
        </w:tc>
      </w:tr>
      <w:tr>
        <w:trPr>
          <w:trHeight w:val="196"/>
        </w:trPr>
        <w:tc>
          <w:tcPr>
            <w:tcW w:w="20" w:type="dxa"/>
            <w:vAlign w:val="bottom"/>
          </w:tcPr>
          <w:p>
            <w:pPr>
              <w:spacing w:after="0"/>
              <w:rPr>
                <w:sz w:val="17"/>
                <w:szCs w:val="17"/>
                <w:color w:val="auto"/>
              </w:rPr>
            </w:pPr>
          </w:p>
        </w:tc>
        <w:tc>
          <w:tcPr>
            <w:tcW w:w="386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September 30,</w:t>
            </w:r>
          </w:p>
        </w:tc>
        <w:tc>
          <w:tcPr>
            <w:tcW w:w="4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3"/>
          </w:tcPr>
          <w:p>
            <w:pPr>
              <w:ind w:left="520"/>
              <w:spacing w:after="0"/>
              <w:rPr>
                <w:sz w:val="20"/>
                <w:szCs w:val="20"/>
                <w:color w:val="auto"/>
              </w:rPr>
            </w:pPr>
            <w:r>
              <w:rPr>
                <w:rFonts w:ascii="Arial" w:cs="Arial" w:eastAsia="Arial" w:hAnsi="Arial"/>
                <w:sz w:val="14"/>
                <w:szCs w:val="14"/>
                <w:b w:val="1"/>
                <w:bCs w:val="1"/>
                <w:color w:val="auto"/>
                <w:w w:val="91"/>
              </w:rPr>
              <w:t>September 30,</w:t>
            </w:r>
          </w:p>
        </w:tc>
        <w:tc>
          <w:tcPr>
            <w:tcW w:w="740" w:type="dxa"/>
            <w:vAlign w:val="bottom"/>
            <w:tcBorders>
              <w:bottom w:val="single" w:sz="8" w:color="auto"/>
            </w:tcBorders>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3860" w:type="dxa"/>
            <w:vAlign w:val="bottom"/>
            <w:tcBorders>
              <w:bottom w:val="single" w:sz="8" w:color="CCEEFF"/>
            </w:tcBorders>
          </w:tcPr>
          <w:p>
            <w:pPr>
              <w:spacing w:after="0"/>
              <w:rPr>
                <w:sz w:val="17"/>
                <w:szCs w:val="17"/>
                <w:color w:val="auto"/>
              </w:rPr>
            </w:pPr>
          </w:p>
        </w:tc>
        <w:tc>
          <w:tcPr>
            <w:tcW w:w="2240" w:type="dxa"/>
            <w:vAlign w:val="bottom"/>
            <w:tcBorders>
              <w:bottom w:val="single" w:sz="8" w:color="CCEEFF"/>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4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40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w w:val="89"/>
              </w:rPr>
              <w:t>2022</w:t>
            </w:r>
          </w:p>
        </w:tc>
      </w:tr>
      <w:tr>
        <w:trPr>
          <w:trHeight w:val="229"/>
        </w:trPr>
        <w:tc>
          <w:tcPr>
            <w:tcW w:w="20" w:type="dxa"/>
            <w:vAlign w:val="bottom"/>
          </w:tcPr>
          <w:p>
            <w:pPr>
              <w:spacing w:after="0"/>
              <w:rPr>
                <w:sz w:val="19"/>
                <w:szCs w:val="19"/>
                <w:color w:val="auto"/>
              </w:rPr>
            </w:pPr>
          </w:p>
        </w:tc>
        <w:tc>
          <w:tcPr>
            <w:tcW w:w="61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Basic net income per common unit</w:t>
            </w:r>
          </w:p>
        </w:tc>
        <w:tc>
          <w:tcPr>
            <w:tcW w:w="740" w:type="dxa"/>
            <w:vAlign w:val="bottom"/>
            <w:shd w:val="clear" w:color="auto" w:fill="CCEEFF"/>
          </w:tcPr>
          <w:p>
            <w:pPr>
              <w:jc w:val="right"/>
              <w:ind w:right="536"/>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0.20</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554"/>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0.48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1.04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0.89</w:t>
            </w:r>
          </w:p>
        </w:tc>
      </w:tr>
      <w:tr>
        <w:trPr>
          <w:trHeight w:val="230"/>
        </w:trPr>
        <w:tc>
          <w:tcPr>
            <w:tcW w:w="20" w:type="dxa"/>
            <w:vAlign w:val="bottom"/>
          </w:tcPr>
          <w:p>
            <w:pPr>
              <w:spacing w:after="0"/>
              <w:rPr>
                <w:sz w:val="19"/>
                <w:szCs w:val="19"/>
                <w:color w:val="auto"/>
              </w:rPr>
            </w:pPr>
          </w:p>
        </w:tc>
        <w:tc>
          <w:tcPr>
            <w:tcW w:w="6100" w:type="dxa"/>
            <w:vAlign w:val="bottom"/>
            <w:tcBorders>
              <w:bottom w:val="single" w:sz="8" w:color="CCEEFF"/>
            </w:tcBorders>
            <w:gridSpan w:val="2"/>
          </w:tcPr>
          <w:p>
            <w:pPr>
              <w:ind w:left="20"/>
              <w:spacing w:after="0" w:line="230" w:lineRule="exact"/>
              <w:rPr>
                <w:sz w:val="20"/>
                <w:szCs w:val="20"/>
                <w:color w:val="auto"/>
              </w:rPr>
            </w:pPr>
            <w:r>
              <w:rPr>
                <w:rFonts w:ascii="Arial" w:cs="Arial" w:eastAsia="Arial" w:hAnsi="Arial"/>
                <w:sz w:val="18"/>
                <w:szCs w:val="18"/>
                <w:color w:val="auto"/>
              </w:rPr>
              <w:t xml:space="preserve">Reconciling items per common unit </w:t>
            </w:r>
            <w:r>
              <w:rPr>
                <w:rFonts w:ascii="Arial" w:cs="Arial" w:eastAsia="Arial" w:hAnsi="Arial"/>
                <w:sz w:val="23"/>
                <w:szCs w:val="23"/>
                <w:color w:val="auto"/>
                <w:vertAlign w:val="superscript"/>
              </w:rPr>
              <w:t>(1) (2)</w:t>
            </w:r>
          </w:p>
        </w:tc>
        <w:tc>
          <w:tcPr>
            <w:tcW w:w="7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0.42</w:t>
            </w:r>
          </w:p>
        </w:tc>
        <w:tc>
          <w:tcPr>
            <w:tcW w:w="10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0.07</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0.74</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0.80</w:t>
            </w:r>
          </w:p>
        </w:tc>
      </w:tr>
      <w:tr>
        <w:trPr>
          <w:trHeight w:val="248"/>
        </w:trPr>
        <w:tc>
          <w:tcPr>
            <w:tcW w:w="20" w:type="dxa"/>
            <w:vAlign w:val="bottom"/>
          </w:tcPr>
          <w:p>
            <w:pPr>
              <w:spacing w:after="0"/>
              <w:rPr>
                <w:sz w:val="21"/>
                <w:szCs w:val="21"/>
                <w:color w:val="auto"/>
              </w:rPr>
            </w:pPr>
          </w:p>
        </w:tc>
        <w:tc>
          <w:tcPr>
            <w:tcW w:w="61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Implied DCF per common unit</w:t>
            </w:r>
          </w:p>
        </w:tc>
        <w:tc>
          <w:tcPr>
            <w:tcW w:w="740" w:type="dxa"/>
            <w:vAlign w:val="bottom"/>
            <w:tcBorders>
              <w:bottom w:val="single" w:sz="8" w:color="auto"/>
            </w:tcBorders>
            <w:shd w:val="clear" w:color="auto" w:fill="CCEEFF"/>
          </w:tcPr>
          <w:p>
            <w:pPr>
              <w:jc w:val="right"/>
              <w:ind w:right="536"/>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0.62</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ind w:right="554"/>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0.55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ind w:left="500"/>
              <w:spacing w:after="0"/>
              <w:rPr>
                <w:sz w:val="20"/>
                <w:szCs w:val="20"/>
                <w:color w:val="auto"/>
              </w:rPr>
            </w:pPr>
            <w:r>
              <w:rPr>
                <w:rFonts w:ascii="Arial" w:cs="Arial" w:eastAsia="Arial" w:hAnsi="Arial"/>
                <w:sz w:val="18"/>
                <w:szCs w:val="18"/>
                <w:color w:val="auto"/>
              </w:rPr>
              <w:t>1.78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w:t>
            </w:r>
          </w:p>
        </w:tc>
      </w:tr>
      <w:tr>
        <w:trPr>
          <w:trHeight w:val="20"/>
        </w:trPr>
        <w:tc>
          <w:tcPr>
            <w:tcW w:w="20" w:type="dxa"/>
            <w:vAlign w:val="bottom"/>
          </w:tcPr>
          <w:p>
            <w:pPr>
              <w:spacing w:after="0" w:line="20" w:lineRule="exact"/>
              <w:rPr>
                <w:sz w:val="1"/>
                <w:szCs w:val="1"/>
                <w:color w:val="auto"/>
              </w:rPr>
            </w:pPr>
          </w:p>
        </w:tc>
        <w:tc>
          <w:tcPr>
            <w:tcW w:w="3860" w:type="dxa"/>
            <w:vAlign w:val="bottom"/>
            <w:tcBorders>
              <w:top w:val="single" w:sz="8" w:color="CCEEFF"/>
            </w:tcBorders>
          </w:tcPr>
          <w:p>
            <w:pPr>
              <w:spacing w:after="0" w:line="20" w:lineRule="exact"/>
              <w:rPr>
                <w:sz w:val="1"/>
                <w:szCs w:val="1"/>
                <w:color w:val="auto"/>
              </w:rPr>
            </w:pPr>
          </w:p>
        </w:tc>
        <w:tc>
          <w:tcPr>
            <w:tcW w:w="22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61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Basic net income per common unit</w:t>
            </w:r>
          </w:p>
        </w:tc>
        <w:tc>
          <w:tcPr>
            <w:tcW w:w="740" w:type="dxa"/>
            <w:vAlign w:val="bottom"/>
            <w:shd w:val="clear" w:color="auto" w:fill="CCEEFF"/>
          </w:tcPr>
          <w:p>
            <w:pPr>
              <w:jc w:val="right"/>
              <w:ind w:right="536"/>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0.20</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554"/>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0.48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1.04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0.89</w:t>
            </w:r>
          </w:p>
        </w:tc>
      </w:tr>
      <w:tr>
        <w:trPr>
          <w:trHeight w:val="229"/>
        </w:trPr>
        <w:tc>
          <w:tcPr>
            <w:tcW w:w="20" w:type="dxa"/>
            <w:vAlign w:val="bottom"/>
          </w:tcPr>
          <w:p>
            <w:pPr>
              <w:spacing w:after="0"/>
              <w:rPr>
                <w:sz w:val="19"/>
                <w:szCs w:val="19"/>
                <w:color w:val="auto"/>
              </w:rPr>
            </w:pPr>
          </w:p>
        </w:tc>
        <w:tc>
          <w:tcPr>
            <w:tcW w:w="6100" w:type="dxa"/>
            <w:vAlign w:val="bottom"/>
            <w:tcBorders>
              <w:bottom w:val="single" w:sz="8" w:color="CCEEFF"/>
            </w:tcBorders>
            <w:gridSpan w:val="2"/>
          </w:tcPr>
          <w:p>
            <w:pPr>
              <w:ind w:left="20"/>
              <w:spacing w:after="0" w:line="230" w:lineRule="exact"/>
              <w:rPr>
                <w:sz w:val="20"/>
                <w:szCs w:val="20"/>
                <w:color w:val="auto"/>
              </w:rPr>
            </w:pPr>
            <w:r>
              <w:rPr>
                <w:rFonts w:ascii="Arial" w:cs="Arial" w:eastAsia="Arial" w:hAnsi="Arial"/>
                <w:sz w:val="18"/>
                <w:szCs w:val="18"/>
                <w:color w:val="auto"/>
              </w:rPr>
              <w:t xml:space="preserve">Reconciling items per common unit and common unit equivalent </w:t>
            </w:r>
            <w:r>
              <w:rPr>
                <w:rFonts w:ascii="Arial" w:cs="Arial" w:eastAsia="Arial" w:hAnsi="Arial"/>
                <w:sz w:val="23"/>
                <w:szCs w:val="23"/>
                <w:color w:val="auto"/>
                <w:vertAlign w:val="superscript"/>
              </w:rPr>
              <w:t>(1) (3)</w:t>
            </w:r>
          </w:p>
        </w:tc>
        <w:tc>
          <w:tcPr>
            <w:tcW w:w="7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0.42</w:t>
            </w:r>
          </w:p>
        </w:tc>
        <w:tc>
          <w:tcPr>
            <w:tcW w:w="10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0.07</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0.74</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0.79</w:t>
            </w:r>
          </w:p>
        </w:tc>
      </w:tr>
      <w:tr>
        <w:trPr>
          <w:trHeight w:val="248"/>
        </w:trPr>
        <w:tc>
          <w:tcPr>
            <w:tcW w:w="20" w:type="dxa"/>
            <w:vAlign w:val="bottom"/>
          </w:tcPr>
          <w:p>
            <w:pPr>
              <w:spacing w:after="0"/>
              <w:rPr>
                <w:sz w:val="21"/>
                <w:szCs w:val="21"/>
                <w:color w:val="auto"/>
              </w:rPr>
            </w:pPr>
          </w:p>
        </w:tc>
        <w:tc>
          <w:tcPr>
            <w:tcW w:w="61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Implied DCF per common unit and common unit equivalent</w:t>
            </w:r>
          </w:p>
        </w:tc>
        <w:tc>
          <w:tcPr>
            <w:tcW w:w="740" w:type="dxa"/>
            <w:vAlign w:val="bottom"/>
            <w:tcBorders>
              <w:bottom w:val="single" w:sz="8" w:color="auto"/>
            </w:tcBorders>
            <w:shd w:val="clear" w:color="auto" w:fill="CCEEFF"/>
          </w:tcPr>
          <w:p>
            <w:pPr>
              <w:jc w:val="right"/>
              <w:ind w:right="536"/>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0.62</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ind w:right="554"/>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0.55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ind w:left="500"/>
              <w:spacing w:after="0"/>
              <w:rPr>
                <w:sz w:val="20"/>
                <w:szCs w:val="20"/>
                <w:color w:val="auto"/>
              </w:rPr>
            </w:pPr>
            <w:r>
              <w:rPr>
                <w:rFonts w:ascii="Arial" w:cs="Arial" w:eastAsia="Arial" w:hAnsi="Arial"/>
                <w:sz w:val="18"/>
                <w:szCs w:val="18"/>
                <w:color w:val="auto"/>
              </w:rPr>
              <w:t>1.78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w:t>
            </w:r>
          </w:p>
        </w:tc>
      </w:tr>
      <w:tr>
        <w:trPr>
          <w:trHeight w:val="20"/>
        </w:trPr>
        <w:tc>
          <w:tcPr>
            <w:tcW w:w="20" w:type="dxa"/>
            <w:vAlign w:val="bottom"/>
          </w:tcPr>
          <w:p>
            <w:pPr>
              <w:spacing w:after="0" w:line="20" w:lineRule="exact"/>
              <w:rPr>
                <w:sz w:val="1"/>
                <w:szCs w:val="1"/>
                <w:color w:val="auto"/>
              </w:rPr>
            </w:pPr>
          </w:p>
        </w:tc>
        <w:tc>
          <w:tcPr>
            <w:tcW w:w="3860" w:type="dxa"/>
            <w:vAlign w:val="bottom"/>
            <w:tcBorders>
              <w:top w:val="single" w:sz="8" w:color="CCEEFF"/>
            </w:tcBorders>
          </w:tcPr>
          <w:p>
            <w:pPr>
              <w:spacing w:after="0" w:line="20" w:lineRule="exact"/>
              <w:rPr>
                <w:sz w:val="1"/>
                <w:szCs w:val="1"/>
                <w:color w:val="auto"/>
              </w:rPr>
            </w:pPr>
          </w:p>
        </w:tc>
        <w:tc>
          <w:tcPr>
            <w:tcW w:w="22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r>
      <w:tr>
        <w:trPr>
          <w:trHeight w:val="190"/>
        </w:trPr>
        <w:tc>
          <w:tcPr>
            <w:tcW w:w="20" w:type="dxa"/>
            <w:vAlign w:val="bottom"/>
            <w:tcBorders>
              <w:bottom w:val="single" w:sz="8" w:color="auto"/>
            </w:tcBorders>
          </w:tcPr>
          <w:p>
            <w:pPr>
              <w:spacing w:after="0"/>
              <w:rPr>
                <w:sz w:val="16"/>
                <w:szCs w:val="16"/>
                <w:color w:val="auto"/>
              </w:rPr>
            </w:pPr>
          </w:p>
        </w:tc>
        <w:tc>
          <w:tcPr>
            <w:tcW w:w="3860" w:type="dxa"/>
            <w:vAlign w:val="bottom"/>
            <w:tcBorders>
              <w:bottom w:val="single" w:sz="8" w:color="auto"/>
            </w:tcBorders>
          </w:tcPr>
          <w:p>
            <w:pPr>
              <w:spacing w:after="0"/>
              <w:rPr>
                <w:sz w:val="16"/>
                <w:szCs w:val="16"/>
                <w:color w:val="auto"/>
              </w:rPr>
            </w:pPr>
          </w:p>
        </w:tc>
        <w:tc>
          <w:tcPr>
            <w:tcW w:w="2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40" w:type="dxa"/>
            <w:vAlign w:val="bottom"/>
          </w:tcPr>
          <w:p>
            <w:pPr>
              <w:spacing w:after="0"/>
              <w:rPr>
                <w:sz w:val="16"/>
                <w:szCs w:val="16"/>
                <w:color w:val="auto"/>
              </w:rPr>
            </w:pPr>
          </w:p>
        </w:tc>
      </w:tr>
    </w:tbl>
    <w:p>
      <w:pPr>
        <w:spacing w:after="0" w:line="134" w:lineRule="exact"/>
        <w:rPr>
          <w:sz w:val="20"/>
          <w:szCs w:val="20"/>
          <w:color w:val="auto"/>
        </w:rPr>
      </w:pPr>
    </w:p>
    <w:p>
      <w:pPr>
        <w:ind w:left="340" w:right="600" w:hanging="332"/>
        <w:spacing w:after="0" w:line="227" w:lineRule="auto"/>
        <w:tabs>
          <w:tab w:leader="none" w:pos="328" w:val="left"/>
        </w:tabs>
        <w:numPr>
          <w:ilvl w:val="0"/>
          <w:numId w:val="13"/>
        </w:numPr>
        <w:rPr>
          <w:rFonts w:ascii="Arial" w:cs="Arial" w:eastAsia="Arial" w:hAnsi="Arial"/>
          <w:sz w:val="23"/>
          <w:szCs w:val="23"/>
          <w:color w:val="auto"/>
          <w:vertAlign w:val="superscript"/>
        </w:rPr>
      </w:pPr>
      <w:r>
        <w:rPr>
          <w:rFonts w:ascii="Arial" w:cs="Arial" w:eastAsia="Arial" w:hAnsi="Arial"/>
          <w:sz w:val="18"/>
          <w:szCs w:val="18"/>
          <w:color w:val="auto"/>
        </w:rPr>
        <w:t>Represents adjustments to Net Income to calculate Implied DCF Available to Common Unitholders. See the “Net Income to Adjusted EBITDA attributable to PAA and Implied DCF Reconciliation” table for additional information.</w:t>
      </w:r>
    </w:p>
    <w:p>
      <w:pPr>
        <w:spacing w:after="0" w:line="5" w:lineRule="exact"/>
        <w:rPr>
          <w:rFonts w:ascii="Arial" w:cs="Arial" w:eastAsia="Arial" w:hAnsi="Arial"/>
          <w:sz w:val="23"/>
          <w:szCs w:val="23"/>
          <w:color w:val="auto"/>
          <w:vertAlign w:val="superscript"/>
        </w:rPr>
      </w:pPr>
    </w:p>
    <w:p>
      <w:pPr>
        <w:ind w:left="320" w:hanging="312"/>
        <w:spacing w:after="0"/>
        <w:tabs>
          <w:tab w:leader="none" w:pos="320" w:val="left"/>
        </w:tabs>
        <w:numPr>
          <w:ilvl w:val="0"/>
          <w:numId w:val="13"/>
        </w:numPr>
        <w:rPr>
          <w:rFonts w:ascii="Arial" w:cs="Arial" w:eastAsia="Arial" w:hAnsi="Arial"/>
          <w:sz w:val="23"/>
          <w:szCs w:val="23"/>
          <w:color w:val="auto"/>
          <w:vertAlign w:val="superscript"/>
        </w:rPr>
      </w:pPr>
      <w:r>
        <w:rPr>
          <w:rFonts w:ascii="Arial" w:cs="Arial" w:eastAsia="Arial" w:hAnsi="Arial"/>
          <w:sz w:val="18"/>
          <w:szCs w:val="18"/>
          <w:color w:val="auto"/>
        </w:rPr>
        <w:t>Based on weighted average common units outstanding for the period of 700 million, 698 million, 699 million and 702 million, respectively.</w:t>
      </w:r>
    </w:p>
    <w:p>
      <w:pPr>
        <w:spacing w:after="0" w:line="55" w:lineRule="exact"/>
        <w:rPr>
          <w:rFonts w:ascii="Arial" w:cs="Arial" w:eastAsia="Arial" w:hAnsi="Arial"/>
          <w:sz w:val="23"/>
          <w:szCs w:val="23"/>
          <w:color w:val="auto"/>
          <w:vertAlign w:val="superscript"/>
        </w:rPr>
      </w:pPr>
    </w:p>
    <w:p>
      <w:pPr>
        <w:ind w:left="340" w:right="240" w:hanging="332"/>
        <w:spacing w:after="0" w:line="219" w:lineRule="auto"/>
        <w:tabs>
          <w:tab w:leader="none" w:pos="328" w:val="left"/>
        </w:tabs>
        <w:numPr>
          <w:ilvl w:val="0"/>
          <w:numId w:val="13"/>
        </w:numPr>
        <w:rPr>
          <w:rFonts w:ascii="Arial" w:cs="Arial" w:eastAsia="Arial" w:hAnsi="Arial"/>
          <w:sz w:val="23"/>
          <w:szCs w:val="23"/>
          <w:color w:val="auto"/>
          <w:vertAlign w:val="superscript"/>
        </w:rPr>
      </w:pPr>
      <w:r>
        <w:rPr>
          <w:rFonts w:ascii="Arial" w:cs="Arial" w:eastAsia="Arial" w:hAnsi="Arial"/>
          <w:sz w:val="18"/>
          <w:szCs w:val="18"/>
          <w:color w:val="auto"/>
        </w:rPr>
        <w:t>Based on weighted average common units outstanding for the period, as well as weighted average Series A preferred units outstanding of 71 million for each of the periods presented.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Free Cash Flow and Free Cash Flow after Distributions Reconciliation </w:t>
      </w:r>
      <w:r>
        <w:rPr>
          <w:rFonts w:ascii="Arial" w:cs="Arial" w:eastAsia="Arial" w:hAnsi="Arial"/>
          <w:sz w:val="23"/>
          <w:szCs w:val="23"/>
          <w:b w:val="1"/>
          <w:bCs w:val="1"/>
          <w:color w:val="auto"/>
          <w:vertAlign w:val="superscript"/>
        </w:rPr>
        <w:t>(1)</w:t>
      </w:r>
      <w:r>
        <w:rPr>
          <w:rFonts w:ascii="Arial" w:cs="Arial" w:eastAsia="Arial" w:hAnsi="Arial"/>
          <w:sz w:val="18"/>
          <w:szCs w:val="18"/>
          <w:b w:val="1"/>
          <w:bCs w:val="1"/>
          <w:color w:val="auto"/>
        </w:rPr>
        <w: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2000" w:type="dxa"/>
            <w:vAlign w:val="bottom"/>
            <w:gridSpan w:val="4"/>
          </w:tcPr>
          <w:p>
            <w:pPr>
              <w:jc w:val="right"/>
              <w:ind w:right="55"/>
              <w:spacing w:after="0"/>
              <w:rPr>
                <w:sz w:val="20"/>
                <w:szCs w:val="20"/>
                <w:color w:val="auto"/>
              </w:rPr>
            </w:pPr>
            <w:r>
              <w:rPr>
                <w:rFonts w:ascii="Arial" w:cs="Arial" w:eastAsia="Arial" w:hAnsi="Arial"/>
                <w:sz w:val="14"/>
                <w:szCs w:val="14"/>
                <w:b w:val="1"/>
                <w:bCs w:val="1"/>
                <w:color w:val="auto"/>
              </w:rPr>
              <w:t>Three Months Ended</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180" w:type="dxa"/>
            <w:vAlign w:val="bottom"/>
            <w:gridSpan w:val="4"/>
          </w:tcPr>
          <w:p>
            <w:pPr>
              <w:jc w:val="right"/>
              <w:ind w:right="532"/>
              <w:spacing w:after="0"/>
              <w:rPr>
                <w:sz w:val="20"/>
                <w:szCs w:val="20"/>
                <w:color w:val="auto"/>
              </w:rPr>
            </w:pPr>
            <w:r>
              <w:rPr>
                <w:rFonts w:ascii="Arial" w:cs="Arial" w:eastAsia="Arial" w:hAnsi="Arial"/>
                <w:sz w:val="14"/>
                <w:szCs w:val="14"/>
                <w:b w:val="1"/>
                <w:bCs w:val="1"/>
                <w:color w:val="auto"/>
              </w:rPr>
              <w:t>Nine Months Ended</w:t>
            </w:r>
          </w:p>
        </w:tc>
      </w:tr>
      <w:tr>
        <w:trPr>
          <w:trHeight w:val="192"/>
        </w:trPr>
        <w:tc>
          <w:tcPr>
            <w:tcW w:w="388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right"/>
              <w:ind w:right="255"/>
              <w:spacing w:after="0"/>
              <w:rPr>
                <w:sz w:val="20"/>
                <w:szCs w:val="20"/>
                <w:color w:val="auto"/>
              </w:rPr>
            </w:pPr>
            <w:r>
              <w:rPr>
                <w:rFonts w:ascii="Arial" w:cs="Arial" w:eastAsia="Arial" w:hAnsi="Arial"/>
                <w:sz w:val="14"/>
                <w:szCs w:val="14"/>
                <w:b w:val="1"/>
                <w:bCs w:val="1"/>
                <w:color w:val="auto"/>
                <w:w w:val="96"/>
              </w:rPr>
              <w:t>September 30,</w:t>
            </w:r>
          </w:p>
        </w:tc>
        <w:tc>
          <w:tcPr>
            <w:tcW w:w="4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60" w:type="dxa"/>
            <w:vAlign w:val="bottom"/>
            <w:tcBorders>
              <w:bottom w:val="single" w:sz="8" w:color="auto"/>
            </w:tcBorders>
          </w:tcPr>
          <w:p>
            <w:pPr>
              <w:spacing w:after="0"/>
              <w:rPr>
                <w:sz w:val="16"/>
                <w:szCs w:val="16"/>
                <w:color w:val="auto"/>
              </w:rPr>
            </w:pPr>
          </w:p>
        </w:tc>
      </w:tr>
      <w:tr>
        <w:trPr>
          <w:trHeight w:val="195"/>
        </w:trPr>
        <w:tc>
          <w:tcPr>
            <w:tcW w:w="3880" w:type="dxa"/>
            <w:vAlign w:val="bottom"/>
            <w:tcBorders>
              <w:bottom w:val="single" w:sz="8" w:color="CCEEFF"/>
            </w:tcBorders>
          </w:tcPr>
          <w:p>
            <w:pPr>
              <w:spacing w:after="0"/>
              <w:rPr>
                <w:sz w:val="17"/>
                <w:szCs w:val="17"/>
                <w:color w:val="auto"/>
              </w:rPr>
            </w:pPr>
          </w:p>
        </w:tc>
        <w:tc>
          <w:tcPr>
            <w:tcW w:w="2360" w:type="dxa"/>
            <w:vAlign w:val="bottom"/>
            <w:tcBorders>
              <w:bottom w:val="single" w:sz="8" w:color="CCEEFF"/>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4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4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w w:val="96"/>
              </w:rPr>
              <w:t>2022</w:t>
            </w:r>
          </w:p>
        </w:tc>
      </w:tr>
      <w:tr>
        <w:trPr>
          <w:trHeight w:val="230"/>
        </w:trPr>
        <w:tc>
          <w:tcPr>
            <w:tcW w:w="6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720" w:type="dxa"/>
            <w:vAlign w:val="bottom"/>
            <w:shd w:val="clear" w:color="auto" w:fill="CCEEFF"/>
          </w:tcPr>
          <w:p>
            <w:pPr>
              <w:jc w:val="right"/>
              <w:ind w:right="537"/>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555"/>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2,074</w:t>
            </w:r>
          </w:p>
        </w:tc>
      </w:tr>
      <w:tr>
        <w:trPr>
          <w:trHeight w:val="175"/>
        </w:trPr>
        <w:tc>
          <w:tcPr>
            <w:tcW w:w="6240" w:type="dxa"/>
            <w:vAlign w:val="bottom"/>
            <w:gridSpan w:val="2"/>
          </w:tcPr>
          <w:p>
            <w:pPr>
              <w:ind w:left="20"/>
              <w:spacing w:after="0" w:line="176" w:lineRule="exact"/>
              <w:rPr>
                <w:sz w:val="20"/>
                <w:szCs w:val="20"/>
                <w:color w:val="auto"/>
              </w:rPr>
            </w:pPr>
            <w:r>
              <w:rPr>
                <w:rFonts w:ascii="Arial" w:cs="Arial" w:eastAsia="Arial" w:hAnsi="Arial"/>
                <w:sz w:val="18"/>
                <w:szCs w:val="18"/>
                <w:color w:val="auto"/>
                <w:w w:val="97"/>
              </w:rPr>
              <w:t>Adjustments to reconcile Net cash provided by operating activities to Free Cash</w:t>
            </w: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237"/>
        </w:trPr>
        <w:tc>
          <w:tcPr>
            <w:tcW w:w="6240" w:type="dxa"/>
            <w:vAlign w:val="bottom"/>
            <w:gridSpan w:val="2"/>
          </w:tcPr>
          <w:p>
            <w:pPr>
              <w:ind w:left="180"/>
              <w:spacing w:after="0"/>
              <w:rPr>
                <w:sz w:val="20"/>
                <w:szCs w:val="20"/>
                <w:color w:val="auto"/>
              </w:rPr>
            </w:pPr>
            <w:r>
              <w:rPr>
                <w:rFonts w:ascii="Arial" w:cs="Arial" w:eastAsia="Arial" w:hAnsi="Arial"/>
                <w:sz w:val="18"/>
                <w:szCs w:val="18"/>
                <w:color w:val="auto"/>
              </w:rPr>
              <w:t>Flow:</w:t>
            </w:r>
          </w:p>
        </w:tc>
        <w:tc>
          <w:tcPr>
            <w:tcW w:w="7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236"/>
        </w:trPr>
        <w:tc>
          <w:tcPr>
            <w:tcW w:w="6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Net cash used in investing activities</w:t>
            </w:r>
          </w:p>
        </w:tc>
        <w:tc>
          <w:tcPr>
            <w:tcW w:w="720" w:type="dxa"/>
            <w:vAlign w:val="bottom"/>
            <w:shd w:val="clear" w:color="auto" w:fill="CCEEFF"/>
          </w:tcPr>
          <w:p>
            <w:pPr>
              <w:spacing w:after="0"/>
              <w:rPr>
                <w:sz w:val="20"/>
                <w:szCs w:val="20"/>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(438)</w:t>
            </w: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(168)</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w:t>
            </w:r>
          </w:p>
        </w:tc>
      </w:tr>
      <w:tr>
        <w:trPr>
          <w:trHeight w:val="230"/>
        </w:trPr>
        <w:tc>
          <w:tcPr>
            <w:tcW w:w="6240" w:type="dxa"/>
            <w:vAlign w:val="bottom"/>
            <w:gridSpan w:val="2"/>
          </w:tcPr>
          <w:p>
            <w:pPr>
              <w:ind w:left="140"/>
              <w:spacing w:after="0"/>
              <w:rPr>
                <w:sz w:val="20"/>
                <w:szCs w:val="20"/>
                <w:color w:val="auto"/>
              </w:rPr>
            </w:pPr>
            <w:r>
              <w:rPr>
                <w:rFonts w:ascii="Arial" w:cs="Arial" w:eastAsia="Arial" w:hAnsi="Arial"/>
                <w:sz w:val="18"/>
                <w:szCs w:val="18"/>
                <w:color w:val="auto"/>
              </w:rPr>
              <w:t>Cash contributions from noncontrolling interests</w:t>
            </w:r>
          </w:p>
        </w:tc>
        <w:tc>
          <w:tcPr>
            <w:tcW w:w="7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29"/>
        </w:trPr>
        <w:tc>
          <w:tcPr>
            <w:tcW w:w="6240" w:type="dxa"/>
            <w:vAlign w:val="bottom"/>
            <w:gridSpan w:val="2"/>
            <w:shd w:val="clear" w:color="auto" w:fill="CCEEFF"/>
          </w:tcPr>
          <w:p>
            <w:pPr>
              <w:ind w:left="140"/>
              <w:spacing w:after="0" w:line="230" w:lineRule="exact"/>
              <w:rPr>
                <w:sz w:val="20"/>
                <w:szCs w:val="20"/>
                <w:color w:val="auto"/>
              </w:rPr>
            </w:pPr>
            <w:r>
              <w:rPr>
                <w:rFonts w:ascii="Arial" w:cs="Arial" w:eastAsia="Arial" w:hAnsi="Arial"/>
                <w:sz w:val="18"/>
                <w:szCs w:val="18"/>
                <w:color w:val="auto"/>
              </w:rPr>
              <w:t xml:space="preserve">Cash distributions paid to noncontrolling interests </w:t>
            </w:r>
            <w:r>
              <w:rPr>
                <w:rFonts w:ascii="Arial" w:cs="Arial" w:eastAsia="Arial" w:hAnsi="Arial"/>
                <w:sz w:val="23"/>
                <w:szCs w:val="23"/>
                <w:color w:val="auto"/>
                <w:vertAlign w:val="superscript"/>
              </w:rPr>
              <w:t>(2)</w:t>
            </w:r>
          </w:p>
        </w:tc>
        <w:tc>
          <w:tcPr>
            <w:tcW w:w="72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00" w:type="dxa"/>
            <w:vAlign w:val="bottom"/>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w:t>
            </w:r>
          </w:p>
        </w:tc>
      </w:tr>
      <w:tr>
        <w:trPr>
          <w:trHeight w:val="223"/>
        </w:trPr>
        <w:tc>
          <w:tcPr>
            <w:tcW w:w="6240" w:type="dxa"/>
            <w:vAlign w:val="bottom"/>
            <w:gridSpan w:val="2"/>
          </w:tcPr>
          <w:p>
            <w:pPr>
              <w:ind w:left="20"/>
              <w:spacing w:after="0"/>
              <w:rPr>
                <w:sz w:val="20"/>
                <w:szCs w:val="20"/>
                <w:color w:val="auto"/>
              </w:rPr>
            </w:pPr>
            <w:r>
              <w:rPr>
                <w:rFonts w:ascii="Arial" w:cs="Arial" w:eastAsia="Arial" w:hAnsi="Arial"/>
                <w:sz w:val="18"/>
                <w:szCs w:val="18"/>
                <w:color w:val="auto"/>
              </w:rPr>
              <w:t>Free Cash Flow</w:t>
            </w:r>
          </w:p>
        </w:tc>
        <w:tc>
          <w:tcPr>
            <w:tcW w:w="720" w:type="dxa"/>
            <w:vAlign w:val="bottom"/>
          </w:tcPr>
          <w:p>
            <w:pPr>
              <w:jc w:val="right"/>
              <w:ind w:right="537"/>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90"/>
              </w:rPr>
              <w:t>(386)</w:t>
            </w:r>
          </w:p>
        </w:tc>
        <w:tc>
          <w:tcPr>
            <w:tcW w:w="100" w:type="dxa"/>
            <w:vAlign w:val="bottom"/>
          </w:tcPr>
          <w:p>
            <w:pPr>
              <w:spacing w:after="0"/>
              <w:rPr>
                <w:sz w:val="19"/>
                <w:szCs w:val="19"/>
                <w:color w:val="auto"/>
              </w:rPr>
            </w:pPr>
          </w:p>
        </w:tc>
        <w:tc>
          <w:tcPr>
            <w:tcW w:w="740" w:type="dxa"/>
            <w:vAlign w:val="bottom"/>
          </w:tcPr>
          <w:p>
            <w:pPr>
              <w:jc w:val="right"/>
              <w:ind w:right="555"/>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726</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1,088</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1,615</w:t>
            </w:r>
          </w:p>
        </w:tc>
      </w:tr>
      <w:tr>
        <w:trPr>
          <w:trHeight w:val="229"/>
        </w:trPr>
        <w:tc>
          <w:tcPr>
            <w:tcW w:w="6240" w:type="dxa"/>
            <w:vAlign w:val="bottom"/>
            <w:gridSpan w:val="2"/>
            <w:shd w:val="clear" w:color="auto" w:fill="CCEEFF"/>
          </w:tcPr>
          <w:p>
            <w:pPr>
              <w:ind w:left="140"/>
              <w:spacing w:after="0" w:line="230" w:lineRule="exact"/>
              <w:rPr>
                <w:sz w:val="20"/>
                <w:szCs w:val="20"/>
                <w:color w:val="auto"/>
              </w:rPr>
            </w:pPr>
            <w:r>
              <w:rPr>
                <w:rFonts w:ascii="Arial" w:cs="Arial" w:eastAsia="Arial" w:hAnsi="Arial"/>
                <w:sz w:val="18"/>
                <w:szCs w:val="18"/>
                <w:color w:val="auto"/>
              </w:rPr>
              <w:t xml:space="preserve">Cash distributions </w:t>
            </w:r>
            <w:r>
              <w:rPr>
                <w:rFonts w:ascii="Arial" w:cs="Arial" w:eastAsia="Arial" w:hAnsi="Arial"/>
                <w:sz w:val="23"/>
                <w:szCs w:val="23"/>
                <w:color w:val="auto"/>
                <w:vertAlign w:val="superscript"/>
              </w:rPr>
              <w:t>(3)</w:t>
            </w:r>
          </w:p>
        </w:tc>
        <w:tc>
          <w:tcPr>
            <w:tcW w:w="72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(250)</w:t>
            </w:r>
          </w:p>
        </w:tc>
        <w:tc>
          <w:tcPr>
            <w:tcW w:w="100" w:type="dxa"/>
            <w:vAlign w:val="bottom"/>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(189)</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(738)</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(569)</w:t>
            </w:r>
          </w:p>
        </w:tc>
      </w:tr>
      <w:tr>
        <w:trPr>
          <w:trHeight w:val="223"/>
        </w:trPr>
        <w:tc>
          <w:tcPr>
            <w:tcW w:w="6240" w:type="dxa"/>
            <w:vAlign w:val="bottom"/>
            <w:gridSpan w:val="2"/>
          </w:tcPr>
          <w:p>
            <w:pPr>
              <w:ind w:left="20"/>
              <w:spacing w:after="0"/>
              <w:rPr>
                <w:sz w:val="20"/>
                <w:szCs w:val="20"/>
                <w:color w:val="auto"/>
              </w:rPr>
            </w:pPr>
            <w:r>
              <w:rPr>
                <w:rFonts w:ascii="Arial" w:cs="Arial" w:eastAsia="Arial" w:hAnsi="Arial"/>
                <w:sz w:val="18"/>
                <w:szCs w:val="18"/>
                <w:color w:val="auto"/>
              </w:rPr>
              <w:t>Free Cash Flow after Distributions</w:t>
            </w:r>
          </w:p>
        </w:tc>
        <w:tc>
          <w:tcPr>
            <w:tcW w:w="720" w:type="dxa"/>
            <w:vAlign w:val="bottom"/>
            <w:tcBorders>
              <w:bottom w:val="single" w:sz="8" w:color="auto"/>
            </w:tcBorders>
          </w:tcPr>
          <w:p>
            <w:pPr>
              <w:jc w:val="right"/>
              <w:ind w:right="537"/>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(636)</w:t>
            </w:r>
          </w:p>
        </w:tc>
        <w:tc>
          <w:tcPr>
            <w:tcW w:w="100" w:type="dxa"/>
            <w:vAlign w:val="bottom"/>
          </w:tcPr>
          <w:p>
            <w:pPr>
              <w:spacing w:after="0"/>
              <w:rPr>
                <w:sz w:val="19"/>
                <w:szCs w:val="19"/>
                <w:color w:val="auto"/>
              </w:rPr>
            </w:pPr>
          </w:p>
        </w:tc>
        <w:tc>
          <w:tcPr>
            <w:tcW w:w="740" w:type="dxa"/>
            <w:vAlign w:val="bottom"/>
            <w:tcBorders>
              <w:bottom w:val="single" w:sz="8" w:color="auto"/>
            </w:tcBorders>
          </w:tcPr>
          <w:p>
            <w:pPr>
              <w:jc w:val="right"/>
              <w:ind w:right="555"/>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537</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1,046</w:t>
            </w:r>
          </w:p>
        </w:tc>
      </w:tr>
      <w:tr>
        <w:trPr>
          <w:trHeight w:val="20"/>
        </w:trPr>
        <w:tc>
          <w:tcPr>
            <w:tcW w:w="388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223"/>
        </w:trPr>
        <w:tc>
          <w:tcPr>
            <w:tcW w:w="3880" w:type="dxa"/>
            <w:vAlign w:val="bottom"/>
            <w:tcBorders>
              <w:bottom w:val="single" w:sz="8" w:color="auto"/>
            </w:tcBorders>
          </w:tcPr>
          <w:p>
            <w:pPr>
              <w:spacing w:after="0"/>
              <w:rPr>
                <w:sz w:val="19"/>
                <w:szCs w:val="19"/>
                <w:color w:val="auto"/>
              </w:rPr>
            </w:pPr>
          </w:p>
        </w:tc>
        <w:tc>
          <w:tcPr>
            <w:tcW w:w="23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spacing w:after="0"/>
              <w:rPr>
                <w:sz w:val="19"/>
                <w:szCs w:val="19"/>
                <w:color w:val="auto"/>
              </w:rPr>
            </w:pPr>
          </w:p>
        </w:tc>
      </w:tr>
    </w:tbl>
    <w:p>
      <w:pPr>
        <w:spacing w:after="0" w:line="121" w:lineRule="exact"/>
        <w:rPr>
          <w:sz w:val="20"/>
          <w:szCs w:val="20"/>
          <w:color w:val="auto"/>
        </w:rPr>
      </w:pPr>
    </w:p>
    <w:p>
      <w:pPr>
        <w:ind w:left="340" w:right="300" w:hanging="332"/>
        <w:spacing w:after="0" w:line="238" w:lineRule="auto"/>
        <w:tabs>
          <w:tab w:leader="none" w:pos="328" w:val="left"/>
        </w:tabs>
        <w:numPr>
          <w:ilvl w:val="0"/>
          <w:numId w:val="14"/>
        </w:numPr>
        <w:rPr>
          <w:rFonts w:ascii="Arial" w:cs="Arial" w:eastAsia="Arial" w:hAnsi="Arial"/>
          <w:sz w:val="22"/>
          <w:szCs w:val="22"/>
          <w:color w:val="auto"/>
          <w:vertAlign w:val="superscript"/>
        </w:rPr>
      </w:pPr>
      <w:r>
        <w:rPr>
          <w:rFonts w:ascii="Arial" w:cs="Arial" w:eastAsia="Arial" w:hAnsi="Arial"/>
          <w:sz w:val="17"/>
          <w:szCs w:val="17"/>
          <w:color w:val="auto"/>
        </w:rPr>
        <w:t>Management uses the Non-GAAP financial liquidity measures Free Cash Flow and Free Cash Flow after Distributions to assess the amount of cash that is available for distributions, debt repayments, common equity repurchases and other general partnership purposes.</w:t>
      </w:r>
    </w:p>
    <w:p>
      <w:pPr>
        <w:spacing w:after="0" w:line="7" w:lineRule="exact"/>
        <w:rPr>
          <w:rFonts w:ascii="Arial" w:cs="Arial" w:eastAsia="Arial" w:hAnsi="Arial"/>
          <w:sz w:val="22"/>
          <w:szCs w:val="22"/>
          <w:color w:val="auto"/>
          <w:vertAlign w:val="superscript"/>
        </w:rPr>
      </w:pPr>
    </w:p>
    <w:p>
      <w:pPr>
        <w:ind w:left="320" w:hanging="312"/>
        <w:spacing w:after="0"/>
        <w:tabs>
          <w:tab w:leader="none" w:pos="320" w:val="left"/>
        </w:tabs>
        <w:numPr>
          <w:ilvl w:val="0"/>
          <w:numId w:val="14"/>
        </w:numPr>
        <w:rPr>
          <w:rFonts w:ascii="Arial" w:cs="Arial" w:eastAsia="Arial" w:hAnsi="Arial"/>
          <w:sz w:val="23"/>
          <w:szCs w:val="23"/>
          <w:color w:val="auto"/>
          <w:vertAlign w:val="superscript"/>
        </w:rPr>
      </w:pPr>
      <w:r>
        <w:rPr>
          <w:rFonts w:ascii="Arial" w:cs="Arial" w:eastAsia="Arial" w:hAnsi="Arial"/>
          <w:sz w:val="18"/>
          <w:szCs w:val="18"/>
          <w:color w:val="auto"/>
        </w:rPr>
        <w:t>Cash distributions paid during the period presented.</w:t>
      </w:r>
    </w:p>
    <w:p>
      <w:pPr>
        <w:spacing w:after="0" w:line="55" w:lineRule="exact"/>
        <w:rPr>
          <w:rFonts w:ascii="Arial" w:cs="Arial" w:eastAsia="Arial" w:hAnsi="Arial"/>
          <w:sz w:val="23"/>
          <w:szCs w:val="23"/>
          <w:color w:val="auto"/>
          <w:vertAlign w:val="superscript"/>
        </w:rPr>
      </w:pPr>
    </w:p>
    <w:p>
      <w:pPr>
        <w:ind w:left="320" w:hanging="312"/>
        <w:spacing w:after="0" w:line="194" w:lineRule="auto"/>
        <w:tabs>
          <w:tab w:leader="none" w:pos="320" w:val="left"/>
        </w:tabs>
        <w:numPr>
          <w:ilvl w:val="0"/>
          <w:numId w:val="14"/>
        </w:numPr>
        <w:rPr>
          <w:rFonts w:ascii="Arial" w:cs="Arial" w:eastAsia="Arial" w:hAnsi="Arial"/>
          <w:sz w:val="23"/>
          <w:szCs w:val="23"/>
          <w:color w:val="auto"/>
          <w:vertAlign w:val="superscript"/>
        </w:rPr>
      </w:pPr>
      <w:r>
        <w:rPr>
          <w:rFonts w:ascii="Arial" w:cs="Arial" w:eastAsia="Arial" w:hAnsi="Arial"/>
          <w:sz w:val="18"/>
          <w:szCs w:val="18"/>
          <w:color w:val="auto"/>
        </w:rPr>
        <w:t>Cash distributions paid to preferred and common unitholders during the period.</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100330</wp:posOffset>
            </wp:positionV>
            <wp:extent cx="711517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55" w:lineRule="exact"/>
        <w:rPr>
          <w:sz w:val="20"/>
          <w:szCs w:val="20"/>
          <w:color w:val="auto"/>
        </w:rPr>
      </w:pPr>
    </w:p>
    <w:p>
      <w:pPr>
        <w:ind w:left="1660"/>
        <w:spacing w:after="0"/>
        <w:tabs>
          <w:tab w:leader="none" w:pos="4760" w:val="left"/>
          <w:tab w:leader="none" w:pos="74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240"/>
          </w:cols>
          <w:pgMar w:left="320" w:top="368"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auto"/>
        </w:rPr>
        <w:t>Page 12</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1517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SELECTED ITEMS IMPACTING COMPARABILITY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2060" w:type="dxa"/>
            <w:vAlign w:val="bottom"/>
            <w:gridSpan w:val="4"/>
          </w:tcPr>
          <w:p>
            <w:pPr>
              <w:jc w:val="right"/>
              <w:ind w:right="118"/>
              <w:spacing w:after="0"/>
              <w:rPr>
                <w:sz w:val="20"/>
                <w:szCs w:val="20"/>
                <w:color w:val="auto"/>
              </w:rPr>
            </w:pPr>
            <w:r>
              <w:rPr>
                <w:rFonts w:ascii="Arial" w:cs="Arial" w:eastAsia="Arial" w:hAnsi="Arial"/>
                <w:sz w:val="14"/>
                <w:szCs w:val="14"/>
                <w:b w:val="1"/>
                <w:bCs w:val="1"/>
                <w:color w:val="auto"/>
              </w:rPr>
              <w:t>Three Months Ended</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180" w:type="dxa"/>
            <w:vAlign w:val="bottom"/>
            <w:gridSpan w:val="4"/>
          </w:tcPr>
          <w:p>
            <w:pPr>
              <w:jc w:val="right"/>
              <w:ind w:right="534"/>
              <w:spacing w:after="0"/>
              <w:rPr>
                <w:sz w:val="20"/>
                <w:szCs w:val="20"/>
                <w:color w:val="auto"/>
              </w:rPr>
            </w:pPr>
            <w:r>
              <w:rPr>
                <w:rFonts w:ascii="Arial" w:cs="Arial" w:eastAsia="Arial" w:hAnsi="Arial"/>
                <w:sz w:val="14"/>
                <w:szCs w:val="14"/>
                <w:b w:val="1"/>
                <w:bCs w:val="1"/>
                <w:color w:val="auto"/>
              </w:rPr>
              <w:t>Nine Months Ended</w:t>
            </w:r>
          </w:p>
        </w:tc>
      </w:tr>
      <w:tr>
        <w:trPr>
          <w:trHeight w:val="196"/>
        </w:trPr>
        <w:tc>
          <w:tcPr>
            <w:tcW w:w="40" w:type="dxa"/>
            <w:vAlign w:val="bottom"/>
          </w:tcPr>
          <w:p>
            <w:pPr>
              <w:spacing w:after="0"/>
              <w:rPr>
                <w:sz w:val="17"/>
                <w:szCs w:val="17"/>
                <w:color w:val="auto"/>
              </w:rPr>
            </w:pPr>
          </w:p>
        </w:tc>
        <w:tc>
          <w:tcPr>
            <w:tcW w:w="384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3"/>
          </w:tcPr>
          <w:p>
            <w:pPr>
              <w:jc w:val="right"/>
              <w:ind w:right="318"/>
              <w:spacing w:after="0"/>
              <w:rPr>
                <w:sz w:val="20"/>
                <w:szCs w:val="20"/>
                <w:color w:val="auto"/>
              </w:rPr>
            </w:pPr>
            <w:r>
              <w:rPr>
                <w:rFonts w:ascii="Arial" w:cs="Arial" w:eastAsia="Arial" w:hAnsi="Arial"/>
                <w:sz w:val="14"/>
                <w:szCs w:val="14"/>
                <w:b w:val="1"/>
                <w:bCs w:val="1"/>
                <w:color w:val="auto"/>
                <w:w w:val="93"/>
              </w:rPr>
              <w:t>September 30,</w:t>
            </w:r>
          </w:p>
        </w:tc>
        <w:tc>
          <w:tcPr>
            <w:tcW w:w="3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60" w:type="dxa"/>
            <w:vAlign w:val="bottom"/>
            <w:tcBorders>
              <w:bottom w:val="single" w:sz="8" w:color="auto"/>
            </w:tcBorders>
          </w:tcPr>
          <w:p>
            <w:pPr>
              <w:spacing w:after="0"/>
              <w:rPr>
                <w:sz w:val="17"/>
                <w:szCs w:val="17"/>
                <w:color w:val="auto"/>
              </w:rPr>
            </w:pPr>
          </w:p>
        </w:tc>
      </w:tr>
      <w:tr>
        <w:trPr>
          <w:trHeight w:val="196"/>
        </w:trPr>
        <w:tc>
          <w:tcPr>
            <w:tcW w:w="40" w:type="dxa"/>
            <w:vAlign w:val="bottom"/>
          </w:tcPr>
          <w:p>
            <w:pPr>
              <w:spacing w:after="0"/>
              <w:rPr>
                <w:sz w:val="17"/>
                <w:szCs w:val="17"/>
                <w:color w:val="auto"/>
              </w:rPr>
            </w:pPr>
          </w:p>
        </w:tc>
        <w:tc>
          <w:tcPr>
            <w:tcW w:w="3840" w:type="dxa"/>
            <w:vAlign w:val="bottom"/>
            <w:tcBorders>
              <w:bottom w:val="single" w:sz="8" w:color="CCEEFF"/>
            </w:tcBorders>
          </w:tcPr>
          <w:p>
            <w:pPr>
              <w:spacing w:after="0"/>
              <w:rPr>
                <w:sz w:val="17"/>
                <w:szCs w:val="17"/>
                <w:color w:val="auto"/>
              </w:rPr>
            </w:pPr>
          </w:p>
        </w:tc>
        <w:tc>
          <w:tcPr>
            <w:tcW w:w="2340" w:type="dxa"/>
            <w:vAlign w:val="bottom"/>
            <w:tcBorders>
              <w:bottom w:val="single" w:sz="8" w:color="CCEEFF"/>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4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3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w w:val="96"/>
              </w:rPr>
              <w:t>2022</w:t>
            </w:r>
          </w:p>
        </w:tc>
      </w:tr>
      <w:tr>
        <w:trPr>
          <w:trHeight w:val="216"/>
        </w:trPr>
        <w:tc>
          <w:tcPr>
            <w:tcW w:w="40" w:type="dxa"/>
            <w:vAlign w:val="bottom"/>
          </w:tcPr>
          <w:p>
            <w:pPr>
              <w:spacing w:after="0"/>
              <w:rPr>
                <w:sz w:val="18"/>
                <w:szCs w:val="18"/>
                <w:color w:val="auto"/>
              </w:rPr>
            </w:pPr>
          </w:p>
        </w:tc>
        <w:tc>
          <w:tcPr>
            <w:tcW w:w="6180" w:type="dxa"/>
            <w:vAlign w:val="bottom"/>
            <w:gridSpan w:val="2"/>
            <w:shd w:val="clear" w:color="auto" w:fill="CCEEFF"/>
          </w:tcPr>
          <w:p>
            <w:pPr>
              <w:spacing w:after="0" w:line="216" w:lineRule="exact"/>
              <w:rPr>
                <w:sz w:val="20"/>
                <w:szCs w:val="20"/>
                <w:color w:val="auto"/>
              </w:rPr>
            </w:pPr>
            <w:r>
              <w:rPr>
                <w:rFonts w:ascii="Arial" w:cs="Arial" w:eastAsia="Arial" w:hAnsi="Arial"/>
                <w:sz w:val="17"/>
                <w:szCs w:val="17"/>
                <w:b w:val="1"/>
                <w:bCs w:val="1"/>
                <w:color w:val="auto"/>
              </w:rPr>
              <w:t xml:space="preserve">Selected Items Impacting Comparability: </w:t>
            </w:r>
            <w:r>
              <w:rPr>
                <w:rFonts w:ascii="Arial" w:cs="Arial" w:eastAsia="Arial" w:hAnsi="Arial"/>
                <w:sz w:val="22"/>
                <w:szCs w:val="22"/>
                <w:b w:val="1"/>
                <w:bCs w:val="1"/>
                <w:color w:val="auto"/>
                <w:vertAlign w:val="superscript"/>
              </w:rPr>
              <w:t>(1)</w:t>
            </w:r>
          </w:p>
        </w:tc>
        <w:tc>
          <w:tcPr>
            <w:tcW w:w="7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29"/>
        </w:trPr>
        <w:tc>
          <w:tcPr>
            <w:tcW w:w="40" w:type="dxa"/>
            <w:vAlign w:val="bottom"/>
          </w:tcPr>
          <w:p>
            <w:pPr>
              <w:spacing w:after="0"/>
              <w:rPr>
                <w:sz w:val="19"/>
                <w:szCs w:val="19"/>
                <w:color w:val="auto"/>
              </w:rPr>
            </w:pPr>
          </w:p>
        </w:tc>
        <w:tc>
          <w:tcPr>
            <w:tcW w:w="6180" w:type="dxa"/>
            <w:vAlign w:val="bottom"/>
            <w:gridSpan w:val="2"/>
          </w:tcPr>
          <w:p>
            <w:pPr>
              <w:spacing w:after="0" w:line="229" w:lineRule="exact"/>
              <w:rPr>
                <w:sz w:val="20"/>
                <w:szCs w:val="20"/>
                <w:color w:val="auto"/>
              </w:rPr>
            </w:pPr>
            <w:r>
              <w:rPr>
                <w:rFonts w:ascii="Arial" w:cs="Arial" w:eastAsia="Arial" w:hAnsi="Arial"/>
                <w:sz w:val="17"/>
                <w:szCs w:val="17"/>
                <w:color w:val="auto"/>
              </w:rPr>
              <w:t xml:space="preserve">Derivative activities and inventory valuation adjustments </w:t>
            </w:r>
            <w:r>
              <w:rPr>
                <w:rFonts w:ascii="Arial" w:cs="Arial" w:eastAsia="Arial" w:hAnsi="Arial"/>
                <w:sz w:val="22"/>
                <w:szCs w:val="22"/>
                <w:color w:val="auto"/>
                <w:vertAlign w:val="superscript"/>
              </w:rPr>
              <w:t>(2)</w:t>
            </w:r>
          </w:p>
        </w:tc>
        <w:tc>
          <w:tcPr>
            <w:tcW w:w="740" w:type="dxa"/>
            <w:vAlign w:val="bottom"/>
          </w:tcPr>
          <w:p>
            <w:pPr>
              <w:jc w:val="right"/>
              <w:ind w:right="560"/>
              <w:spacing w:after="0"/>
              <w:rPr>
                <w:sz w:val="20"/>
                <w:szCs w:val="20"/>
                <w:color w:val="auto"/>
              </w:rPr>
            </w:pPr>
            <w:r>
              <w:rPr>
                <w:rFonts w:ascii="Arial" w:cs="Arial" w:eastAsia="Arial" w:hAnsi="Arial"/>
                <w:sz w:val="17"/>
                <w:szCs w:val="17"/>
                <w:color w:val="auto"/>
                <w:w w:val="84"/>
              </w:rPr>
              <w:t>$</w:t>
            </w:r>
          </w:p>
        </w:tc>
        <w:tc>
          <w:tcPr>
            <w:tcW w:w="440" w:type="dxa"/>
            <w:vAlign w:val="bottom"/>
          </w:tcPr>
          <w:p>
            <w:pPr>
              <w:jc w:val="right"/>
              <w:spacing w:after="0"/>
              <w:rPr>
                <w:sz w:val="20"/>
                <w:szCs w:val="20"/>
                <w:color w:val="auto"/>
              </w:rPr>
            </w:pPr>
            <w:r>
              <w:rPr>
                <w:rFonts w:ascii="Arial" w:cs="Arial" w:eastAsia="Arial" w:hAnsi="Arial"/>
                <w:sz w:val="17"/>
                <w:szCs w:val="17"/>
                <w:color w:val="auto"/>
                <w:w w:val="95"/>
              </w:rPr>
              <w:t>(196)</w:t>
            </w:r>
          </w:p>
        </w:tc>
        <w:tc>
          <w:tcPr>
            <w:tcW w:w="100" w:type="dxa"/>
            <w:vAlign w:val="bottom"/>
          </w:tcPr>
          <w:p>
            <w:pPr>
              <w:spacing w:after="0"/>
              <w:rPr>
                <w:sz w:val="19"/>
                <w:szCs w:val="19"/>
                <w:color w:val="auto"/>
              </w:rPr>
            </w:pPr>
          </w:p>
        </w:tc>
        <w:tc>
          <w:tcPr>
            <w:tcW w:w="780" w:type="dxa"/>
            <w:vAlign w:val="bottom"/>
          </w:tcPr>
          <w:p>
            <w:pPr>
              <w:jc w:val="right"/>
              <w:ind w:right="598"/>
              <w:spacing w:after="0"/>
              <w:rPr>
                <w:sz w:val="20"/>
                <w:szCs w:val="20"/>
                <w:color w:val="auto"/>
              </w:rPr>
            </w:pPr>
            <w:r>
              <w:rPr>
                <w:rFonts w:ascii="Arial" w:cs="Arial" w:eastAsia="Arial" w:hAnsi="Arial"/>
                <w:sz w:val="17"/>
                <w:szCs w:val="17"/>
                <w:color w:val="auto"/>
                <w:w w:val="84"/>
              </w:rPr>
              <w:t>$</w:t>
            </w:r>
          </w:p>
        </w:tc>
        <w:tc>
          <w:tcPr>
            <w:tcW w:w="380" w:type="dxa"/>
            <w:vAlign w:val="bottom"/>
          </w:tcPr>
          <w:p>
            <w:pPr>
              <w:jc w:val="right"/>
              <w:spacing w:after="0"/>
              <w:rPr>
                <w:sz w:val="20"/>
                <w:szCs w:val="20"/>
                <w:color w:val="auto"/>
              </w:rPr>
            </w:pPr>
            <w:r>
              <w:rPr>
                <w:rFonts w:ascii="Arial" w:cs="Arial" w:eastAsia="Arial" w:hAnsi="Arial"/>
                <w:sz w:val="17"/>
                <w:szCs w:val="17"/>
                <w:color w:val="auto"/>
                <w:w w:val="98"/>
              </w:rPr>
              <w:t>327</w:t>
            </w:r>
          </w:p>
        </w:tc>
        <w:tc>
          <w:tcPr>
            <w:tcW w:w="100" w:type="dxa"/>
            <w:vAlign w:val="bottom"/>
          </w:tcPr>
          <w:p>
            <w:pPr>
              <w:spacing w:after="0"/>
              <w:rPr>
                <w:sz w:val="19"/>
                <w:szCs w:val="19"/>
                <w:color w:val="auto"/>
              </w:rPr>
            </w:pPr>
          </w:p>
        </w:tc>
        <w:tc>
          <w:tcPr>
            <w:tcW w:w="280" w:type="dxa"/>
            <w:vAlign w:val="bottom"/>
          </w:tcPr>
          <w:p>
            <w:pPr>
              <w:jc w:val="right"/>
              <w:ind w:right="95"/>
              <w:spacing w:after="0"/>
              <w:rPr>
                <w:sz w:val="20"/>
                <w:szCs w:val="20"/>
                <w:color w:val="auto"/>
              </w:rPr>
            </w:pPr>
            <w:r>
              <w:rPr>
                <w:rFonts w:ascii="Arial" w:cs="Arial" w:eastAsia="Arial" w:hAnsi="Arial"/>
                <w:sz w:val="17"/>
                <w:szCs w:val="17"/>
                <w:color w:val="auto"/>
                <w:w w:val="84"/>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(143)</w:t>
            </w:r>
          </w:p>
        </w:tc>
        <w:tc>
          <w:tcPr>
            <w:tcW w:w="120" w:type="dxa"/>
            <w:vAlign w:val="bottom"/>
          </w:tcPr>
          <w:p>
            <w:pPr>
              <w:spacing w:after="0"/>
              <w:rPr>
                <w:sz w:val="19"/>
                <w:szCs w:val="19"/>
                <w:color w:val="auto"/>
              </w:rPr>
            </w:pPr>
          </w:p>
        </w:tc>
        <w:tc>
          <w:tcPr>
            <w:tcW w:w="400" w:type="dxa"/>
            <w:vAlign w:val="bottom"/>
          </w:tcPr>
          <w:p>
            <w:pPr>
              <w:jc w:val="right"/>
              <w:ind w:right="245"/>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167</w:t>
            </w:r>
          </w:p>
        </w:tc>
      </w:tr>
      <w:tr>
        <w:trPr>
          <w:trHeight w:val="229"/>
        </w:trPr>
        <w:tc>
          <w:tcPr>
            <w:tcW w:w="40" w:type="dxa"/>
            <w:vAlign w:val="bottom"/>
          </w:tcPr>
          <w:p>
            <w:pPr>
              <w:spacing w:after="0"/>
              <w:rPr>
                <w:sz w:val="19"/>
                <w:szCs w:val="19"/>
                <w:color w:val="auto"/>
              </w:rPr>
            </w:pPr>
          </w:p>
        </w:tc>
        <w:tc>
          <w:tcPr>
            <w:tcW w:w="6180" w:type="dxa"/>
            <w:vAlign w:val="bottom"/>
            <w:gridSpan w:val="2"/>
            <w:shd w:val="clear" w:color="auto" w:fill="CCEEFF"/>
          </w:tcPr>
          <w:p>
            <w:pPr>
              <w:spacing w:after="0" w:line="229" w:lineRule="exact"/>
              <w:rPr>
                <w:sz w:val="20"/>
                <w:szCs w:val="20"/>
                <w:color w:val="auto"/>
              </w:rPr>
            </w:pPr>
            <w:r>
              <w:rPr>
                <w:rFonts w:ascii="Arial" w:cs="Arial" w:eastAsia="Arial" w:hAnsi="Arial"/>
                <w:sz w:val="17"/>
                <w:szCs w:val="17"/>
                <w:color w:val="auto"/>
              </w:rPr>
              <w:t xml:space="preserve">Long-term inventory costing adjustments </w:t>
            </w:r>
            <w:r>
              <w:rPr>
                <w:rFonts w:ascii="Arial" w:cs="Arial" w:eastAsia="Arial" w:hAnsi="Arial"/>
                <w:sz w:val="22"/>
                <w:szCs w:val="22"/>
                <w:color w:val="auto"/>
                <w:vertAlign w:val="superscript"/>
              </w:rPr>
              <w:t>(3)</w:t>
            </w:r>
          </w:p>
        </w:tc>
        <w:tc>
          <w:tcPr>
            <w:tcW w:w="74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w:t>
            </w:r>
          </w:p>
        </w:tc>
      </w:tr>
      <w:tr>
        <w:trPr>
          <w:trHeight w:val="230"/>
        </w:trPr>
        <w:tc>
          <w:tcPr>
            <w:tcW w:w="40" w:type="dxa"/>
            <w:vAlign w:val="bottom"/>
          </w:tcPr>
          <w:p>
            <w:pPr>
              <w:spacing w:after="0"/>
              <w:rPr>
                <w:sz w:val="19"/>
                <w:szCs w:val="19"/>
                <w:color w:val="auto"/>
              </w:rPr>
            </w:pPr>
          </w:p>
        </w:tc>
        <w:tc>
          <w:tcPr>
            <w:tcW w:w="6180" w:type="dxa"/>
            <w:vAlign w:val="bottom"/>
            <w:gridSpan w:val="2"/>
          </w:tcPr>
          <w:p>
            <w:pPr>
              <w:spacing w:after="0" w:line="229" w:lineRule="exact"/>
              <w:rPr>
                <w:sz w:val="20"/>
                <w:szCs w:val="20"/>
                <w:color w:val="auto"/>
              </w:rPr>
            </w:pPr>
            <w:r>
              <w:rPr>
                <w:rFonts w:ascii="Arial" w:cs="Arial" w:eastAsia="Arial" w:hAnsi="Arial"/>
                <w:sz w:val="17"/>
                <w:szCs w:val="17"/>
                <w:color w:val="auto"/>
              </w:rPr>
              <w:t xml:space="preserve">Deficiencies under minimum volume commitments, net </w:t>
            </w:r>
            <w:r>
              <w:rPr>
                <w:rFonts w:ascii="Arial" w:cs="Arial" w:eastAsia="Arial" w:hAnsi="Arial"/>
                <w:sz w:val="22"/>
                <w:szCs w:val="22"/>
                <w:color w:val="auto"/>
                <w:vertAlign w:val="superscript"/>
              </w:rPr>
              <w:t>(4)</w:t>
            </w:r>
          </w:p>
        </w:tc>
        <w:tc>
          <w:tcPr>
            <w:tcW w:w="7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rPr>
              <w:t>(14)</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(16)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(5)</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(31)</w:t>
            </w:r>
          </w:p>
        </w:tc>
      </w:tr>
      <w:tr>
        <w:trPr>
          <w:trHeight w:val="229"/>
        </w:trPr>
        <w:tc>
          <w:tcPr>
            <w:tcW w:w="40" w:type="dxa"/>
            <w:vAlign w:val="bottom"/>
          </w:tcPr>
          <w:p>
            <w:pPr>
              <w:spacing w:after="0"/>
              <w:rPr>
                <w:sz w:val="19"/>
                <w:szCs w:val="19"/>
                <w:color w:val="auto"/>
              </w:rPr>
            </w:pPr>
          </w:p>
        </w:tc>
        <w:tc>
          <w:tcPr>
            <w:tcW w:w="6180" w:type="dxa"/>
            <w:vAlign w:val="bottom"/>
            <w:gridSpan w:val="2"/>
            <w:shd w:val="clear" w:color="auto" w:fill="CCEEFF"/>
          </w:tcPr>
          <w:p>
            <w:pPr>
              <w:spacing w:after="0" w:line="229" w:lineRule="exact"/>
              <w:rPr>
                <w:sz w:val="20"/>
                <w:szCs w:val="20"/>
                <w:color w:val="auto"/>
              </w:rPr>
            </w:pPr>
            <w:r>
              <w:rPr>
                <w:rFonts w:ascii="Arial" w:cs="Arial" w:eastAsia="Arial" w:hAnsi="Arial"/>
                <w:sz w:val="17"/>
                <w:szCs w:val="17"/>
                <w:color w:val="auto"/>
              </w:rPr>
              <w:t xml:space="preserve">Equity-indexed compensation expense </w:t>
            </w:r>
            <w:r>
              <w:rPr>
                <w:rFonts w:ascii="Arial" w:cs="Arial" w:eastAsia="Arial" w:hAnsi="Arial"/>
                <w:sz w:val="22"/>
                <w:szCs w:val="22"/>
                <w:color w:val="auto"/>
                <w:vertAlign w:val="superscript"/>
              </w:rPr>
              <w:t>(5)</w:t>
            </w:r>
          </w:p>
        </w:tc>
        <w:tc>
          <w:tcPr>
            <w:tcW w:w="74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w:t>
            </w:r>
          </w:p>
        </w:tc>
      </w:tr>
      <w:tr>
        <w:trPr>
          <w:trHeight w:val="230"/>
        </w:trPr>
        <w:tc>
          <w:tcPr>
            <w:tcW w:w="40" w:type="dxa"/>
            <w:vAlign w:val="bottom"/>
          </w:tcPr>
          <w:p>
            <w:pPr>
              <w:spacing w:after="0"/>
              <w:rPr>
                <w:sz w:val="19"/>
                <w:szCs w:val="19"/>
                <w:color w:val="auto"/>
              </w:rPr>
            </w:pPr>
          </w:p>
        </w:tc>
        <w:tc>
          <w:tcPr>
            <w:tcW w:w="6180" w:type="dxa"/>
            <w:vAlign w:val="bottom"/>
            <w:gridSpan w:val="2"/>
          </w:tcPr>
          <w:p>
            <w:pPr>
              <w:spacing w:after="0" w:line="229" w:lineRule="exact"/>
              <w:rPr>
                <w:sz w:val="20"/>
                <w:szCs w:val="20"/>
                <w:color w:val="auto"/>
              </w:rPr>
            </w:pPr>
            <w:r>
              <w:rPr>
                <w:rFonts w:ascii="Arial" w:cs="Arial" w:eastAsia="Arial" w:hAnsi="Arial"/>
                <w:sz w:val="17"/>
                <w:szCs w:val="17"/>
                <w:color w:val="auto"/>
              </w:rPr>
              <w:t xml:space="preserve">Foreign currency revaluation </w:t>
            </w:r>
            <w:r>
              <w:rPr>
                <w:rFonts w:ascii="Arial" w:cs="Arial" w:eastAsia="Arial" w:hAnsi="Arial"/>
                <w:sz w:val="22"/>
                <w:szCs w:val="22"/>
                <w:color w:val="auto"/>
                <w:vertAlign w:val="superscript"/>
              </w:rPr>
              <w:t>(6)</w:t>
            </w:r>
          </w:p>
        </w:tc>
        <w:tc>
          <w:tcPr>
            <w:tcW w:w="7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rPr>
              <w:t>5</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(32)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4</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(42)</w:t>
            </w:r>
          </w:p>
        </w:tc>
      </w:tr>
      <w:tr>
        <w:trPr>
          <w:trHeight w:val="229"/>
        </w:trPr>
        <w:tc>
          <w:tcPr>
            <w:tcW w:w="40" w:type="dxa"/>
            <w:vAlign w:val="bottom"/>
          </w:tcPr>
          <w:p>
            <w:pPr>
              <w:spacing w:after="0"/>
              <w:rPr>
                <w:sz w:val="19"/>
                <w:szCs w:val="19"/>
                <w:color w:val="auto"/>
              </w:rPr>
            </w:pPr>
          </w:p>
        </w:tc>
        <w:tc>
          <w:tcPr>
            <w:tcW w:w="6180" w:type="dxa"/>
            <w:vAlign w:val="bottom"/>
            <w:gridSpan w:val="2"/>
            <w:shd w:val="clear" w:color="auto" w:fill="CCEEFF"/>
          </w:tcPr>
          <w:p>
            <w:pPr>
              <w:spacing w:after="0" w:line="229" w:lineRule="exact"/>
              <w:rPr>
                <w:sz w:val="20"/>
                <w:szCs w:val="20"/>
                <w:color w:val="auto"/>
              </w:rPr>
            </w:pPr>
            <w:r>
              <w:rPr>
                <w:rFonts w:ascii="Arial" w:cs="Arial" w:eastAsia="Arial" w:hAnsi="Arial"/>
                <w:sz w:val="17"/>
                <w:szCs w:val="17"/>
                <w:color w:val="auto"/>
              </w:rPr>
              <w:t xml:space="preserve">Line 901 incident </w:t>
            </w:r>
            <w:r>
              <w:rPr>
                <w:rFonts w:ascii="Arial" w:cs="Arial" w:eastAsia="Arial" w:hAnsi="Arial"/>
                <w:sz w:val="22"/>
                <w:szCs w:val="22"/>
                <w:color w:val="auto"/>
                <w:vertAlign w:val="superscript"/>
              </w:rPr>
              <w:t>(7)</w:t>
            </w:r>
          </w:p>
        </w:tc>
        <w:tc>
          <w:tcPr>
            <w:tcW w:w="74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w:t>
            </w:r>
          </w:p>
        </w:tc>
      </w:tr>
      <w:tr>
        <w:trPr>
          <w:trHeight w:val="229"/>
        </w:trPr>
        <w:tc>
          <w:tcPr>
            <w:tcW w:w="40" w:type="dxa"/>
            <w:vAlign w:val="bottom"/>
          </w:tcPr>
          <w:p>
            <w:pPr>
              <w:spacing w:after="0"/>
              <w:rPr>
                <w:sz w:val="19"/>
                <w:szCs w:val="19"/>
                <w:color w:val="auto"/>
              </w:rPr>
            </w:pPr>
          </w:p>
        </w:tc>
        <w:tc>
          <w:tcPr>
            <w:tcW w:w="6180" w:type="dxa"/>
            <w:vAlign w:val="bottom"/>
            <w:gridSpan w:val="2"/>
          </w:tcPr>
          <w:p>
            <w:pPr>
              <w:spacing w:after="0" w:line="229" w:lineRule="exact"/>
              <w:rPr>
                <w:sz w:val="20"/>
                <w:szCs w:val="20"/>
                <w:color w:val="auto"/>
              </w:rPr>
            </w:pPr>
            <w:r>
              <w:rPr>
                <w:rFonts w:ascii="Arial" w:cs="Arial" w:eastAsia="Arial" w:hAnsi="Arial"/>
                <w:sz w:val="17"/>
                <w:szCs w:val="17"/>
                <w:color w:val="auto"/>
              </w:rPr>
              <w:t xml:space="preserve">Transaction-related expenses </w:t>
            </w:r>
            <w:r>
              <w:rPr>
                <w:rFonts w:ascii="Arial" w:cs="Arial" w:eastAsia="Arial" w:hAnsi="Arial"/>
                <w:sz w:val="22"/>
                <w:szCs w:val="22"/>
                <w:color w:val="auto"/>
                <w:vertAlign w:val="superscript"/>
              </w:rPr>
              <w:t>(8)</w:t>
            </w:r>
          </w:p>
        </w:tc>
        <w:tc>
          <w:tcPr>
            <w:tcW w:w="7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40" w:type="dxa"/>
            <w:vAlign w:val="bottom"/>
          </w:tcPr>
          <w:p>
            <w:pPr>
              <w:spacing w:after="0"/>
              <w:rPr>
                <w:sz w:val="19"/>
                <w:szCs w:val="19"/>
                <w:color w:val="auto"/>
              </w:rPr>
            </w:pPr>
          </w:p>
        </w:tc>
        <w:tc>
          <w:tcPr>
            <w:tcW w:w="6180" w:type="dxa"/>
            <w:vAlign w:val="bottom"/>
            <w:tcBorders>
              <w:top w:val="single" w:sz="8" w:color="CCEEFF"/>
            </w:tcBorders>
            <w:gridSpan w:val="2"/>
            <w:shd w:val="clear" w:color="auto" w:fill="CCEEFF"/>
          </w:tcPr>
          <w:p>
            <w:pPr>
              <w:ind w:left="160"/>
              <w:spacing w:after="0"/>
              <w:rPr>
                <w:sz w:val="20"/>
                <w:szCs w:val="20"/>
                <w:color w:val="auto"/>
              </w:rPr>
            </w:pPr>
            <w:r>
              <w:rPr>
                <w:rFonts w:ascii="Arial" w:cs="Arial" w:eastAsia="Arial" w:hAnsi="Arial"/>
                <w:sz w:val="17"/>
                <w:szCs w:val="17"/>
                <w:color w:val="auto"/>
              </w:rPr>
              <w:t>Selected items impacting comparability - Adjusted EBITDA</w:t>
            </w:r>
          </w:p>
        </w:tc>
        <w:tc>
          <w:tcPr>
            <w:tcW w:w="740" w:type="dxa"/>
            <w:vAlign w:val="bottom"/>
            <w:tcBorders>
              <w:top w:val="single" w:sz="8" w:color="auto"/>
            </w:tcBorders>
            <w:shd w:val="clear" w:color="auto" w:fill="CCEEFF"/>
          </w:tcPr>
          <w:p>
            <w:pPr>
              <w:jc w:val="right"/>
              <w:ind w:right="560"/>
              <w:spacing w:after="0"/>
              <w:rPr>
                <w:sz w:val="20"/>
                <w:szCs w:val="20"/>
                <w:color w:val="auto"/>
              </w:rPr>
            </w:pPr>
            <w:r>
              <w:rPr>
                <w:rFonts w:ascii="Arial" w:cs="Arial" w:eastAsia="Arial" w:hAnsi="Arial"/>
                <w:sz w:val="17"/>
                <w:szCs w:val="17"/>
                <w:color w:val="auto"/>
                <w:w w:val="84"/>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5"/>
              </w:rPr>
              <w:t>(158)</w:t>
            </w:r>
          </w:p>
        </w:tc>
        <w:tc>
          <w:tcPr>
            <w:tcW w:w="100" w:type="dxa"/>
            <w:vAlign w:val="bottom"/>
            <w:tcBorders>
              <w:top w:val="single" w:sz="8" w:color="CCEEFF"/>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ind w:right="598"/>
              <w:spacing w:after="0"/>
              <w:rPr>
                <w:sz w:val="20"/>
                <w:szCs w:val="20"/>
                <w:color w:val="auto"/>
              </w:rPr>
            </w:pPr>
            <w:r>
              <w:rPr>
                <w:rFonts w:ascii="Arial" w:cs="Arial" w:eastAsia="Arial" w:hAnsi="Arial"/>
                <w:sz w:val="17"/>
                <w:szCs w:val="17"/>
                <w:color w:val="auto"/>
                <w:w w:val="84"/>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8"/>
              </w:rPr>
              <w:t>187</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5"/>
              <w:spacing w:after="0"/>
              <w:rPr>
                <w:sz w:val="20"/>
                <w:szCs w:val="20"/>
                <w:color w:val="auto"/>
              </w:rPr>
            </w:pPr>
            <w:r>
              <w:rPr>
                <w:rFonts w:ascii="Arial" w:cs="Arial" w:eastAsia="Arial" w:hAnsi="Arial"/>
                <w:sz w:val="17"/>
                <w:szCs w:val="17"/>
                <w:color w:val="auto"/>
                <w:w w:val="84"/>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(146)</w:t>
            </w:r>
          </w:p>
        </w:tc>
        <w:tc>
          <w:tcPr>
            <w:tcW w:w="12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24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w:t>
            </w:r>
          </w:p>
        </w:tc>
      </w:tr>
      <w:tr>
        <w:trPr>
          <w:trHeight w:val="229"/>
        </w:trPr>
        <w:tc>
          <w:tcPr>
            <w:tcW w:w="40" w:type="dxa"/>
            <w:vAlign w:val="bottom"/>
          </w:tcPr>
          <w:p>
            <w:pPr>
              <w:spacing w:after="0"/>
              <w:rPr>
                <w:sz w:val="19"/>
                <w:szCs w:val="19"/>
                <w:color w:val="auto"/>
              </w:rPr>
            </w:pPr>
          </w:p>
        </w:tc>
        <w:tc>
          <w:tcPr>
            <w:tcW w:w="6180" w:type="dxa"/>
            <w:vAlign w:val="bottom"/>
            <w:gridSpan w:val="2"/>
          </w:tcPr>
          <w:p>
            <w:pPr>
              <w:spacing w:after="0"/>
              <w:rPr>
                <w:sz w:val="20"/>
                <w:szCs w:val="20"/>
                <w:color w:val="auto"/>
              </w:rPr>
            </w:pPr>
            <w:r>
              <w:rPr>
                <w:rFonts w:ascii="Arial" w:cs="Arial" w:eastAsia="Arial" w:hAnsi="Arial"/>
                <w:sz w:val="17"/>
                <w:szCs w:val="17"/>
                <w:color w:val="auto"/>
              </w:rPr>
              <w:t>Derivative activities</w:t>
            </w:r>
          </w:p>
        </w:tc>
        <w:tc>
          <w:tcPr>
            <w:tcW w:w="740" w:type="dxa"/>
            <w:vAlign w:val="bottom"/>
          </w:tcPr>
          <w:p>
            <w:pPr>
              <w:spacing w:after="0"/>
              <w:rPr>
                <w:sz w:val="19"/>
                <w:szCs w:val="19"/>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30"/>
        </w:trPr>
        <w:tc>
          <w:tcPr>
            <w:tcW w:w="40" w:type="dxa"/>
            <w:vAlign w:val="bottom"/>
          </w:tcPr>
          <w:p>
            <w:pPr>
              <w:spacing w:after="0"/>
              <w:rPr>
                <w:sz w:val="19"/>
                <w:szCs w:val="19"/>
                <w:color w:val="auto"/>
              </w:rPr>
            </w:pPr>
          </w:p>
        </w:tc>
        <w:tc>
          <w:tcPr>
            <w:tcW w:w="61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Gain on investment in unconsolidated entities</w:t>
            </w:r>
          </w:p>
        </w:tc>
        <w:tc>
          <w:tcPr>
            <w:tcW w:w="74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29"/>
        </w:trPr>
        <w:tc>
          <w:tcPr>
            <w:tcW w:w="40" w:type="dxa"/>
            <w:vAlign w:val="bottom"/>
          </w:tcPr>
          <w:p>
            <w:pPr>
              <w:spacing w:after="0"/>
              <w:rPr>
                <w:sz w:val="19"/>
                <w:szCs w:val="19"/>
                <w:color w:val="auto"/>
              </w:rPr>
            </w:pPr>
          </w:p>
        </w:tc>
        <w:tc>
          <w:tcPr>
            <w:tcW w:w="6180" w:type="dxa"/>
            <w:vAlign w:val="bottom"/>
            <w:gridSpan w:val="2"/>
          </w:tcPr>
          <w:p>
            <w:pPr>
              <w:spacing w:after="0"/>
              <w:rPr>
                <w:sz w:val="20"/>
                <w:szCs w:val="20"/>
                <w:color w:val="auto"/>
              </w:rPr>
            </w:pPr>
            <w:r>
              <w:rPr>
                <w:rFonts w:ascii="Arial" w:cs="Arial" w:eastAsia="Arial" w:hAnsi="Arial"/>
                <w:sz w:val="17"/>
                <w:szCs w:val="17"/>
                <w:color w:val="auto"/>
              </w:rPr>
              <w:t>Gains/(losses) on asset sales and asset impairments, net</w:t>
            </w:r>
          </w:p>
        </w:tc>
        <w:tc>
          <w:tcPr>
            <w:tcW w:w="7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144</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29"/>
        </w:trPr>
        <w:tc>
          <w:tcPr>
            <w:tcW w:w="40" w:type="dxa"/>
            <w:vAlign w:val="bottom"/>
          </w:tcPr>
          <w:p>
            <w:pPr>
              <w:spacing w:after="0"/>
              <w:rPr>
                <w:sz w:val="19"/>
                <w:szCs w:val="19"/>
                <w:color w:val="auto"/>
              </w:rPr>
            </w:pPr>
          </w:p>
        </w:tc>
        <w:tc>
          <w:tcPr>
            <w:tcW w:w="61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Tax effect on selected items impacting comparability</w:t>
            </w:r>
          </w:p>
        </w:tc>
        <w:tc>
          <w:tcPr>
            <w:tcW w:w="74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w:t>
            </w:r>
          </w:p>
        </w:tc>
      </w:tr>
      <w:tr>
        <w:trPr>
          <w:trHeight w:val="223"/>
        </w:trPr>
        <w:tc>
          <w:tcPr>
            <w:tcW w:w="40" w:type="dxa"/>
            <w:vAlign w:val="bottom"/>
          </w:tcPr>
          <w:p>
            <w:pPr>
              <w:spacing w:after="0"/>
              <w:rPr>
                <w:sz w:val="19"/>
                <w:szCs w:val="19"/>
                <w:color w:val="auto"/>
              </w:rPr>
            </w:pPr>
          </w:p>
        </w:tc>
        <w:tc>
          <w:tcPr>
            <w:tcW w:w="6180" w:type="dxa"/>
            <w:vAlign w:val="bottom"/>
            <w:tcBorders>
              <w:bottom w:val="single" w:sz="8" w:color="CCEEFF"/>
            </w:tcBorders>
            <w:gridSpan w:val="2"/>
          </w:tcPr>
          <w:p>
            <w:pPr>
              <w:spacing w:after="0"/>
              <w:rPr>
                <w:sz w:val="20"/>
                <w:szCs w:val="20"/>
                <w:color w:val="auto"/>
              </w:rPr>
            </w:pPr>
            <w:r>
              <w:rPr>
                <w:rFonts w:ascii="Arial" w:cs="Arial" w:eastAsia="Arial" w:hAnsi="Arial"/>
                <w:sz w:val="17"/>
                <w:szCs w:val="17"/>
                <w:color w:val="auto"/>
              </w:rPr>
              <w:t>Aggregate selected items impacting noncontrolling interests</w:t>
            </w:r>
          </w:p>
        </w:tc>
        <w:tc>
          <w:tcPr>
            <w:tcW w:w="7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w:t>
            </w:r>
          </w:p>
        </w:tc>
        <w:tc>
          <w:tcPr>
            <w:tcW w:w="10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w:t>
            </w:r>
          </w:p>
        </w:tc>
      </w:tr>
      <w:tr>
        <w:trPr>
          <w:trHeight w:val="254"/>
        </w:trPr>
        <w:tc>
          <w:tcPr>
            <w:tcW w:w="40" w:type="dxa"/>
            <w:vAlign w:val="bottom"/>
          </w:tcPr>
          <w:p>
            <w:pPr>
              <w:spacing w:after="0"/>
              <w:rPr>
                <w:sz w:val="21"/>
                <w:szCs w:val="21"/>
                <w:color w:val="auto"/>
              </w:rPr>
            </w:pPr>
          </w:p>
        </w:tc>
        <w:tc>
          <w:tcPr>
            <w:tcW w:w="61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7"/>
                <w:szCs w:val="17"/>
                <w:color w:val="auto"/>
                <w:w w:val="98"/>
              </w:rPr>
              <w:t>Selected items impacting comparability - Adjusted net income attributable to PAA</w:t>
            </w:r>
          </w:p>
        </w:tc>
        <w:tc>
          <w:tcPr>
            <w:tcW w:w="740" w:type="dxa"/>
            <w:vAlign w:val="bottom"/>
            <w:tcBorders>
              <w:bottom w:val="single" w:sz="8" w:color="auto"/>
            </w:tcBorders>
            <w:shd w:val="clear" w:color="auto" w:fill="CCEEFF"/>
          </w:tcPr>
          <w:p>
            <w:pPr>
              <w:jc w:val="right"/>
              <w:ind w:right="560"/>
              <w:spacing w:after="0"/>
              <w:rPr>
                <w:sz w:val="20"/>
                <w:szCs w:val="20"/>
                <w:color w:val="auto"/>
              </w:rPr>
            </w:pPr>
            <w:r>
              <w:rPr>
                <w:rFonts w:ascii="Arial" w:cs="Arial" w:eastAsia="Arial" w:hAnsi="Arial"/>
                <w:sz w:val="17"/>
                <w:szCs w:val="17"/>
                <w:color w:val="auto"/>
                <w:w w:val="84"/>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5"/>
              </w:rPr>
              <w:t>(105)</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598"/>
              <w:spacing w:after="0"/>
              <w:rPr>
                <w:sz w:val="20"/>
                <w:szCs w:val="20"/>
                <w:color w:val="auto"/>
              </w:rPr>
            </w:pPr>
            <w:r>
              <w:rPr>
                <w:rFonts w:ascii="Arial" w:cs="Arial" w:eastAsia="Arial" w:hAnsi="Arial"/>
                <w:sz w:val="17"/>
                <w:szCs w:val="17"/>
                <w:color w:val="auto"/>
                <w:w w:val="84"/>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8"/>
              </w:rPr>
              <w:t>104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7"/>
                <w:szCs w:val="17"/>
                <w:color w:val="auto"/>
                <w:w w:val="84"/>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45"/>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w:t>
            </w:r>
          </w:p>
        </w:tc>
      </w:tr>
      <w:tr>
        <w:trPr>
          <w:trHeight w:val="20"/>
        </w:trPr>
        <w:tc>
          <w:tcPr>
            <w:tcW w:w="40" w:type="dxa"/>
            <w:vAlign w:val="bottom"/>
          </w:tcPr>
          <w:p>
            <w:pPr>
              <w:spacing w:after="0" w:line="20" w:lineRule="exact"/>
              <w:rPr>
                <w:sz w:val="1"/>
                <w:szCs w:val="1"/>
                <w:color w:val="auto"/>
              </w:rPr>
            </w:pPr>
          </w:p>
        </w:tc>
        <w:tc>
          <w:tcPr>
            <w:tcW w:w="3840" w:type="dxa"/>
            <w:vAlign w:val="bottom"/>
            <w:tcBorders>
              <w:top w:val="single" w:sz="8" w:color="CCEEFF"/>
            </w:tcBorders>
          </w:tcPr>
          <w:p>
            <w:pPr>
              <w:spacing w:after="0" w:line="20" w:lineRule="exact"/>
              <w:rPr>
                <w:sz w:val="1"/>
                <w:szCs w:val="1"/>
                <w:color w:val="auto"/>
              </w:rPr>
            </w:pPr>
          </w:p>
        </w:tc>
        <w:tc>
          <w:tcPr>
            <w:tcW w:w="23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r>
        <w:trPr>
          <w:trHeight w:val="136"/>
        </w:trPr>
        <w:tc>
          <w:tcPr>
            <w:tcW w:w="40" w:type="dxa"/>
            <w:vAlign w:val="bottom"/>
            <w:tcBorders>
              <w:bottom w:val="single" w:sz="8" w:color="auto"/>
            </w:tcBorders>
          </w:tcPr>
          <w:p>
            <w:pPr>
              <w:spacing w:after="0"/>
              <w:rPr>
                <w:sz w:val="11"/>
                <w:szCs w:val="11"/>
                <w:color w:val="auto"/>
              </w:rPr>
            </w:pPr>
          </w:p>
        </w:tc>
        <w:tc>
          <w:tcPr>
            <w:tcW w:w="3840" w:type="dxa"/>
            <w:vAlign w:val="bottom"/>
            <w:tcBorders>
              <w:bottom w:val="single" w:sz="8" w:color="auto"/>
            </w:tcBorders>
          </w:tcPr>
          <w:p>
            <w:pPr>
              <w:spacing w:after="0"/>
              <w:rPr>
                <w:sz w:val="11"/>
                <w:szCs w:val="11"/>
                <w:color w:val="auto"/>
              </w:rPr>
            </w:pPr>
          </w:p>
        </w:tc>
        <w:tc>
          <w:tcPr>
            <w:tcW w:w="23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60" w:type="dxa"/>
            <w:vAlign w:val="bottom"/>
          </w:tcPr>
          <w:p>
            <w:pPr>
              <w:spacing w:after="0"/>
              <w:rPr>
                <w:sz w:val="11"/>
                <w:szCs w:val="11"/>
                <w:color w:val="auto"/>
              </w:rPr>
            </w:pPr>
          </w:p>
        </w:tc>
      </w:tr>
    </w:tbl>
    <w:p>
      <w:pPr>
        <w:spacing w:after="0" w:line="82" w:lineRule="exact"/>
        <w:rPr>
          <w:sz w:val="20"/>
          <w:szCs w:val="20"/>
          <w:color w:val="auto"/>
        </w:rPr>
      </w:pPr>
    </w:p>
    <w:p>
      <w:pPr>
        <w:ind w:left="340" w:right="80" w:hanging="332"/>
        <w:spacing w:after="0" w:line="225" w:lineRule="auto"/>
        <w:tabs>
          <w:tab w:leader="none" w:pos="335" w:val="left"/>
        </w:tabs>
        <w:numPr>
          <w:ilvl w:val="0"/>
          <w:numId w:val="15"/>
        </w:numPr>
        <w:rPr>
          <w:rFonts w:ascii="Arial" w:cs="Arial" w:eastAsia="Arial" w:hAnsi="Arial"/>
          <w:sz w:val="18"/>
          <w:szCs w:val="18"/>
          <w:color w:val="auto"/>
          <w:vertAlign w:val="superscript"/>
        </w:rPr>
      </w:pPr>
      <w:r>
        <w:rPr>
          <w:rFonts w:ascii="Arial" w:cs="Arial" w:eastAsia="Arial" w:hAnsi="Arial"/>
          <w:sz w:val="14"/>
          <w:szCs w:val="14"/>
          <w:color w:val="auto"/>
        </w:rPr>
        <w:t>Certain of our non-GAAP financial measures may not be impacted by each of the selected items impacting comparability. See the “Net Income to Adjusted EBITDA attributable to PAA and Implied DCF Reconciliation” and “Computation of Basic and Diluted Adjusted Net Income Per Common Unit” table for additional details on how these selected items impacting comparability affect such measures.</w:t>
      </w:r>
    </w:p>
    <w:p>
      <w:pPr>
        <w:spacing w:after="0" w:line="30" w:lineRule="exact"/>
        <w:rPr>
          <w:rFonts w:ascii="Arial" w:cs="Arial" w:eastAsia="Arial" w:hAnsi="Arial"/>
          <w:sz w:val="18"/>
          <w:szCs w:val="18"/>
          <w:color w:val="auto"/>
          <w:vertAlign w:val="superscript"/>
        </w:rPr>
      </w:pPr>
    </w:p>
    <w:p>
      <w:pPr>
        <w:ind w:left="340" w:right="20" w:hanging="332"/>
        <w:spacing w:after="0" w:line="237" w:lineRule="auto"/>
        <w:tabs>
          <w:tab w:leader="none" w:pos="335" w:val="left"/>
        </w:tabs>
        <w:numPr>
          <w:ilvl w:val="0"/>
          <w:numId w:val="15"/>
        </w:numPr>
        <w:rPr>
          <w:rFonts w:ascii="Arial" w:cs="Arial" w:eastAsia="Arial" w:hAnsi="Arial"/>
          <w:sz w:val="18"/>
          <w:szCs w:val="18"/>
          <w:color w:val="auto"/>
          <w:vertAlign w:val="superscript"/>
        </w:rPr>
      </w:pPr>
      <w:r>
        <w:rPr>
          <w:rFonts w:ascii="Arial" w:cs="Arial" w:eastAsia="Arial" w:hAnsi="Arial"/>
          <w:sz w:val="14"/>
          <w:szCs w:val="14"/>
          <w:color w:val="auto"/>
        </w:rPr>
        <w:t>We use derivative instruments for risk management purposes and our related processes include specific identification of hedging instruments to an underlying hedged transaction. Although we identify an underlying transaction for each derivative instrument we enter into, there may not be an accounting hedge relationship between the instrument and the underlying transaction. In the course of evaluating our results, we identify differences in the timing of earnings from the derivative instruments and the underlying transactions and exclude the related gains and losses in determining adjusted results such that the earnings from the derivative instruments and the underlying transactions impact adjusted results in the same period. In addition, we exclude gains and losses on derivatives that are related to (i) investing activities, such as the purchase of linefill, and (ii) purchases of long-term inventory. We also exclude the impact of corresponding inventory valuation adjustments, as applicable. For applicable periods, we excluded gains and losses from the mark-to-market of the embedded derivative associated with the Preferred Distribution Rate Reset Option of our Series A preferred units.</w:t>
      </w:r>
    </w:p>
    <w:p>
      <w:pPr>
        <w:spacing w:after="0" w:line="29" w:lineRule="exact"/>
        <w:rPr>
          <w:rFonts w:ascii="Arial" w:cs="Arial" w:eastAsia="Arial" w:hAnsi="Arial"/>
          <w:sz w:val="18"/>
          <w:szCs w:val="18"/>
          <w:color w:val="auto"/>
          <w:vertAlign w:val="superscript"/>
        </w:rPr>
      </w:pPr>
    </w:p>
    <w:p>
      <w:pPr>
        <w:ind w:left="340" w:right="20" w:hanging="332"/>
        <w:spacing w:after="0" w:line="247" w:lineRule="auto"/>
        <w:tabs>
          <w:tab w:leader="none" w:pos="335" w:val="left"/>
        </w:tabs>
        <w:numPr>
          <w:ilvl w:val="0"/>
          <w:numId w:val="15"/>
        </w:numPr>
        <w:rPr>
          <w:rFonts w:ascii="Arial" w:cs="Arial" w:eastAsia="Arial" w:hAnsi="Arial"/>
          <w:sz w:val="17"/>
          <w:szCs w:val="17"/>
          <w:color w:val="auto"/>
          <w:vertAlign w:val="superscript"/>
        </w:rPr>
      </w:pPr>
      <w:r>
        <w:rPr>
          <w:rFonts w:ascii="Arial" w:cs="Arial" w:eastAsia="Arial" w:hAnsi="Arial"/>
          <w:sz w:val="13"/>
          <w:szCs w:val="13"/>
          <w:color w:val="auto"/>
        </w:rPr>
        <w:t>We carry crude oil and NGL inventory that is comprised of minimum working inventory requirements in third-party assets and other working inventory that is needed for our commercial operations. We consider this inventory necessary to conduct our operations and we intend to carry this inventory for the foreseeable future. Therefore, we classify this inventory as long-term on our balance sheet and do not hedge the inventory with derivative instruments (similar to linefill in our own assets). We treat the impact of changes in the average cost of the long-term inventory (that result from fluctuations in market prices) and write-downs of such inventory that result from price declines as a selected item impacting comparability.</w:t>
      </w:r>
    </w:p>
    <w:p>
      <w:pPr>
        <w:spacing w:after="0" w:line="25" w:lineRule="exact"/>
        <w:rPr>
          <w:rFonts w:ascii="Arial" w:cs="Arial" w:eastAsia="Arial" w:hAnsi="Arial"/>
          <w:sz w:val="17"/>
          <w:szCs w:val="17"/>
          <w:color w:val="auto"/>
          <w:vertAlign w:val="superscript"/>
        </w:rPr>
      </w:pPr>
    </w:p>
    <w:p>
      <w:pPr>
        <w:ind w:left="340" w:hanging="332"/>
        <w:spacing w:after="0" w:line="283" w:lineRule="auto"/>
        <w:tabs>
          <w:tab w:leader="none" w:pos="335" w:val="left"/>
        </w:tabs>
        <w:numPr>
          <w:ilvl w:val="0"/>
          <w:numId w:val="15"/>
        </w:numPr>
        <w:rPr>
          <w:rFonts w:ascii="Arial" w:cs="Arial" w:eastAsia="Arial" w:hAnsi="Arial"/>
          <w:sz w:val="15"/>
          <w:szCs w:val="15"/>
          <w:color w:val="auto"/>
          <w:vertAlign w:val="superscript"/>
        </w:rPr>
      </w:pPr>
      <w:r>
        <w:rPr>
          <w:rFonts w:ascii="Arial" w:cs="Arial" w:eastAsia="Arial" w:hAnsi="Arial"/>
          <w:sz w:val="12"/>
          <w:szCs w:val="12"/>
          <w:color w:val="auto"/>
        </w:rPr>
        <w:t>We, and certain of our equity method investees, have certain agreements that require counterparties to deliver, transport or throughput a minimum volume over an agreed upon period. Substantially all of such agreements were entered into with counterparties to economically support the return on capital expenditure necessary to construct the related asset. Some of these agreements include make-up rights if the minimum volume is not met. We record a receivable from the counterparty in the period that services are provided or when the transaction occurs, including amounts for deficiency obligations from counterparties associated with minimum volume commitments. If a counterparty has a make-up right associated with a deficiency, we defer the revenue attributable to the counterparty’s make-up right and subsequently recognize the revenue at the earlier of when the deficiency volume is delivered or shipped, when the make-up right expires or when it is determined that the counterparty’s ability to utilize the make-up right is remote. We include the impact of amounts billed to counterparties for their deficiency obligation, net of applicable amounts subsequently recognized into revenue or equity earnings, as a selected item impacting comparability. We believe the inclusion of the contractually committed revenues associated with that period is meaningful to investors as the related asset has been constructed, is standing ready to provide the committed service and the fixed operating costs are included in the current period results.</w:t>
      </w:r>
    </w:p>
    <w:p>
      <w:pPr>
        <w:spacing w:after="0" w:line="7" w:lineRule="exact"/>
        <w:rPr>
          <w:rFonts w:ascii="Arial" w:cs="Arial" w:eastAsia="Arial" w:hAnsi="Arial"/>
          <w:sz w:val="15"/>
          <w:szCs w:val="15"/>
          <w:color w:val="auto"/>
          <w:vertAlign w:val="superscript"/>
        </w:rPr>
      </w:pPr>
    </w:p>
    <w:p>
      <w:pPr>
        <w:jc w:val="both"/>
        <w:ind w:left="340" w:hanging="332"/>
        <w:spacing w:after="0" w:line="234" w:lineRule="auto"/>
        <w:tabs>
          <w:tab w:leader="none" w:pos="335" w:val="left"/>
        </w:tabs>
        <w:numPr>
          <w:ilvl w:val="0"/>
          <w:numId w:val="15"/>
        </w:numPr>
        <w:rPr>
          <w:rFonts w:ascii="Arial" w:cs="Arial" w:eastAsia="Arial" w:hAnsi="Arial"/>
          <w:sz w:val="18"/>
          <w:szCs w:val="18"/>
          <w:color w:val="auto"/>
          <w:vertAlign w:val="superscript"/>
        </w:rPr>
      </w:pPr>
      <w:r>
        <w:rPr>
          <w:rFonts w:ascii="Arial" w:cs="Arial" w:eastAsia="Arial" w:hAnsi="Arial"/>
          <w:sz w:val="14"/>
          <w:szCs w:val="14"/>
          <w:color w:val="auto"/>
        </w:rPr>
        <w:t>Our total equity-indexed compensation expense includes expense associated with awards that will be settled in units and awards that will be settled in cash. The awards that will be settled in units are included in our diluted net income per unit calculation when the applicable performance criteria have been met. We consider the compensation expense associated with these awards as a selected item impacting comparability as the dilutive impact of the outstanding awards is included in our diluted net income per unit calculation, as applicable. The portion of compensation expense associated with awards that will be settled in cash is not considered a selected item impacting comparability.</w:t>
      </w:r>
    </w:p>
    <w:p>
      <w:pPr>
        <w:spacing w:after="0" w:line="15" w:lineRule="exact"/>
        <w:rPr>
          <w:rFonts w:ascii="Arial" w:cs="Arial" w:eastAsia="Arial" w:hAnsi="Arial"/>
          <w:sz w:val="18"/>
          <w:szCs w:val="18"/>
          <w:color w:val="auto"/>
          <w:vertAlign w:val="superscript"/>
        </w:rPr>
      </w:pPr>
    </w:p>
    <w:p>
      <w:pPr>
        <w:ind w:left="340" w:right="20" w:hanging="332"/>
        <w:spacing w:after="0" w:line="232" w:lineRule="auto"/>
        <w:tabs>
          <w:tab w:leader="none" w:pos="335" w:val="left"/>
        </w:tabs>
        <w:numPr>
          <w:ilvl w:val="0"/>
          <w:numId w:val="15"/>
        </w:numPr>
        <w:rPr>
          <w:rFonts w:ascii="Arial" w:cs="Arial" w:eastAsia="Arial" w:hAnsi="Arial"/>
          <w:sz w:val="18"/>
          <w:szCs w:val="18"/>
          <w:color w:val="auto"/>
          <w:vertAlign w:val="superscript"/>
        </w:rPr>
      </w:pPr>
      <w:r>
        <w:rPr>
          <w:rFonts w:ascii="Arial" w:cs="Arial" w:eastAsia="Arial" w:hAnsi="Arial"/>
          <w:sz w:val="14"/>
          <w:szCs w:val="14"/>
          <w:color w:val="auto"/>
        </w:rPr>
        <w:t>During the periods presented, there were fluctuations in the value of the Canadian dollar to the U.S. dollar, resulting in the realization of foreign exchange gains and losses on the settlement of foreign currency transactions as well as the revaluation of monetary assets and liabilities denominated in a foreign currency. The associated gains and losses are not integral to our results and were thus classified as a selected item impacting comparability.</w:t>
      </w:r>
    </w:p>
    <w:p>
      <w:pPr>
        <w:ind w:left="320" w:hanging="312"/>
        <w:spacing w:after="0" w:line="219" w:lineRule="auto"/>
        <w:tabs>
          <w:tab w:leader="none" w:pos="320" w:val="left"/>
        </w:tabs>
        <w:numPr>
          <w:ilvl w:val="0"/>
          <w:numId w:val="15"/>
        </w:numPr>
        <w:rPr>
          <w:rFonts w:ascii="Arial" w:cs="Arial" w:eastAsia="Arial" w:hAnsi="Arial"/>
          <w:sz w:val="18"/>
          <w:szCs w:val="18"/>
          <w:color w:val="auto"/>
          <w:vertAlign w:val="superscript"/>
        </w:rPr>
      </w:pPr>
      <w:r>
        <w:rPr>
          <w:rFonts w:ascii="Arial" w:cs="Arial" w:eastAsia="Arial" w:hAnsi="Arial"/>
          <w:sz w:val="14"/>
          <w:szCs w:val="14"/>
          <w:color w:val="auto"/>
        </w:rPr>
        <w:t>Includes costs recognized during the period related to the Line 901 incident that occurred in May 2015, net of amounts we believe are probable of recovery from insurance.</w:t>
      </w:r>
    </w:p>
    <w:p>
      <w:pPr>
        <w:spacing w:after="0" w:line="40" w:lineRule="exact"/>
        <w:rPr>
          <w:rFonts w:ascii="Arial" w:cs="Arial" w:eastAsia="Arial" w:hAnsi="Arial"/>
          <w:sz w:val="18"/>
          <w:szCs w:val="18"/>
          <w:color w:val="auto"/>
          <w:vertAlign w:val="superscript"/>
        </w:rPr>
      </w:pPr>
    </w:p>
    <w:p>
      <w:pPr>
        <w:ind w:left="320" w:hanging="312"/>
        <w:spacing w:after="0" w:line="187" w:lineRule="auto"/>
        <w:tabs>
          <w:tab w:leader="none" w:pos="320" w:val="left"/>
        </w:tabs>
        <w:numPr>
          <w:ilvl w:val="0"/>
          <w:numId w:val="15"/>
        </w:numPr>
        <w:rPr>
          <w:rFonts w:ascii="Arial" w:cs="Arial" w:eastAsia="Arial" w:hAnsi="Arial"/>
          <w:sz w:val="18"/>
          <w:szCs w:val="18"/>
          <w:color w:val="auto"/>
          <w:vertAlign w:val="superscript"/>
        </w:rPr>
      </w:pPr>
      <w:r>
        <w:rPr>
          <w:rFonts w:ascii="Arial" w:cs="Arial" w:eastAsia="Arial" w:hAnsi="Arial"/>
          <w:sz w:val="14"/>
          <w:szCs w:val="14"/>
          <w:color w:val="auto"/>
        </w:rPr>
        <w:t>Includes expenses associated with the Rattler Permian Transaction.</w:t>
      </w:r>
    </w:p>
    <w:p>
      <w:pPr>
        <w:spacing w:after="0" w:line="175" w:lineRule="exact"/>
        <w:rPr>
          <w:rFonts w:ascii="Arial" w:cs="Arial" w:eastAsia="Arial" w:hAnsi="Arial"/>
          <w:sz w:val="18"/>
          <w:szCs w:val="18"/>
          <w:color w:val="auto"/>
          <w:vertAlign w:val="superscript"/>
        </w:rPr>
      </w:pPr>
    </w:p>
    <w:p>
      <w:pPr>
        <w:ind w:left="5440" w:hanging="106"/>
        <w:spacing w:after="0"/>
        <w:tabs>
          <w:tab w:leader="none" w:pos="5440" w:val="left"/>
        </w:tabs>
        <w:numPr>
          <w:ilvl w:val="1"/>
          <w:numId w:val="15"/>
        </w:numPr>
        <w:rPr>
          <w:rFonts w:ascii="Arial" w:cs="Arial" w:eastAsia="Arial" w:hAnsi="Arial"/>
          <w:sz w:val="18"/>
          <w:szCs w:val="18"/>
          <w:color w:val="auto"/>
        </w:rPr>
      </w:pPr>
      <w:r>
        <w:rPr>
          <w:rFonts w:ascii="Arial" w:cs="Arial" w:eastAsia="Arial" w:hAnsi="Arial"/>
          <w:sz w:val="18"/>
          <w:szCs w:val="18"/>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100330</wp:posOffset>
            </wp:positionV>
            <wp:extent cx="711517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55" w:lineRule="exact"/>
        <w:rPr>
          <w:sz w:val="20"/>
          <w:szCs w:val="20"/>
          <w:color w:val="auto"/>
        </w:rPr>
      </w:pPr>
    </w:p>
    <w:p>
      <w:pPr>
        <w:ind w:left="1660"/>
        <w:spacing w:after="0"/>
        <w:tabs>
          <w:tab w:leader="none" w:pos="4760" w:val="left"/>
          <w:tab w:leader="none" w:pos="74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220"/>
          </w:cols>
          <w:pgMar w:left="320" w:top="368" w:right="35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auto"/>
        </w:rPr>
        <w:t>Page 13</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1517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SELECTED FINANCIAL DATA BY SEGMENT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80" w:type="dxa"/>
            <w:vAlign w:val="bottom"/>
            <w:gridSpan w:val="6"/>
          </w:tcPr>
          <w:p>
            <w:pPr>
              <w:jc w:val="center"/>
              <w:ind w:right="400"/>
              <w:spacing w:after="0"/>
              <w:rPr>
                <w:sz w:val="20"/>
                <w:szCs w:val="20"/>
                <w:color w:val="auto"/>
              </w:rPr>
            </w:pPr>
            <w:r>
              <w:rPr>
                <w:rFonts w:ascii="Arial" w:cs="Arial" w:eastAsia="Arial" w:hAnsi="Arial"/>
                <w:sz w:val="14"/>
                <w:szCs w:val="14"/>
                <w:b w:val="1"/>
                <w:bCs w:val="1"/>
                <w:color w:val="auto"/>
                <w:w w:val="95"/>
              </w:rPr>
              <w:t>Three Months Ended</w:t>
            </w:r>
          </w:p>
        </w:tc>
        <w:tc>
          <w:tcPr>
            <w:tcW w:w="180" w:type="dxa"/>
            <w:vAlign w:val="bottom"/>
          </w:tcPr>
          <w:p>
            <w:pPr>
              <w:spacing w:after="0"/>
              <w:rPr>
                <w:sz w:val="14"/>
                <w:szCs w:val="14"/>
                <w:color w:val="auto"/>
              </w:rPr>
            </w:pPr>
          </w:p>
        </w:tc>
        <w:tc>
          <w:tcPr>
            <w:tcW w:w="2260" w:type="dxa"/>
            <w:vAlign w:val="bottom"/>
            <w:gridSpan w:val="4"/>
          </w:tcPr>
          <w:p>
            <w:pPr>
              <w:jc w:val="right"/>
              <w:ind w:right="471"/>
              <w:spacing w:after="0"/>
              <w:rPr>
                <w:sz w:val="20"/>
                <w:szCs w:val="20"/>
                <w:color w:val="auto"/>
              </w:rPr>
            </w:pPr>
            <w:r>
              <w:rPr>
                <w:rFonts w:ascii="Arial" w:cs="Arial" w:eastAsia="Arial" w:hAnsi="Arial"/>
                <w:sz w:val="14"/>
                <w:szCs w:val="14"/>
                <w:b w:val="1"/>
                <w:bCs w:val="1"/>
                <w:color w:val="auto"/>
              </w:rPr>
              <w:t>Three Months Ended</w:t>
            </w:r>
          </w:p>
        </w:tc>
      </w:tr>
      <w:tr>
        <w:trPr>
          <w:trHeight w:val="196"/>
        </w:trPr>
        <w:tc>
          <w:tcPr>
            <w:tcW w:w="388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80" w:type="dxa"/>
            <w:vAlign w:val="bottom"/>
            <w:gridSpan w:val="6"/>
          </w:tcPr>
          <w:p>
            <w:pPr>
              <w:jc w:val="center"/>
              <w:ind w:right="400"/>
              <w:spacing w:after="0"/>
              <w:rPr>
                <w:sz w:val="20"/>
                <w:szCs w:val="20"/>
                <w:color w:val="auto"/>
              </w:rPr>
            </w:pPr>
            <w:r>
              <w:rPr>
                <w:rFonts w:ascii="Arial" w:cs="Arial" w:eastAsia="Arial" w:hAnsi="Arial"/>
                <w:sz w:val="14"/>
                <w:szCs w:val="14"/>
                <w:b w:val="1"/>
                <w:bCs w:val="1"/>
                <w:color w:val="auto"/>
                <w:w w:val="91"/>
              </w:rPr>
              <w:t>September 30, 2023</w:t>
            </w:r>
          </w:p>
        </w:tc>
        <w:tc>
          <w:tcPr>
            <w:tcW w:w="180" w:type="dxa"/>
            <w:vAlign w:val="bottom"/>
          </w:tcPr>
          <w:p>
            <w:pPr>
              <w:spacing w:after="0"/>
              <w:rPr>
                <w:sz w:val="17"/>
                <w:szCs w:val="17"/>
                <w:color w:val="auto"/>
              </w:rPr>
            </w:pPr>
          </w:p>
        </w:tc>
        <w:tc>
          <w:tcPr>
            <w:tcW w:w="2260" w:type="dxa"/>
            <w:vAlign w:val="bottom"/>
            <w:gridSpan w:val="4"/>
          </w:tcPr>
          <w:p>
            <w:pPr>
              <w:jc w:val="right"/>
              <w:ind w:right="531"/>
              <w:spacing w:after="0"/>
              <w:rPr>
                <w:sz w:val="20"/>
                <w:szCs w:val="20"/>
                <w:color w:val="auto"/>
              </w:rPr>
            </w:pPr>
            <w:r>
              <w:rPr>
                <w:rFonts w:ascii="Arial" w:cs="Arial" w:eastAsia="Arial" w:hAnsi="Arial"/>
                <w:sz w:val="14"/>
                <w:szCs w:val="14"/>
                <w:b w:val="1"/>
                <w:bCs w:val="1"/>
                <w:color w:val="auto"/>
              </w:rPr>
              <w:t>September 30, 2022</w:t>
            </w:r>
          </w:p>
        </w:tc>
      </w:tr>
      <w:tr>
        <w:trPr>
          <w:trHeight w:val="200"/>
        </w:trPr>
        <w:tc>
          <w:tcPr>
            <w:tcW w:w="388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gridSpan w:val="2"/>
          </w:tcPr>
          <w:p>
            <w:pPr>
              <w:ind w:left="80"/>
              <w:spacing w:after="0"/>
              <w:rPr>
                <w:sz w:val="20"/>
                <w:szCs w:val="20"/>
                <w:color w:val="auto"/>
              </w:rPr>
            </w:pPr>
            <w:r>
              <w:rPr>
                <w:rFonts w:ascii="Arial" w:cs="Arial" w:eastAsia="Arial" w:hAnsi="Arial"/>
                <w:sz w:val="15"/>
                <w:szCs w:val="15"/>
                <w:b w:val="1"/>
                <w:bCs w:val="1"/>
                <w:color w:val="auto"/>
              </w:rPr>
              <w:t>Crude Oil</w:t>
            </w:r>
          </w:p>
        </w:tc>
        <w:tc>
          <w:tcPr>
            <w:tcW w:w="2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ind w:right="331"/>
              <w:spacing w:after="0"/>
              <w:rPr>
                <w:sz w:val="20"/>
                <w:szCs w:val="20"/>
                <w:color w:val="auto"/>
              </w:rPr>
            </w:pPr>
            <w:r>
              <w:rPr>
                <w:rFonts w:ascii="Arial" w:cs="Arial" w:eastAsia="Arial" w:hAnsi="Arial"/>
                <w:sz w:val="15"/>
                <w:szCs w:val="15"/>
                <w:b w:val="1"/>
                <w:bCs w:val="1"/>
                <w:color w:val="auto"/>
              </w:rPr>
              <w:t>NGL</w:t>
            </w:r>
          </w:p>
        </w:tc>
        <w:tc>
          <w:tcPr>
            <w:tcW w:w="220" w:type="dxa"/>
            <w:vAlign w:val="bottom"/>
            <w:gridSpan w:val="2"/>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gridSpan w:val="2"/>
          </w:tcPr>
          <w:p>
            <w:pPr>
              <w:ind w:left="80"/>
              <w:spacing w:after="0"/>
              <w:rPr>
                <w:sz w:val="20"/>
                <w:szCs w:val="20"/>
                <w:color w:val="auto"/>
              </w:rPr>
            </w:pPr>
            <w:r>
              <w:rPr>
                <w:rFonts w:ascii="Arial" w:cs="Arial" w:eastAsia="Arial" w:hAnsi="Arial"/>
                <w:sz w:val="15"/>
                <w:szCs w:val="15"/>
                <w:b w:val="1"/>
                <w:bCs w:val="1"/>
                <w:color w:val="auto"/>
              </w:rPr>
              <w:t>Crude Oil</w:t>
            </w:r>
          </w:p>
        </w:tc>
        <w:tc>
          <w:tcPr>
            <w:tcW w:w="2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ind w:right="331"/>
              <w:spacing w:after="0"/>
              <w:rPr>
                <w:sz w:val="20"/>
                <w:szCs w:val="20"/>
                <w:color w:val="auto"/>
              </w:rPr>
            </w:pPr>
            <w:r>
              <w:rPr>
                <w:rFonts w:ascii="Arial" w:cs="Arial" w:eastAsia="Arial" w:hAnsi="Arial"/>
                <w:sz w:val="15"/>
                <w:szCs w:val="15"/>
                <w:b w:val="1"/>
                <w:bCs w:val="1"/>
                <w:color w:val="auto"/>
              </w:rPr>
              <w:t>NGL</w:t>
            </w:r>
          </w:p>
        </w:tc>
      </w:tr>
      <w:tr>
        <w:trPr>
          <w:trHeight w:val="225"/>
        </w:trPr>
        <w:tc>
          <w:tcPr>
            <w:tcW w:w="6140" w:type="dxa"/>
            <w:vAlign w:val="bottom"/>
            <w:tcBorders>
              <w:top w:val="single" w:sz="8" w:color="CCEEFF"/>
            </w:tcBorders>
            <w:gridSpan w:val="2"/>
            <w:shd w:val="clear" w:color="auto" w:fill="CCEEFF"/>
          </w:tcPr>
          <w:p>
            <w:pPr>
              <w:ind w:left="20"/>
              <w:spacing w:after="0" w:line="225" w:lineRule="exact"/>
              <w:rPr>
                <w:sz w:val="20"/>
                <w:szCs w:val="20"/>
                <w:color w:val="auto"/>
              </w:rPr>
            </w:pPr>
            <w:r>
              <w:rPr>
                <w:rFonts w:ascii="Arial" w:cs="Arial" w:eastAsia="Arial" w:hAnsi="Arial"/>
                <w:sz w:val="18"/>
                <w:szCs w:val="18"/>
                <w:color w:val="auto"/>
              </w:rPr>
              <w:t xml:space="preserve">Revenues </w:t>
            </w:r>
            <w:r>
              <w:rPr>
                <w:rFonts w:ascii="Arial" w:cs="Arial" w:eastAsia="Arial" w:hAnsi="Arial"/>
                <w:sz w:val="23"/>
                <w:szCs w:val="23"/>
                <w:color w:val="auto"/>
                <w:vertAlign w:val="superscript"/>
              </w:rPr>
              <w:t>(1)</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11,934</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120" w:type="dxa"/>
            <w:vAlign w:val="bottom"/>
            <w:tcBorders>
              <w:top w:val="single" w:sz="8" w:color="CCEEFF"/>
              <w:right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13,675</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770</w:t>
            </w:r>
          </w:p>
        </w:tc>
      </w:tr>
      <w:tr>
        <w:trPr>
          <w:trHeight w:val="230"/>
        </w:trPr>
        <w:tc>
          <w:tcPr>
            <w:tcW w:w="614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 xml:space="preserve">Purchases and related costs </w:t>
            </w:r>
            <w:r>
              <w:rPr>
                <w:rFonts w:ascii="Arial" w:cs="Arial" w:eastAsia="Arial" w:hAnsi="Arial"/>
                <w:sz w:val="23"/>
                <w:szCs w:val="23"/>
                <w:color w:val="auto"/>
                <w:vertAlign w:val="superscript"/>
              </w:rPr>
              <w:t>(1)</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(11,069)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(142)</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(12,938)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(242)</w:t>
            </w:r>
          </w:p>
        </w:tc>
      </w:tr>
      <w:tr>
        <w:trPr>
          <w:trHeight w:val="229"/>
        </w:trPr>
        <w:tc>
          <w:tcPr>
            <w:tcW w:w="614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Field operating costs </w:t>
            </w:r>
            <w:r>
              <w:rPr>
                <w:rFonts w:ascii="Arial" w:cs="Arial" w:eastAsia="Arial" w:hAnsi="Arial"/>
                <w:sz w:val="23"/>
                <w:szCs w:val="23"/>
                <w:color w:val="auto"/>
                <w:vertAlign w:val="superscript"/>
              </w:rPr>
              <w:t>(2)</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r>
      <w:tr>
        <w:trPr>
          <w:trHeight w:val="230"/>
        </w:trPr>
        <w:tc>
          <w:tcPr>
            <w:tcW w:w="614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 xml:space="preserve">Segment general and administrative expenses </w:t>
            </w:r>
            <w:r>
              <w:rPr>
                <w:rFonts w:ascii="Arial" w:cs="Arial" w:eastAsia="Arial" w:hAnsi="Arial"/>
                <w:sz w:val="23"/>
                <w:szCs w:val="23"/>
                <w:color w:val="auto"/>
                <w:vertAlign w:val="superscript"/>
              </w:rPr>
              <w:t>(2) (3)</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29"/>
        </w:trPr>
        <w:tc>
          <w:tcPr>
            <w:tcW w:w="6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Equity earnings in unconsolidated entities</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3880" w:type="dxa"/>
            <w:vAlign w:val="bottom"/>
          </w:tcPr>
          <w:p>
            <w:pPr>
              <w:spacing w:after="0"/>
              <w:rPr>
                <w:sz w:val="23"/>
                <w:szCs w:val="23"/>
                <w:color w:val="auto"/>
              </w:rPr>
            </w:pPr>
          </w:p>
        </w:tc>
        <w:tc>
          <w:tcPr>
            <w:tcW w:w="22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spacing w:after="0"/>
              <w:rPr>
                <w:sz w:val="23"/>
                <w:szCs w:val="23"/>
                <w:color w:val="auto"/>
              </w:rPr>
            </w:pPr>
          </w:p>
        </w:tc>
      </w:tr>
      <w:tr>
        <w:trPr>
          <w:trHeight w:val="229"/>
        </w:trPr>
        <w:tc>
          <w:tcPr>
            <w:tcW w:w="614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Adjustments: </w:t>
            </w:r>
            <w:r>
              <w:rPr>
                <w:rFonts w:ascii="Arial" w:cs="Arial" w:eastAsia="Arial" w:hAnsi="Arial"/>
                <w:sz w:val="23"/>
                <w:szCs w:val="23"/>
                <w:color w:val="auto"/>
                <w:vertAlign w:val="superscript"/>
              </w:rPr>
              <w:t>(4)</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30"/>
        </w:trPr>
        <w:tc>
          <w:tcPr>
            <w:tcW w:w="6140" w:type="dxa"/>
            <w:vAlign w:val="bottom"/>
            <w:gridSpan w:val="2"/>
          </w:tcPr>
          <w:p>
            <w:pPr>
              <w:ind w:left="180"/>
              <w:spacing w:after="0"/>
              <w:rPr>
                <w:sz w:val="20"/>
                <w:szCs w:val="20"/>
                <w:color w:val="auto"/>
              </w:rPr>
            </w:pPr>
            <w:r>
              <w:rPr>
                <w:rFonts w:ascii="Arial" w:cs="Arial" w:eastAsia="Arial" w:hAnsi="Arial"/>
                <w:sz w:val="18"/>
                <w:szCs w:val="18"/>
                <w:color w:val="auto"/>
              </w:rPr>
              <w:t>Depreciation and amortization of unconsolidated entities</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1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Derivative activities and inventory valuation adjustments</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w:t>
            </w:r>
          </w:p>
        </w:tc>
      </w:tr>
      <w:tr>
        <w:trPr>
          <w:trHeight w:val="229"/>
        </w:trPr>
        <w:tc>
          <w:tcPr>
            <w:tcW w:w="6140" w:type="dxa"/>
            <w:vAlign w:val="bottom"/>
            <w:gridSpan w:val="2"/>
          </w:tcPr>
          <w:p>
            <w:pPr>
              <w:ind w:left="180"/>
              <w:spacing w:after="0"/>
              <w:rPr>
                <w:sz w:val="20"/>
                <w:szCs w:val="20"/>
                <w:color w:val="auto"/>
              </w:rPr>
            </w:pPr>
            <w:r>
              <w:rPr>
                <w:rFonts w:ascii="Arial" w:cs="Arial" w:eastAsia="Arial" w:hAnsi="Arial"/>
                <w:sz w:val="18"/>
                <w:szCs w:val="18"/>
                <w:color w:val="auto"/>
              </w:rPr>
              <w:t>Long-term inventory costing adjustments</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30"/>
        </w:trPr>
        <w:tc>
          <w:tcPr>
            <w:tcW w:w="61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Deficiencies under minimum volume commitments, net</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140" w:type="dxa"/>
            <w:vAlign w:val="bottom"/>
            <w:gridSpan w:val="2"/>
          </w:tcPr>
          <w:p>
            <w:pPr>
              <w:ind w:left="180"/>
              <w:spacing w:after="0"/>
              <w:rPr>
                <w:sz w:val="20"/>
                <w:szCs w:val="20"/>
                <w:color w:val="auto"/>
              </w:rPr>
            </w:pPr>
            <w:r>
              <w:rPr>
                <w:rFonts w:ascii="Arial" w:cs="Arial" w:eastAsia="Arial" w:hAnsi="Arial"/>
                <w:sz w:val="18"/>
                <w:szCs w:val="18"/>
                <w:color w:val="auto"/>
              </w:rPr>
              <w:t>Equity-indexed compensation expense</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1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Foreign currency revaluation</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140" w:type="dxa"/>
            <w:vAlign w:val="bottom"/>
            <w:gridSpan w:val="2"/>
          </w:tcPr>
          <w:p>
            <w:pPr>
              <w:ind w:left="180"/>
              <w:spacing w:after="0"/>
              <w:rPr>
                <w:sz w:val="20"/>
                <w:szCs w:val="20"/>
                <w:color w:val="auto"/>
              </w:rPr>
            </w:pPr>
            <w:r>
              <w:rPr>
                <w:rFonts w:ascii="Arial" w:cs="Arial" w:eastAsia="Arial" w:hAnsi="Arial"/>
                <w:sz w:val="18"/>
                <w:szCs w:val="18"/>
                <w:color w:val="auto"/>
              </w:rPr>
              <w:t>Transaction-related expenses</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140" w:type="dxa"/>
            <w:vAlign w:val="bottom"/>
            <w:gridSpan w:val="2"/>
            <w:shd w:val="clear" w:color="auto" w:fill="CCEEFF"/>
          </w:tcPr>
          <w:p>
            <w:pPr>
              <w:ind w:left="180"/>
              <w:spacing w:after="0" w:line="230" w:lineRule="exact"/>
              <w:rPr>
                <w:sz w:val="20"/>
                <w:szCs w:val="20"/>
                <w:color w:val="auto"/>
              </w:rPr>
            </w:pPr>
            <w:r>
              <w:rPr>
                <w:rFonts w:ascii="Arial" w:cs="Arial" w:eastAsia="Arial" w:hAnsi="Arial"/>
                <w:sz w:val="18"/>
                <w:szCs w:val="18"/>
                <w:color w:val="auto"/>
              </w:rPr>
              <w:t xml:space="preserve">Adjusted EBITDA attributable to noncontrolling interests </w:t>
            </w:r>
            <w:r>
              <w:rPr>
                <w:rFonts w:ascii="Arial" w:cs="Arial" w:eastAsia="Arial" w:hAnsi="Arial"/>
                <w:sz w:val="23"/>
                <w:szCs w:val="23"/>
                <w:color w:val="auto"/>
                <w:vertAlign w:val="superscript"/>
              </w:rPr>
              <w:t>(5)</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6140" w:type="dxa"/>
            <w:vAlign w:val="bottom"/>
            <w:gridSpan w:val="2"/>
          </w:tcPr>
          <w:p>
            <w:pPr>
              <w:ind w:left="20"/>
              <w:spacing w:after="0"/>
              <w:rPr>
                <w:sz w:val="20"/>
                <w:szCs w:val="20"/>
                <w:color w:val="auto"/>
              </w:rPr>
            </w:pPr>
            <w:r>
              <w:rPr>
                <w:rFonts w:ascii="Arial" w:cs="Arial" w:eastAsia="Arial" w:hAnsi="Arial"/>
                <w:sz w:val="18"/>
                <w:szCs w:val="18"/>
                <w:color w:val="auto"/>
              </w:rPr>
              <w:t>Segment Adjusted EBITDA</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553</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536</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w:t>
            </w:r>
          </w:p>
        </w:tc>
      </w:tr>
      <w:tr>
        <w:trPr>
          <w:trHeight w:val="20"/>
        </w:trPr>
        <w:tc>
          <w:tcPr>
            <w:tcW w:w="3880" w:type="dxa"/>
            <w:vAlign w:val="bottom"/>
            <w:tcBorders>
              <w:bottom w:val="single" w:sz="8" w:color="CCEEFF"/>
            </w:tcBorders>
          </w:tcPr>
          <w:p>
            <w:pPr>
              <w:spacing w:after="0" w:line="20" w:lineRule="exact"/>
              <w:rPr>
                <w:sz w:val="1"/>
                <w:szCs w:val="1"/>
                <w:color w:val="auto"/>
              </w:rPr>
            </w:pPr>
          </w:p>
        </w:tc>
        <w:tc>
          <w:tcPr>
            <w:tcW w:w="22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right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37"/>
        </w:trPr>
        <w:tc>
          <w:tcPr>
            <w:tcW w:w="3880" w:type="dxa"/>
            <w:vAlign w:val="bottom"/>
            <w:shd w:val="clear" w:color="auto" w:fill="CCEEFF"/>
          </w:tcPr>
          <w:p>
            <w:pPr>
              <w:spacing w:after="0"/>
              <w:rPr>
                <w:sz w:val="20"/>
                <w:szCs w:val="20"/>
                <w:color w:val="auto"/>
              </w:rPr>
            </w:pPr>
          </w:p>
        </w:tc>
        <w:tc>
          <w:tcPr>
            <w:tcW w:w="22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20" w:type="dxa"/>
            <w:vAlign w:val="bottom"/>
            <w:tcBorders>
              <w:right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r>
      <w:tr>
        <w:trPr>
          <w:trHeight w:val="269"/>
        </w:trPr>
        <w:tc>
          <w:tcPr>
            <w:tcW w:w="6140" w:type="dxa"/>
            <w:vAlign w:val="bottom"/>
            <w:gridSpan w:val="2"/>
          </w:tcPr>
          <w:p>
            <w:pPr>
              <w:ind w:left="20"/>
              <w:spacing w:after="0"/>
              <w:rPr>
                <w:sz w:val="20"/>
                <w:szCs w:val="20"/>
                <w:color w:val="auto"/>
              </w:rPr>
            </w:pPr>
            <w:r>
              <w:rPr>
                <w:rFonts w:ascii="Arial" w:cs="Arial" w:eastAsia="Arial" w:hAnsi="Arial"/>
                <w:sz w:val="18"/>
                <w:szCs w:val="18"/>
                <w:color w:val="auto"/>
              </w:rPr>
              <w:t>Maintenance capital expenditures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3"/>
                <w:szCs w:val="23"/>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2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3"/>
                <w:szCs w:val="23"/>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r>
      <w:tr>
        <w:trPr>
          <w:trHeight w:val="156"/>
        </w:trPr>
        <w:tc>
          <w:tcPr>
            <w:tcW w:w="3880" w:type="dxa"/>
            <w:vAlign w:val="bottom"/>
            <w:tcBorders>
              <w:bottom w:val="single" w:sz="8" w:color="auto"/>
            </w:tcBorders>
          </w:tcPr>
          <w:p>
            <w:pPr>
              <w:spacing w:after="0"/>
              <w:rPr>
                <w:sz w:val="13"/>
                <w:szCs w:val="13"/>
                <w:color w:val="auto"/>
              </w:rPr>
            </w:pPr>
          </w:p>
        </w:tc>
        <w:tc>
          <w:tcPr>
            <w:tcW w:w="2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r>
    </w:tbl>
    <w:p>
      <w:pPr>
        <w:spacing w:after="0" w:line="129" w:lineRule="exact"/>
        <w:rPr>
          <w:sz w:val="20"/>
          <w:szCs w:val="20"/>
          <w:color w:val="auto"/>
        </w:rPr>
      </w:pPr>
    </w:p>
    <w:p>
      <w:pPr>
        <w:sectPr>
          <w:pgSz w:w="11900" w:h="16838" w:orient="portrait"/>
          <w:cols w:equalWidth="0" w:num="1">
            <w:col w:w="11240"/>
          </w:cols>
          <w:pgMar w:left="320" w:top="368" w:right="339" w:bottom="1440" w:gutter="0" w:footer="0" w:header="0"/>
        </w:sectPr>
      </w:pPr>
    </w:p>
    <w:p>
      <w:pPr>
        <w:spacing w:after="0"/>
        <w:rPr>
          <w:sz w:val="20"/>
          <w:szCs w:val="20"/>
          <w:color w:val="auto"/>
        </w:rPr>
      </w:pPr>
      <w:r>
        <w:rPr>
          <w:rFonts w:ascii="Arial" w:cs="Arial" w:eastAsia="Arial" w:hAnsi="Arial"/>
          <w:sz w:val="11"/>
          <w:szCs w:val="11"/>
          <w:color w:val="auto"/>
        </w:rPr>
        <w:t>(1)</w:t>
      </w:r>
    </w:p>
    <w:p>
      <w:pPr>
        <w:spacing w:after="0" w:line="144"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Includes intersegment amounts.</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Field operating costs and Segment general and administrative expenses include equity-indexed compensation expense.</w:t>
      </w:r>
    </w:p>
    <w:p>
      <w:pPr>
        <w:spacing w:after="0" w:line="86" w:lineRule="exact"/>
        <w:rPr>
          <w:sz w:val="20"/>
          <w:szCs w:val="20"/>
          <w:color w:val="auto"/>
        </w:rPr>
      </w:pPr>
    </w:p>
    <w:p>
      <w:pPr>
        <w:sectPr>
          <w:pgSz w:w="11900" w:h="16838" w:orient="portrait"/>
          <w:cols w:equalWidth="0" w:num="2">
            <w:col w:w="140" w:space="180"/>
            <w:col w:w="10920"/>
          </w:cols>
          <w:pgMar w:left="320" w:top="368" w:right="339" w:bottom="1440" w:gutter="0" w:footer="0" w:header="0"/>
          <w:type w:val="continuous"/>
        </w:sectPr>
      </w:pPr>
    </w:p>
    <w:p>
      <w:pPr>
        <w:ind w:left="340" w:right="100" w:hanging="332"/>
        <w:spacing w:after="0" w:line="267" w:lineRule="auto"/>
        <w:tabs>
          <w:tab w:leader="none" w:pos="328" w:val="left"/>
        </w:tabs>
        <w:numPr>
          <w:ilvl w:val="0"/>
          <w:numId w:val="16"/>
        </w:numPr>
        <w:rPr>
          <w:rFonts w:ascii="Arial" w:cs="Arial" w:eastAsia="Arial" w:hAnsi="Arial"/>
          <w:sz w:val="21"/>
          <w:szCs w:val="21"/>
          <w:color w:val="auto"/>
          <w:vertAlign w:val="superscript"/>
        </w:rPr>
      </w:pPr>
      <w:r>
        <w:rPr>
          <w:rFonts w:ascii="Arial" w:cs="Arial" w:eastAsia="Arial" w:hAnsi="Arial"/>
          <w:sz w:val="16"/>
          <w:szCs w:val="16"/>
          <w:color w:val="auto"/>
        </w:rPr>
        <w:t>Segment general and administrative expenses reflect direct costs attributable to each segment and an allocation of other expenses to the segments. The proportional allocations by segment require judgment by management and are based on the business activities that exist during each period.</w:t>
      </w:r>
    </w:p>
    <w:p>
      <w:pPr>
        <w:spacing w:after="0" w:line="12" w:lineRule="exact"/>
        <w:rPr>
          <w:rFonts w:ascii="Arial" w:cs="Arial" w:eastAsia="Arial" w:hAnsi="Arial"/>
          <w:sz w:val="21"/>
          <w:szCs w:val="21"/>
          <w:color w:val="auto"/>
          <w:vertAlign w:val="superscript"/>
        </w:rPr>
      </w:pPr>
    </w:p>
    <w:p>
      <w:pPr>
        <w:ind w:left="340" w:right="140" w:hanging="332"/>
        <w:spacing w:after="0" w:line="234" w:lineRule="auto"/>
        <w:tabs>
          <w:tab w:leader="none" w:pos="328" w:val="left"/>
        </w:tabs>
        <w:numPr>
          <w:ilvl w:val="0"/>
          <w:numId w:val="16"/>
        </w:numPr>
        <w:rPr>
          <w:rFonts w:ascii="Arial" w:cs="Arial" w:eastAsia="Arial" w:hAnsi="Arial"/>
          <w:sz w:val="23"/>
          <w:szCs w:val="23"/>
          <w:color w:val="auto"/>
          <w:vertAlign w:val="superscript"/>
        </w:rPr>
      </w:pPr>
      <w:r>
        <w:rPr>
          <w:rFonts w:ascii="Arial" w:cs="Arial" w:eastAsia="Arial" w:hAnsi="Arial"/>
          <w:sz w:val="18"/>
          <w:szCs w:val="18"/>
          <w:color w:val="auto"/>
        </w:rPr>
        <w:t>Represents adjustments utilized by our CODM in the evaluation of segment results. Many of these adjustments are also considered selected items impacting comparability when calculating consolidated non-GAAP financial measures such as Adjusted EBITDA. See the “Selected Items Impacting Comparability” table for additional discussion.</w:t>
      </w:r>
    </w:p>
    <w:p>
      <w:pPr>
        <w:spacing w:after="0" w:line="40" w:lineRule="exact"/>
        <w:rPr>
          <w:rFonts w:ascii="Arial" w:cs="Arial" w:eastAsia="Arial" w:hAnsi="Arial"/>
          <w:sz w:val="23"/>
          <w:szCs w:val="23"/>
          <w:color w:val="auto"/>
          <w:vertAlign w:val="superscript"/>
        </w:rPr>
      </w:pPr>
    </w:p>
    <w:p>
      <w:pPr>
        <w:ind w:left="340" w:right="620" w:hanging="332"/>
        <w:spacing w:after="0" w:line="227" w:lineRule="auto"/>
        <w:tabs>
          <w:tab w:leader="none" w:pos="328" w:val="left"/>
        </w:tabs>
        <w:numPr>
          <w:ilvl w:val="0"/>
          <w:numId w:val="16"/>
        </w:numPr>
        <w:rPr>
          <w:rFonts w:ascii="Arial" w:cs="Arial" w:eastAsia="Arial" w:hAnsi="Arial"/>
          <w:sz w:val="23"/>
          <w:szCs w:val="23"/>
          <w:color w:val="auto"/>
          <w:vertAlign w:val="superscript"/>
        </w:rPr>
      </w:pPr>
      <w:r>
        <w:rPr>
          <w:rFonts w:ascii="Arial" w:cs="Arial" w:eastAsia="Arial" w:hAnsi="Arial"/>
          <w:sz w:val="18"/>
          <w:szCs w:val="18"/>
          <w:color w:val="auto"/>
        </w:rPr>
        <w:t>Reflects amounts attributable to noncontrolling interests in the Permian JV, Cactus II Pipeline LLC (beginning November 2022) and Red River Pipeline LLC.</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100330</wp:posOffset>
            </wp:positionV>
            <wp:extent cx="711517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55" w:lineRule="exact"/>
        <w:rPr>
          <w:sz w:val="20"/>
          <w:szCs w:val="20"/>
          <w:color w:val="auto"/>
        </w:rPr>
      </w:pPr>
    </w:p>
    <w:p>
      <w:pPr>
        <w:ind w:left="1660"/>
        <w:spacing w:after="0"/>
        <w:tabs>
          <w:tab w:leader="none" w:pos="4760" w:val="left"/>
          <w:tab w:leader="none" w:pos="74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240"/>
          </w:cols>
          <w:pgMar w:left="320" w:top="368" w:right="339" w:bottom="1440" w:gutter="0" w:footer="0" w:header="0"/>
          <w:type w:val="continuous"/>
        </w:sectPr>
      </w:pPr>
    </w:p>
    <w:bookmarkStart w:id="16" w:name="page17"/>
    <w:bookmarkEnd w:id="16"/>
    <w:p>
      <w:pPr>
        <w:spacing w:after="0"/>
        <w:rPr>
          <w:sz w:val="20"/>
          <w:szCs w:val="20"/>
          <w:color w:val="auto"/>
        </w:rPr>
      </w:pPr>
      <w:r>
        <w:rPr>
          <w:rFonts w:ascii="Arial" w:cs="Arial" w:eastAsia="Arial" w:hAnsi="Arial"/>
          <w:sz w:val="18"/>
          <w:szCs w:val="18"/>
          <w:u w:val="single" w:color="auto"/>
          <w:color w:val="auto"/>
        </w:rPr>
        <w:t>Page 14</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1517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SELECTED FINANCIAL DATA BY SEGMENT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80" w:type="dxa"/>
            <w:vAlign w:val="bottom"/>
            <w:gridSpan w:val="6"/>
          </w:tcPr>
          <w:p>
            <w:pPr>
              <w:ind w:left="420"/>
              <w:spacing w:after="0"/>
              <w:rPr>
                <w:sz w:val="20"/>
                <w:szCs w:val="20"/>
                <w:color w:val="auto"/>
              </w:rPr>
            </w:pPr>
            <w:r>
              <w:rPr>
                <w:rFonts w:ascii="Arial" w:cs="Arial" w:eastAsia="Arial" w:hAnsi="Arial"/>
                <w:sz w:val="14"/>
                <w:szCs w:val="14"/>
                <w:b w:val="1"/>
                <w:bCs w:val="1"/>
                <w:color w:val="auto"/>
              </w:rPr>
              <w:t>Nine Months Ended</w:t>
            </w:r>
          </w:p>
        </w:tc>
        <w:tc>
          <w:tcPr>
            <w:tcW w:w="180" w:type="dxa"/>
            <w:vAlign w:val="bottom"/>
          </w:tcPr>
          <w:p>
            <w:pPr>
              <w:spacing w:after="0"/>
              <w:rPr>
                <w:sz w:val="14"/>
                <w:szCs w:val="14"/>
                <w:color w:val="auto"/>
              </w:rPr>
            </w:pPr>
          </w:p>
        </w:tc>
        <w:tc>
          <w:tcPr>
            <w:tcW w:w="2280" w:type="dxa"/>
            <w:vAlign w:val="bottom"/>
            <w:gridSpan w:val="4"/>
          </w:tcPr>
          <w:p>
            <w:pPr>
              <w:jc w:val="right"/>
              <w:ind w:right="531"/>
              <w:spacing w:after="0"/>
              <w:rPr>
                <w:sz w:val="20"/>
                <w:szCs w:val="20"/>
                <w:color w:val="auto"/>
              </w:rPr>
            </w:pPr>
            <w:r>
              <w:rPr>
                <w:rFonts w:ascii="Arial" w:cs="Arial" w:eastAsia="Arial" w:hAnsi="Arial"/>
                <w:sz w:val="14"/>
                <w:szCs w:val="14"/>
                <w:b w:val="1"/>
                <w:bCs w:val="1"/>
                <w:color w:val="auto"/>
              </w:rPr>
              <w:t>Nine Months Ended</w:t>
            </w:r>
          </w:p>
        </w:tc>
      </w:tr>
      <w:tr>
        <w:trPr>
          <w:trHeight w:val="196"/>
        </w:trPr>
        <w:tc>
          <w:tcPr>
            <w:tcW w:w="388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80" w:type="dxa"/>
            <w:vAlign w:val="bottom"/>
            <w:gridSpan w:val="6"/>
          </w:tcPr>
          <w:p>
            <w:pPr>
              <w:ind w:left="440"/>
              <w:spacing w:after="0"/>
              <w:rPr>
                <w:sz w:val="20"/>
                <w:szCs w:val="20"/>
                <w:color w:val="auto"/>
              </w:rPr>
            </w:pPr>
            <w:r>
              <w:rPr>
                <w:rFonts w:ascii="Arial" w:cs="Arial" w:eastAsia="Arial" w:hAnsi="Arial"/>
                <w:sz w:val="14"/>
                <w:szCs w:val="14"/>
                <w:b w:val="1"/>
                <w:bCs w:val="1"/>
                <w:color w:val="auto"/>
              </w:rPr>
              <w:t>September 30, 2023</w:t>
            </w:r>
          </w:p>
        </w:tc>
        <w:tc>
          <w:tcPr>
            <w:tcW w:w="180" w:type="dxa"/>
            <w:vAlign w:val="bottom"/>
          </w:tcPr>
          <w:p>
            <w:pPr>
              <w:spacing w:after="0"/>
              <w:rPr>
                <w:sz w:val="17"/>
                <w:szCs w:val="17"/>
                <w:color w:val="auto"/>
              </w:rPr>
            </w:pPr>
          </w:p>
        </w:tc>
        <w:tc>
          <w:tcPr>
            <w:tcW w:w="2280" w:type="dxa"/>
            <w:vAlign w:val="bottom"/>
            <w:gridSpan w:val="4"/>
          </w:tcPr>
          <w:p>
            <w:pPr>
              <w:jc w:val="right"/>
              <w:ind w:right="531"/>
              <w:spacing w:after="0"/>
              <w:rPr>
                <w:sz w:val="20"/>
                <w:szCs w:val="20"/>
                <w:color w:val="auto"/>
              </w:rPr>
            </w:pPr>
            <w:r>
              <w:rPr>
                <w:rFonts w:ascii="Arial" w:cs="Arial" w:eastAsia="Arial" w:hAnsi="Arial"/>
                <w:sz w:val="14"/>
                <w:szCs w:val="14"/>
                <w:b w:val="1"/>
                <w:bCs w:val="1"/>
                <w:color w:val="auto"/>
              </w:rPr>
              <w:t>September 30, 2022</w:t>
            </w:r>
          </w:p>
        </w:tc>
      </w:tr>
      <w:tr>
        <w:trPr>
          <w:trHeight w:val="200"/>
        </w:trPr>
        <w:tc>
          <w:tcPr>
            <w:tcW w:w="388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gridSpan w:val="2"/>
          </w:tcPr>
          <w:p>
            <w:pPr>
              <w:ind w:left="80"/>
              <w:spacing w:after="0"/>
              <w:rPr>
                <w:sz w:val="20"/>
                <w:szCs w:val="20"/>
                <w:color w:val="auto"/>
              </w:rPr>
            </w:pPr>
            <w:r>
              <w:rPr>
                <w:rFonts w:ascii="Arial" w:cs="Arial" w:eastAsia="Arial" w:hAnsi="Arial"/>
                <w:sz w:val="15"/>
                <w:szCs w:val="15"/>
                <w:b w:val="1"/>
                <w:bCs w:val="1"/>
                <w:color w:val="auto"/>
              </w:rPr>
              <w:t>Crude Oil</w:t>
            </w:r>
          </w:p>
        </w:tc>
        <w:tc>
          <w:tcPr>
            <w:tcW w:w="2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ind w:right="311"/>
              <w:spacing w:after="0"/>
              <w:rPr>
                <w:sz w:val="20"/>
                <w:szCs w:val="20"/>
                <w:color w:val="auto"/>
              </w:rPr>
            </w:pPr>
            <w:r>
              <w:rPr>
                <w:rFonts w:ascii="Arial" w:cs="Arial" w:eastAsia="Arial" w:hAnsi="Arial"/>
                <w:sz w:val="15"/>
                <w:szCs w:val="15"/>
                <w:b w:val="1"/>
                <w:bCs w:val="1"/>
                <w:color w:val="auto"/>
              </w:rPr>
              <w:t>NGL</w:t>
            </w:r>
          </w:p>
        </w:tc>
        <w:tc>
          <w:tcPr>
            <w:tcW w:w="220" w:type="dxa"/>
            <w:vAlign w:val="bottom"/>
            <w:gridSpan w:val="2"/>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gridSpan w:val="2"/>
          </w:tcPr>
          <w:p>
            <w:pPr>
              <w:ind w:left="80"/>
              <w:spacing w:after="0"/>
              <w:rPr>
                <w:sz w:val="20"/>
                <w:szCs w:val="20"/>
                <w:color w:val="auto"/>
              </w:rPr>
            </w:pPr>
            <w:r>
              <w:rPr>
                <w:rFonts w:ascii="Arial" w:cs="Arial" w:eastAsia="Arial" w:hAnsi="Arial"/>
                <w:sz w:val="15"/>
                <w:szCs w:val="15"/>
                <w:b w:val="1"/>
                <w:bCs w:val="1"/>
                <w:color w:val="auto"/>
              </w:rPr>
              <w:t>Crude Oil</w:t>
            </w:r>
          </w:p>
        </w:tc>
        <w:tc>
          <w:tcPr>
            <w:tcW w:w="28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ind w:right="331"/>
              <w:spacing w:after="0"/>
              <w:rPr>
                <w:sz w:val="20"/>
                <w:szCs w:val="20"/>
                <w:color w:val="auto"/>
              </w:rPr>
            </w:pPr>
            <w:r>
              <w:rPr>
                <w:rFonts w:ascii="Arial" w:cs="Arial" w:eastAsia="Arial" w:hAnsi="Arial"/>
                <w:sz w:val="15"/>
                <w:szCs w:val="15"/>
                <w:b w:val="1"/>
                <w:bCs w:val="1"/>
                <w:color w:val="auto"/>
              </w:rPr>
              <w:t>NGL</w:t>
            </w:r>
          </w:p>
        </w:tc>
      </w:tr>
      <w:tr>
        <w:trPr>
          <w:trHeight w:val="225"/>
        </w:trPr>
        <w:tc>
          <w:tcPr>
            <w:tcW w:w="6120" w:type="dxa"/>
            <w:vAlign w:val="bottom"/>
            <w:tcBorders>
              <w:top w:val="single" w:sz="8" w:color="CCEEFF"/>
            </w:tcBorders>
            <w:gridSpan w:val="2"/>
            <w:shd w:val="clear" w:color="auto" w:fill="CCEEFF"/>
          </w:tcPr>
          <w:p>
            <w:pPr>
              <w:ind w:left="20"/>
              <w:spacing w:after="0" w:line="225" w:lineRule="exact"/>
              <w:rPr>
                <w:sz w:val="20"/>
                <w:szCs w:val="20"/>
                <w:color w:val="auto"/>
              </w:rPr>
            </w:pPr>
            <w:r>
              <w:rPr>
                <w:rFonts w:ascii="Arial" w:cs="Arial" w:eastAsia="Arial" w:hAnsi="Arial"/>
                <w:sz w:val="18"/>
                <w:szCs w:val="18"/>
                <w:color w:val="auto"/>
              </w:rPr>
              <w:t xml:space="preserve">Revenues </w:t>
            </w:r>
            <w:r>
              <w:rPr>
                <w:rFonts w:ascii="Arial" w:cs="Arial" w:eastAsia="Arial" w:hAnsi="Arial"/>
                <w:sz w:val="23"/>
                <w:szCs w:val="23"/>
                <w:color w:val="auto"/>
                <w:vertAlign w:val="superscript"/>
              </w:rPr>
              <w:t>(1)</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34,988</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1,312</w:t>
            </w:r>
          </w:p>
        </w:tc>
        <w:tc>
          <w:tcPr>
            <w:tcW w:w="140" w:type="dxa"/>
            <w:vAlign w:val="bottom"/>
            <w:tcBorders>
              <w:top w:val="single" w:sz="8" w:color="CCEEFF"/>
              <w:right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42,694</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2,075</w:t>
            </w:r>
          </w:p>
        </w:tc>
      </w:tr>
      <w:tr>
        <w:trPr>
          <w:trHeight w:val="230"/>
        </w:trPr>
        <w:tc>
          <w:tcPr>
            <w:tcW w:w="612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 xml:space="preserve">Purchases and related costs </w:t>
            </w:r>
            <w:r>
              <w:rPr>
                <w:rFonts w:ascii="Arial" w:cs="Arial" w:eastAsia="Arial" w:hAnsi="Arial"/>
                <w:sz w:val="23"/>
                <w:szCs w:val="23"/>
                <w:color w:val="auto"/>
                <w:vertAlign w:val="superscript"/>
              </w:rPr>
              <w:t>(1)</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(32,499)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(759)</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(40,495)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(1,065)</w:t>
            </w:r>
          </w:p>
        </w:tc>
      </w:tr>
      <w:tr>
        <w:trPr>
          <w:trHeight w:val="229"/>
        </w:trPr>
        <w:tc>
          <w:tcPr>
            <w:tcW w:w="612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Field operating costs </w:t>
            </w:r>
            <w:r>
              <w:rPr>
                <w:rFonts w:ascii="Arial" w:cs="Arial" w:eastAsia="Arial" w:hAnsi="Arial"/>
                <w:sz w:val="23"/>
                <w:szCs w:val="23"/>
                <w:color w:val="auto"/>
                <w:vertAlign w:val="superscript"/>
              </w:rPr>
              <w:t>(2)</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w:t>
            </w:r>
          </w:p>
        </w:tc>
      </w:tr>
      <w:tr>
        <w:trPr>
          <w:trHeight w:val="230"/>
        </w:trPr>
        <w:tc>
          <w:tcPr>
            <w:tcW w:w="612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 xml:space="preserve">Segment general and administrative expenses </w:t>
            </w:r>
            <w:r>
              <w:rPr>
                <w:rFonts w:ascii="Arial" w:cs="Arial" w:eastAsia="Arial" w:hAnsi="Arial"/>
                <w:sz w:val="23"/>
                <w:szCs w:val="23"/>
                <w:color w:val="auto"/>
                <w:vertAlign w:val="superscript"/>
              </w:rPr>
              <w:t>(2) (3)</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(60)</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29"/>
        </w:trPr>
        <w:tc>
          <w:tcPr>
            <w:tcW w:w="6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Equity earnings in unconsolidated entities</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3880" w:type="dxa"/>
            <w:vAlign w:val="bottom"/>
          </w:tcPr>
          <w:p>
            <w:pPr>
              <w:spacing w:after="0"/>
              <w:rPr>
                <w:sz w:val="23"/>
                <w:szCs w:val="23"/>
                <w:color w:val="auto"/>
              </w:rPr>
            </w:pPr>
          </w:p>
        </w:tc>
        <w:tc>
          <w:tcPr>
            <w:tcW w:w="22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40" w:type="dxa"/>
            <w:vAlign w:val="bottom"/>
            <w:tcBorders>
              <w:right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00" w:type="dxa"/>
            <w:vAlign w:val="bottom"/>
          </w:tcPr>
          <w:p>
            <w:pPr>
              <w:spacing w:after="0"/>
              <w:rPr>
                <w:sz w:val="23"/>
                <w:szCs w:val="23"/>
                <w:color w:val="auto"/>
              </w:rPr>
            </w:pPr>
          </w:p>
        </w:tc>
      </w:tr>
      <w:tr>
        <w:trPr>
          <w:trHeight w:val="229"/>
        </w:trPr>
        <w:tc>
          <w:tcPr>
            <w:tcW w:w="612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Adjustments: </w:t>
            </w:r>
            <w:r>
              <w:rPr>
                <w:rFonts w:ascii="Arial" w:cs="Arial" w:eastAsia="Arial" w:hAnsi="Arial"/>
                <w:sz w:val="23"/>
                <w:szCs w:val="23"/>
                <w:color w:val="auto"/>
                <w:vertAlign w:val="superscript"/>
              </w:rPr>
              <w:t>(4)</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30"/>
        </w:trPr>
        <w:tc>
          <w:tcPr>
            <w:tcW w:w="6120" w:type="dxa"/>
            <w:vAlign w:val="bottom"/>
            <w:gridSpan w:val="2"/>
          </w:tcPr>
          <w:p>
            <w:pPr>
              <w:ind w:left="180"/>
              <w:spacing w:after="0"/>
              <w:rPr>
                <w:sz w:val="20"/>
                <w:szCs w:val="20"/>
                <w:color w:val="auto"/>
              </w:rPr>
            </w:pPr>
            <w:r>
              <w:rPr>
                <w:rFonts w:ascii="Arial" w:cs="Arial" w:eastAsia="Arial" w:hAnsi="Arial"/>
                <w:sz w:val="18"/>
                <w:szCs w:val="18"/>
                <w:color w:val="auto"/>
              </w:rPr>
              <w:t>Depreciation and amortization of unconsolidated entities</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1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Derivative activities and inventory valuation adjustments</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w:t>
            </w:r>
          </w:p>
        </w:tc>
      </w:tr>
      <w:tr>
        <w:trPr>
          <w:trHeight w:val="229"/>
        </w:trPr>
        <w:tc>
          <w:tcPr>
            <w:tcW w:w="6120" w:type="dxa"/>
            <w:vAlign w:val="bottom"/>
            <w:gridSpan w:val="2"/>
          </w:tcPr>
          <w:p>
            <w:pPr>
              <w:ind w:left="180"/>
              <w:spacing w:after="0"/>
              <w:rPr>
                <w:sz w:val="20"/>
                <w:szCs w:val="20"/>
                <w:color w:val="auto"/>
              </w:rPr>
            </w:pPr>
            <w:r>
              <w:rPr>
                <w:rFonts w:ascii="Arial" w:cs="Arial" w:eastAsia="Arial" w:hAnsi="Arial"/>
                <w:sz w:val="18"/>
                <w:szCs w:val="18"/>
                <w:color w:val="auto"/>
              </w:rPr>
              <w:t>Long-term inventory costing adjustments</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30"/>
        </w:trPr>
        <w:tc>
          <w:tcPr>
            <w:tcW w:w="61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Deficiencies under minimum volume commitments, net</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120" w:type="dxa"/>
            <w:vAlign w:val="bottom"/>
            <w:gridSpan w:val="2"/>
          </w:tcPr>
          <w:p>
            <w:pPr>
              <w:ind w:left="180"/>
              <w:spacing w:after="0"/>
              <w:rPr>
                <w:sz w:val="20"/>
                <w:szCs w:val="20"/>
                <w:color w:val="auto"/>
              </w:rPr>
            </w:pPr>
            <w:r>
              <w:rPr>
                <w:rFonts w:ascii="Arial" w:cs="Arial" w:eastAsia="Arial" w:hAnsi="Arial"/>
                <w:sz w:val="18"/>
                <w:szCs w:val="18"/>
                <w:color w:val="auto"/>
              </w:rPr>
              <w:t>Equity-indexed compensation expense</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1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Foreign currency revaluation</w:t>
            </w: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04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120" w:type="dxa"/>
            <w:vAlign w:val="bottom"/>
            <w:gridSpan w:val="2"/>
          </w:tcPr>
          <w:p>
            <w:pPr>
              <w:ind w:left="180"/>
              <w:spacing w:after="0"/>
              <w:rPr>
                <w:sz w:val="20"/>
                <w:szCs w:val="20"/>
                <w:color w:val="auto"/>
              </w:rPr>
            </w:pPr>
            <w:r>
              <w:rPr>
                <w:rFonts w:ascii="Arial" w:cs="Arial" w:eastAsia="Arial" w:hAnsi="Arial"/>
                <w:sz w:val="18"/>
                <w:szCs w:val="18"/>
                <w:color w:val="auto"/>
              </w:rPr>
              <w:t>Line 901 incident</w:t>
            </w:r>
          </w:p>
        </w:tc>
        <w:tc>
          <w:tcPr>
            <w:tcW w:w="18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4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1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Transaction-related expenses</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120" w:type="dxa"/>
            <w:vAlign w:val="bottom"/>
            <w:gridSpan w:val="2"/>
          </w:tcPr>
          <w:p>
            <w:pPr>
              <w:ind w:left="180"/>
              <w:spacing w:after="0" w:line="230" w:lineRule="exact"/>
              <w:rPr>
                <w:sz w:val="20"/>
                <w:szCs w:val="20"/>
                <w:color w:val="auto"/>
              </w:rPr>
            </w:pPr>
            <w:r>
              <w:rPr>
                <w:rFonts w:ascii="Arial" w:cs="Arial" w:eastAsia="Arial" w:hAnsi="Arial"/>
                <w:sz w:val="18"/>
                <w:szCs w:val="18"/>
                <w:color w:val="auto"/>
              </w:rPr>
              <w:t xml:space="preserve">Adjusted EBITDA attributable to noncontrolling interests </w:t>
            </w:r>
            <w:r>
              <w:rPr>
                <w:rFonts w:ascii="Arial" w:cs="Arial" w:eastAsia="Arial" w:hAnsi="Arial"/>
                <w:sz w:val="23"/>
                <w:szCs w:val="23"/>
                <w:color w:val="auto"/>
                <w:vertAlign w:val="superscript"/>
              </w:rPr>
              <w:t>(5)</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(317)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612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Segment Adjusted EBITDA</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w:t>
            </w:r>
          </w:p>
        </w:tc>
        <w:tc>
          <w:tcPr>
            <w:tcW w:w="140" w:type="dxa"/>
            <w:vAlign w:val="bottom"/>
            <w:tcBorders>
              <w:top w:val="single" w:sz="8" w:color="CCEEFF"/>
              <w:bottom w:val="single" w:sz="8" w:color="CCEEFF"/>
              <w:right w:val="single" w:sz="8" w:color="auto"/>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2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right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38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55"/>
        </w:trPr>
        <w:tc>
          <w:tcPr>
            <w:tcW w:w="6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Maintenance capital expenditures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2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r>
        <w:trPr>
          <w:trHeight w:val="136"/>
        </w:trPr>
        <w:tc>
          <w:tcPr>
            <w:tcW w:w="3880" w:type="dxa"/>
            <w:vAlign w:val="bottom"/>
            <w:tcBorders>
              <w:bottom w:val="single" w:sz="8" w:color="auto"/>
            </w:tcBorders>
          </w:tcPr>
          <w:p>
            <w:pPr>
              <w:spacing w:after="0"/>
              <w:rPr>
                <w:sz w:val="11"/>
                <w:szCs w:val="11"/>
                <w:color w:val="auto"/>
              </w:rPr>
            </w:pPr>
          </w:p>
        </w:tc>
        <w:tc>
          <w:tcPr>
            <w:tcW w:w="2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r>
    </w:tbl>
    <w:p>
      <w:pPr>
        <w:spacing w:after="0" w:line="129" w:lineRule="exact"/>
        <w:rPr>
          <w:sz w:val="20"/>
          <w:szCs w:val="20"/>
          <w:color w:val="auto"/>
        </w:rPr>
      </w:pPr>
    </w:p>
    <w:p>
      <w:pPr>
        <w:sectPr>
          <w:pgSz w:w="11900" w:h="16838" w:orient="portrait"/>
          <w:cols w:equalWidth="0" w:num="1">
            <w:col w:w="11240"/>
          </w:cols>
          <w:pgMar w:left="320" w:top="368" w:right="339" w:bottom="1440" w:gutter="0" w:footer="0" w:header="0"/>
        </w:sectPr>
      </w:pPr>
    </w:p>
    <w:p>
      <w:pPr>
        <w:spacing w:after="0"/>
        <w:rPr>
          <w:sz w:val="20"/>
          <w:szCs w:val="20"/>
          <w:color w:val="auto"/>
        </w:rPr>
      </w:pPr>
      <w:r>
        <w:rPr>
          <w:rFonts w:ascii="Arial" w:cs="Arial" w:eastAsia="Arial" w:hAnsi="Arial"/>
          <w:sz w:val="11"/>
          <w:szCs w:val="11"/>
          <w:color w:val="auto"/>
        </w:rPr>
        <w:t>(1)</w:t>
      </w:r>
    </w:p>
    <w:p>
      <w:pPr>
        <w:spacing w:after="0" w:line="144"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Includes intersegment amounts.</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Field operating costs and Segment general and administrative expenses include equity-indexed compensation expense.</w:t>
      </w:r>
    </w:p>
    <w:p>
      <w:pPr>
        <w:spacing w:after="0" w:line="86" w:lineRule="exact"/>
        <w:rPr>
          <w:sz w:val="20"/>
          <w:szCs w:val="20"/>
          <w:color w:val="auto"/>
        </w:rPr>
      </w:pPr>
    </w:p>
    <w:p>
      <w:pPr>
        <w:sectPr>
          <w:pgSz w:w="11900" w:h="16838" w:orient="portrait"/>
          <w:cols w:equalWidth="0" w:num="2">
            <w:col w:w="140" w:space="180"/>
            <w:col w:w="10920"/>
          </w:cols>
          <w:pgMar w:left="320" w:top="368" w:right="339" w:bottom="1440" w:gutter="0" w:footer="0" w:header="0"/>
          <w:type w:val="continuous"/>
        </w:sectPr>
      </w:pPr>
    </w:p>
    <w:p>
      <w:pPr>
        <w:ind w:left="340" w:right="100" w:hanging="332"/>
        <w:spacing w:after="0" w:line="267" w:lineRule="auto"/>
        <w:tabs>
          <w:tab w:leader="none" w:pos="328" w:val="left"/>
        </w:tabs>
        <w:numPr>
          <w:ilvl w:val="0"/>
          <w:numId w:val="17"/>
        </w:numPr>
        <w:rPr>
          <w:rFonts w:ascii="Arial" w:cs="Arial" w:eastAsia="Arial" w:hAnsi="Arial"/>
          <w:sz w:val="21"/>
          <w:szCs w:val="21"/>
          <w:color w:val="auto"/>
          <w:vertAlign w:val="superscript"/>
        </w:rPr>
      </w:pPr>
      <w:r>
        <w:rPr>
          <w:rFonts w:ascii="Arial" w:cs="Arial" w:eastAsia="Arial" w:hAnsi="Arial"/>
          <w:sz w:val="16"/>
          <w:szCs w:val="16"/>
          <w:color w:val="auto"/>
        </w:rPr>
        <w:t>Segment general and administrative expenses reflect direct costs attributable to each segment and an allocation of other expenses to the segments. The proportional allocations by segment require judgment by management and are based on the business activities that exist during each period.</w:t>
      </w:r>
    </w:p>
    <w:p>
      <w:pPr>
        <w:spacing w:after="0" w:line="12" w:lineRule="exact"/>
        <w:rPr>
          <w:rFonts w:ascii="Arial" w:cs="Arial" w:eastAsia="Arial" w:hAnsi="Arial"/>
          <w:sz w:val="21"/>
          <w:szCs w:val="21"/>
          <w:color w:val="auto"/>
          <w:vertAlign w:val="superscript"/>
        </w:rPr>
      </w:pPr>
    </w:p>
    <w:p>
      <w:pPr>
        <w:ind w:left="340" w:right="140" w:hanging="332"/>
        <w:spacing w:after="0" w:line="234" w:lineRule="auto"/>
        <w:tabs>
          <w:tab w:leader="none" w:pos="328" w:val="left"/>
        </w:tabs>
        <w:numPr>
          <w:ilvl w:val="0"/>
          <w:numId w:val="17"/>
        </w:numPr>
        <w:rPr>
          <w:rFonts w:ascii="Arial" w:cs="Arial" w:eastAsia="Arial" w:hAnsi="Arial"/>
          <w:sz w:val="23"/>
          <w:szCs w:val="23"/>
          <w:color w:val="auto"/>
          <w:vertAlign w:val="superscript"/>
        </w:rPr>
      </w:pPr>
      <w:r>
        <w:rPr>
          <w:rFonts w:ascii="Arial" w:cs="Arial" w:eastAsia="Arial" w:hAnsi="Arial"/>
          <w:sz w:val="18"/>
          <w:szCs w:val="18"/>
          <w:color w:val="auto"/>
        </w:rPr>
        <w:t>Represents adjustments utilized by our CODM in the evaluation of segment results. Many of these adjustments are also considered selected items impacting comparability when calculating consolidated non-GAAP financial measures such as Adjusted EBITDA. See the “Selected Items Impacting Comparability” table for additional discussion.</w:t>
      </w:r>
    </w:p>
    <w:p>
      <w:pPr>
        <w:spacing w:after="0" w:line="40" w:lineRule="exact"/>
        <w:rPr>
          <w:rFonts w:ascii="Arial" w:cs="Arial" w:eastAsia="Arial" w:hAnsi="Arial"/>
          <w:sz w:val="23"/>
          <w:szCs w:val="23"/>
          <w:color w:val="auto"/>
          <w:vertAlign w:val="superscript"/>
        </w:rPr>
      </w:pPr>
    </w:p>
    <w:p>
      <w:pPr>
        <w:ind w:left="340" w:right="620" w:hanging="332"/>
        <w:spacing w:after="0" w:line="227" w:lineRule="auto"/>
        <w:tabs>
          <w:tab w:leader="none" w:pos="328" w:val="left"/>
        </w:tabs>
        <w:numPr>
          <w:ilvl w:val="0"/>
          <w:numId w:val="17"/>
        </w:numPr>
        <w:rPr>
          <w:rFonts w:ascii="Arial" w:cs="Arial" w:eastAsia="Arial" w:hAnsi="Arial"/>
          <w:sz w:val="23"/>
          <w:szCs w:val="23"/>
          <w:color w:val="auto"/>
          <w:vertAlign w:val="superscript"/>
        </w:rPr>
      </w:pPr>
      <w:r>
        <w:rPr>
          <w:rFonts w:ascii="Arial" w:cs="Arial" w:eastAsia="Arial" w:hAnsi="Arial"/>
          <w:sz w:val="18"/>
          <w:szCs w:val="18"/>
          <w:color w:val="auto"/>
        </w:rPr>
        <w:t>Reflects amounts attributable to noncontrolling interests in the Permian JV, Cactus II Pipeline LLC (beginning November 2022) and Red River Pipeline LLC.</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100330</wp:posOffset>
            </wp:positionV>
            <wp:extent cx="711517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55" w:lineRule="exact"/>
        <w:rPr>
          <w:sz w:val="20"/>
          <w:szCs w:val="20"/>
          <w:color w:val="auto"/>
        </w:rPr>
      </w:pPr>
    </w:p>
    <w:p>
      <w:pPr>
        <w:ind w:left="1660"/>
        <w:spacing w:after="0"/>
        <w:tabs>
          <w:tab w:leader="none" w:pos="4760" w:val="left"/>
          <w:tab w:leader="none" w:pos="74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240"/>
          </w:cols>
          <w:pgMar w:left="320" w:top="368" w:right="339" w:bottom="1440" w:gutter="0" w:footer="0" w:header="0"/>
          <w:type w:val="continuous"/>
        </w:sectPr>
      </w:pPr>
    </w:p>
    <w:bookmarkStart w:id="17" w:name="page18"/>
    <w:bookmarkEnd w:id="17"/>
    <w:p>
      <w:pPr>
        <w:spacing w:after="0"/>
        <w:rPr>
          <w:sz w:val="20"/>
          <w:szCs w:val="20"/>
          <w:color w:val="auto"/>
        </w:rPr>
      </w:pPr>
      <w:r>
        <w:rPr>
          <w:rFonts w:ascii="Arial" w:cs="Arial" w:eastAsia="Arial" w:hAnsi="Arial"/>
          <w:sz w:val="18"/>
          <w:szCs w:val="18"/>
          <w:u w:val="single" w:color="auto"/>
          <w:color w:val="auto"/>
        </w:rPr>
        <w:t>Page 15</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1517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OPERATING DATA BY SEGMENT</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256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93"/>
              </w:rPr>
              <w:t>Three Months Ended</w:t>
            </w:r>
          </w:p>
        </w:tc>
        <w:tc>
          <w:tcPr>
            <w:tcW w:w="246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Nine Months Ended</w:t>
            </w:r>
          </w:p>
        </w:tc>
      </w:tr>
      <w:tr>
        <w:trPr>
          <w:trHeight w:val="196"/>
        </w:trPr>
        <w:tc>
          <w:tcPr>
            <w:tcW w:w="388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1700" w:type="dxa"/>
            <w:vAlign w:val="bottom"/>
            <w:tcBorders>
              <w:bottom w:val="single" w:sz="8" w:color="auto"/>
            </w:tcBorders>
            <w:gridSpan w:val="3"/>
          </w:tcPr>
          <w:p>
            <w:pPr>
              <w:jc w:val="center"/>
              <w:ind w:left="653"/>
              <w:spacing w:after="0"/>
              <w:rPr>
                <w:sz w:val="20"/>
                <w:szCs w:val="20"/>
                <w:color w:val="auto"/>
              </w:rPr>
            </w:pPr>
            <w:r>
              <w:rPr>
                <w:rFonts w:ascii="Arial" w:cs="Arial" w:eastAsia="Arial" w:hAnsi="Arial"/>
                <w:sz w:val="14"/>
                <w:szCs w:val="14"/>
                <w:b w:val="1"/>
                <w:bCs w:val="1"/>
                <w:color w:val="auto"/>
                <w:w w:val="91"/>
              </w:rPr>
              <w:t>September 30,</w:t>
            </w:r>
          </w:p>
        </w:tc>
        <w:tc>
          <w:tcPr>
            <w:tcW w:w="7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tcBorders>
              <w:bottom w:val="single" w:sz="8" w:color="auto"/>
            </w:tcBorders>
            <w:gridSpan w:val="3"/>
          </w:tcPr>
          <w:p>
            <w:pPr>
              <w:jc w:val="center"/>
              <w:ind w:left="693"/>
              <w:spacing w:after="0"/>
              <w:rPr>
                <w:sz w:val="20"/>
                <w:szCs w:val="20"/>
                <w:color w:val="auto"/>
              </w:rPr>
            </w:pPr>
            <w:r>
              <w:rPr>
                <w:rFonts w:ascii="Arial" w:cs="Arial" w:eastAsia="Arial" w:hAnsi="Arial"/>
                <w:sz w:val="14"/>
                <w:szCs w:val="14"/>
                <w:b w:val="1"/>
                <w:bCs w:val="1"/>
                <w:color w:val="auto"/>
                <w:w w:val="91"/>
              </w:rPr>
              <w:t>September 30,</w:t>
            </w:r>
          </w:p>
        </w:tc>
        <w:tc>
          <w:tcPr>
            <w:tcW w:w="760" w:type="dxa"/>
            <w:vAlign w:val="bottom"/>
            <w:tcBorders>
              <w:bottom w:val="single" w:sz="8" w:color="auto"/>
            </w:tcBorders>
          </w:tcPr>
          <w:p>
            <w:pPr>
              <w:spacing w:after="0"/>
              <w:rPr>
                <w:sz w:val="17"/>
                <w:szCs w:val="17"/>
                <w:color w:val="auto"/>
              </w:rPr>
            </w:pPr>
          </w:p>
        </w:tc>
      </w:tr>
      <w:tr>
        <w:trPr>
          <w:trHeight w:val="196"/>
        </w:trPr>
        <w:tc>
          <w:tcPr>
            <w:tcW w:w="3880" w:type="dxa"/>
            <w:vAlign w:val="bottom"/>
            <w:tcBorders>
              <w:bottom w:val="single" w:sz="8" w:color="CCEEFF"/>
            </w:tcBorders>
          </w:tcPr>
          <w:p>
            <w:pPr>
              <w:spacing w:after="0"/>
              <w:rPr>
                <w:sz w:val="17"/>
                <w:szCs w:val="17"/>
                <w:color w:val="auto"/>
              </w:rPr>
            </w:pPr>
          </w:p>
        </w:tc>
        <w:tc>
          <w:tcPr>
            <w:tcW w:w="2340" w:type="dxa"/>
            <w:vAlign w:val="bottom"/>
            <w:tcBorders>
              <w:bottom w:val="single" w:sz="8" w:color="CCEEFF"/>
            </w:tcBorders>
          </w:tcPr>
          <w:p>
            <w:pPr>
              <w:spacing w:after="0"/>
              <w:rPr>
                <w:sz w:val="17"/>
                <w:szCs w:val="17"/>
                <w:color w:val="auto"/>
              </w:rPr>
            </w:pPr>
          </w:p>
        </w:tc>
        <w:tc>
          <w:tcPr>
            <w:tcW w:w="118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w w:val="96"/>
              </w:rPr>
              <w:t>2022</w:t>
            </w:r>
          </w:p>
        </w:tc>
        <w:tc>
          <w:tcPr>
            <w:tcW w:w="100" w:type="dxa"/>
            <w:vAlign w:val="bottom"/>
            <w:tcBorders>
              <w:bottom w:val="single" w:sz="8" w:color="CCEEFF"/>
            </w:tcBorders>
          </w:tcPr>
          <w:p>
            <w:pPr>
              <w:spacing w:after="0"/>
              <w:rPr>
                <w:sz w:val="17"/>
                <w:szCs w:val="17"/>
                <w:color w:val="auto"/>
              </w:rPr>
            </w:pPr>
          </w:p>
        </w:tc>
        <w:tc>
          <w:tcPr>
            <w:tcW w:w="118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w w:val="96"/>
              </w:rPr>
              <w:t>2022</w:t>
            </w:r>
          </w:p>
        </w:tc>
      </w:tr>
      <w:tr>
        <w:trPr>
          <w:trHeight w:val="216"/>
        </w:trPr>
        <w:tc>
          <w:tcPr>
            <w:tcW w:w="622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Crude Oil Segment Volumes</w:t>
            </w: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29"/>
        </w:trPr>
        <w:tc>
          <w:tcPr>
            <w:tcW w:w="6220" w:type="dxa"/>
            <w:vAlign w:val="bottom"/>
            <w:gridSpan w:val="2"/>
          </w:tcPr>
          <w:p>
            <w:pPr>
              <w:ind w:left="140"/>
              <w:spacing w:after="0" w:line="230" w:lineRule="exact"/>
              <w:rPr>
                <w:sz w:val="20"/>
                <w:szCs w:val="20"/>
                <w:color w:val="auto"/>
              </w:rPr>
            </w:pPr>
            <w:r>
              <w:rPr>
                <w:rFonts w:ascii="Arial" w:cs="Arial" w:eastAsia="Arial" w:hAnsi="Arial"/>
                <w:sz w:val="18"/>
                <w:szCs w:val="18"/>
                <w:color w:val="auto"/>
              </w:rPr>
              <w:t xml:space="preserve">Crude oil pipeline tariff volumes (by region) </w:t>
            </w:r>
            <w:r>
              <w:rPr>
                <w:rFonts w:ascii="Arial" w:cs="Arial" w:eastAsia="Arial" w:hAnsi="Arial"/>
                <w:sz w:val="23"/>
                <w:szCs w:val="23"/>
                <w:color w:val="auto"/>
                <w:vertAlign w:val="superscript"/>
              </w:rPr>
              <w:t>(1)</w:t>
            </w: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29"/>
        </w:trPr>
        <w:tc>
          <w:tcPr>
            <w:tcW w:w="6220" w:type="dxa"/>
            <w:vAlign w:val="bottom"/>
            <w:gridSpan w:val="2"/>
            <w:shd w:val="clear" w:color="auto" w:fill="CCEEFF"/>
          </w:tcPr>
          <w:p>
            <w:pPr>
              <w:ind w:left="240"/>
              <w:spacing w:after="0" w:line="230" w:lineRule="exact"/>
              <w:rPr>
                <w:sz w:val="20"/>
                <w:szCs w:val="20"/>
                <w:color w:val="auto"/>
              </w:rPr>
            </w:pPr>
            <w:r>
              <w:rPr>
                <w:rFonts w:ascii="Arial" w:cs="Arial" w:eastAsia="Arial" w:hAnsi="Arial"/>
                <w:sz w:val="18"/>
                <w:szCs w:val="18"/>
                <w:color w:val="auto"/>
              </w:rPr>
              <w:t xml:space="preserve">Permian Basin </w:t>
            </w:r>
            <w:r>
              <w:rPr>
                <w:rFonts w:ascii="Arial" w:cs="Arial" w:eastAsia="Arial" w:hAnsi="Arial"/>
                <w:sz w:val="23"/>
                <w:szCs w:val="23"/>
                <w:color w:val="auto"/>
                <w:vertAlign w:val="superscript"/>
              </w:rPr>
              <w:t>(2)</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5,698</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5,450</w:t>
            </w:r>
          </w:p>
        </w:tc>
      </w:tr>
      <w:tr>
        <w:trPr>
          <w:trHeight w:val="230"/>
        </w:trPr>
        <w:tc>
          <w:tcPr>
            <w:tcW w:w="6220" w:type="dxa"/>
            <w:vAlign w:val="bottom"/>
            <w:gridSpan w:val="2"/>
          </w:tcPr>
          <w:p>
            <w:pPr>
              <w:ind w:left="240"/>
              <w:spacing w:after="0" w:line="230" w:lineRule="exact"/>
              <w:rPr>
                <w:sz w:val="20"/>
                <w:szCs w:val="20"/>
                <w:color w:val="auto"/>
              </w:rPr>
            </w:pPr>
            <w:r>
              <w:rPr>
                <w:rFonts w:ascii="Arial" w:cs="Arial" w:eastAsia="Arial" w:hAnsi="Arial"/>
                <w:sz w:val="18"/>
                <w:szCs w:val="18"/>
                <w:color w:val="auto"/>
              </w:rPr>
              <w:t xml:space="preserve">South Texas / Eagle Ford </w:t>
            </w:r>
            <w:r>
              <w:rPr>
                <w:rFonts w:ascii="Arial" w:cs="Arial" w:eastAsia="Arial" w:hAnsi="Arial"/>
                <w:sz w:val="23"/>
                <w:szCs w:val="23"/>
                <w:color w:val="auto"/>
                <w:vertAlign w:val="superscript"/>
              </w:rPr>
              <w:t>(2)</w:t>
            </w:r>
          </w:p>
        </w:tc>
        <w:tc>
          <w:tcPr>
            <w:tcW w:w="1180" w:type="dxa"/>
            <w:vAlign w:val="bottom"/>
          </w:tcPr>
          <w:p>
            <w:pPr>
              <w:jc w:val="right"/>
              <w:spacing w:after="0"/>
              <w:rPr>
                <w:sz w:val="20"/>
                <w:szCs w:val="20"/>
                <w:color w:val="auto"/>
              </w:rPr>
            </w:pPr>
            <w:r>
              <w:rPr>
                <w:rFonts w:ascii="Arial" w:cs="Arial" w:eastAsia="Arial" w:hAnsi="Arial"/>
                <w:sz w:val="18"/>
                <w:szCs w:val="18"/>
                <w:color w:val="auto"/>
              </w:rPr>
              <w:t>421</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344</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410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349</w:t>
            </w:r>
          </w:p>
        </w:tc>
      </w:tr>
      <w:tr>
        <w:trPr>
          <w:trHeight w:val="229"/>
        </w:trPr>
        <w:tc>
          <w:tcPr>
            <w:tcW w:w="6220" w:type="dxa"/>
            <w:vAlign w:val="bottom"/>
            <w:gridSpan w:val="2"/>
            <w:shd w:val="clear" w:color="auto" w:fill="CCEEFF"/>
          </w:tcPr>
          <w:p>
            <w:pPr>
              <w:ind w:left="240"/>
              <w:spacing w:after="0" w:line="230" w:lineRule="exact"/>
              <w:rPr>
                <w:sz w:val="20"/>
                <w:szCs w:val="20"/>
                <w:color w:val="auto"/>
              </w:rPr>
            </w:pPr>
            <w:r>
              <w:rPr>
                <w:rFonts w:ascii="Arial" w:cs="Arial" w:eastAsia="Arial" w:hAnsi="Arial"/>
                <w:sz w:val="18"/>
                <w:szCs w:val="18"/>
                <w:color w:val="auto"/>
              </w:rPr>
              <w:t xml:space="preserve">Mid-Continent </w:t>
            </w:r>
            <w:r>
              <w:rPr>
                <w:rFonts w:ascii="Arial" w:cs="Arial" w:eastAsia="Arial" w:hAnsi="Arial"/>
                <w:sz w:val="23"/>
                <w:szCs w:val="23"/>
                <w:color w:val="auto"/>
                <w:vertAlign w:val="superscript"/>
              </w:rPr>
              <w:t>(2)</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w:t>
            </w:r>
          </w:p>
        </w:tc>
      </w:tr>
      <w:tr>
        <w:trPr>
          <w:trHeight w:val="230"/>
        </w:trPr>
        <w:tc>
          <w:tcPr>
            <w:tcW w:w="6220" w:type="dxa"/>
            <w:vAlign w:val="bottom"/>
            <w:gridSpan w:val="2"/>
          </w:tcPr>
          <w:p>
            <w:pPr>
              <w:ind w:left="240"/>
              <w:spacing w:after="0"/>
              <w:rPr>
                <w:sz w:val="20"/>
                <w:szCs w:val="20"/>
                <w:color w:val="auto"/>
              </w:rPr>
            </w:pPr>
            <w:r>
              <w:rPr>
                <w:rFonts w:ascii="Arial" w:cs="Arial" w:eastAsia="Arial" w:hAnsi="Arial"/>
                <w:sz w:val="18"/>
                <w:szCs w:val="18"/>
                <w:color w:val="auto"/>
              </w:rPr>
              <w:t>Gulf Coast</w:t>
            </w:r>
          </w:p>
        </w:tc>
        <w:tc>
          <w:tcPr>
            <w:tcW w:w="1180" w:type="dxa"/>
            <w:vAlign w:val="bottom"/>
          </w:tcPr>
          <w:p>
            <w:pPr>
              <w:jc w:val="right"/>
              <w:spacing w:after="0"/>
              <w:rPr>
                <w:sz w:val="20"/>
                <w:szCs w:val="20"/>
                <w:color w:val="auto"/>
              </w:rPr>
            </w:pPr>
            <w:r>
              <w:rPr>
                <w:rFonts w:ascii="Arial" w:cs="Arial" w:eastAsia="Arial" w:hAnsi="Arial"/>
                <w:sz w:val="18"/>
                <w:szCs w:val="18"/>
                <w:color w:val="auto"/>
              </w:rPr>
              <w:t>272</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252</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263</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216</w:t>
            </w:r>
          </w:p>
        </w:tc>
      </w:tr>
      <w:tr>
        <w:trPr>
          <w:trHeight w:val="229"/>
        </w:trPr>
        <w:tc>
          <w:tcPr>
            <w:tcW w:w="6220" w:type="dxa"/>
            <w:vAlign w:val="bottom"/>
            <w:gridSpan w:val="2"/>
            <w:shd w:val="clear" w:color="auto" w:fill="CCEEFF"/>
          </w:tcPr>
          <w:p>
            <w:pPr>
              <w:ind w:left="240"/>
              <w:spacing w:after="0" w:line="230" w:lineRule="exact"/>
              <w:rPr>
                <w:sz w:val="20"/>
                <w:szCs w:val="20"/>
                <w:color w:val="auto"/>
              </w:rPr>
            </w:pPr>
            <w:r>
              <w:rPr>
                <w:rFonts w:ascii="Arial" w:cs="Arial" w:eastAsia="Arial" w:hAnsi="Arial"/>
                <w:sz w:val="18"/>
                <w:szCs w:val="18"/>
                <w:color w:val="auto"/>
              </w:rPr>
              <w:t xml:space="preserve">Rocky Mountain </w:t>
            </w:r>
            <w:r>
              <w:rPr>
                <w:rFonts w:ascii="Arial" w:cs="Arial" w:eastAsia="Arial" w:hAnsi="Arial"/>
                <w:sz w:val="23"/>
                <w:szCs w:val="23"/>
                <w:color w:val="auto"/>
                <w:vertAlign w:val="superscript"/>
              </w:rPr>
              <w:t>(2)</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w:t>
            </w:r>
          </w:p>
        </w:tc>
      </w:tr>
      <w:tr>
        <w:trPr>
          <w:trHeight w:val="229"/>
        </w:trPr>
        <w:tc>
          <w:tcPr>
            <w:tcW w:w="6220" w:type="dxa"/>
            <w:vAlign w:val="bottom"/>
            <w:gridSpan w:val="2"/>
          </w:tcPr>
          <w:p>
            <w:pPr>
              <w:ind w:left="240"/>
              <w:spacing w:after="0"/>
              <w:rPr>
                <w:sz w:val="20"/>
                <w:szCs w:val="20"/>
                <w:color w:val="auto"/>
              </w:rPr>
            </w:pPr>
            <w:r>
              <w:rPr>
                <w:rFonts w:ascii="Arial" w:cs="Arial" w:eastAsia="Arial" w:hAnsi="Arial"/>
                <w:sz w:val="18"/>
                <w:szCs w:val="18"/>
                <w:color w:val="auto"/>
              </w:rPr>
              <w:t>Western</w:t>
            </w:r>
          </w:p>
        </w:tc>
        <w:tc>
          <w:tcPr>
            <w:tcW w:w="1180" w:type="dxa"/>
            <w:vAlign w:val="bottom"/>
          </w:tcPr>
          <w:p>
            <w:pPr>
              <w:jc w:val="right"/>
              <w:spacing w:after="0"/>
              <w:rPr>
                <w:sz w:val="20"/>
                <w:szCs w:val="20"/>
                <w:color w:val="auto"/>
              </w:rPr>
            </w:pPr>
            <w:r>
              <w:rPr>
                <w:rFonts w:ascii="Arial" w:cs="Arial" w:eastAsia="Arial" w:hAnsi="Arial"/>
                <w:sz w:val="18"/>
                <w:szCs w:val="18"/>
                <w:color w:val="auto"/>
              </w:rPr>
              <w:t>228</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205</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209</w:t>
            </w:r>
          </w:p>
        </w:tc>
      </w:tr>
      <w:tr>
        <w:trPr>
          <w:trHeight w:val="230"/>
        </w:trPr>
        <w:tc>
          <w:tcPr>
            <w:tcW w:w="62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Canada</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w:t>
            </w:r>
          </w:p>
        </w:tc>
        <w:tc>
          <w:tcPr>
            <w:tcW w:w="100" w:type="dxa"/>
            <w:vAlign w:val="bottom"/>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w:t>
            </w:r>
          </w:p>
        </w:tc>
      </w:tr>
      <w:tr>
        <w:trPr>
          <w:trHeight w:val="223"/>
        </w:trPr>
        <w:tc>
          <w:tcPr>
            <w:tcW w:w="6220" w:type="dxa"/>
            <w:vAlign w:val="bottom"/>
            <w:gridSpan w:val="2"/>
          </w:tcPr>
          <w:p>
            <w:pPr>
              <w:ind w:left="140"/>
              <w:spacing w:after="0" w:line="223" w:lineRule="exact"/>
              <w:rPr>
                <w:sz w:val="20"/>
                <w:szCs w:val="20"/>
                <w:color w:val="auto"/>
              </w:rPr>
            </w:pPr>
            <w:r>
              <w:rPr>
                <w:rFonts w:ascii="Arial" w:cs="Arial" w:eastAsia="Arial" w:hAnsi="Arial"/>
                <w:sz w:val="18"/>
                <w:szCs w:val="18"/>
                <w:color w:val="auto"/>
              </w:rPr>
              <w:t xml:space="preserve">Total crude oil pipeline tariff volumes </w:t>
            </w:r>
            <w:r>
              <w:rPr>
                <w:rFonts w:ascii="Arial" w:cs="Arial" w:eastAsia="Arial" w:hAnsi="Arial"/>
                <w:sz w:val="23"/>
                <w:szCs w:val="23"/>
                <w:color w:val="auto"/>
                <w:vertAlign w:val="superscript"/>
              </w:rPr>
              <w:t>(1) (2)</w:t>
            </w:r>
          </w:p>
        </w:tc>
        <w:tc>
          <w:tcPr>
            <w:tcW w:w="1180" w:type="dxa"/>
            <w:vAlign w:val="bottom"/>
          </w:tcPr>
          <w:p>
            <w:pPr>
              <w:jc w:val="right"/>
              <w:spacing w:after="0"/>
              <w:rPr>
                <w:sz w:val="20"/>
                <w:szCs w:val="20"/>
                <w:color w:val="auto"/>
              </w:rPr>
            </w:pPr>
            <w:r>
              <w:rPr>
                <w:rFonts w:ascii="Arial" w:cs="Arial" w:eastAsia="Arial" w:hAnsi="Arial"/>
                <w:sz w:val="18"/>
                <w:szCs w:val="18"/>
                <w:color w:val="auto"/>
              </w:rPr>
              <w:t>8,259</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7,581</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8,310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7,387</w:t>
            </w:r>
          </w:p>
        </w:tc>
      </w:tr>
      <w:tr>
        <w:trPr>
          <w:trHeight w:val="257"/>
        </w:trPr>
        <w:tc>
          <w:tcPr>
            <w:tcW w:w="3880" w:type="dxa"/>
            <w:vAlign w:val="bottom"/>
            <w:shd w:val="clear" w:color="auto" w:fill="CCEEFF"/>
          </w:tcPr>
          <w:p>
            <w:pPr>
              <w:spacing w:after="0"/>
              <w:rPr>
                <w:sz w:val="22"/>
                <w:szCs w:val="22"/>
                <w:color w:val="auto"/>
              </w:rPr>
            </w:pPr>
          </w:p>
        </w:tc>
        <w:tc>
          <w:tcPr>
            <w:tcW w:w="234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r>
      <w:tr>
        <w:trPr>
          <w:trHeight w:val="229"/>
        </w:trPr>
        <w:tc>
          <w:tcPr>
            <w:tcW w:w="6220" w:type="dxa"/>
            <w:vAlign w:val="bottom"/>
            <w:gridSpan w:val="2"/>
          </w:tcPr>
          <w:p>
            <w:pPr>
              <w:ind w:left="140"/>
              <w:spacing w:after="0" w:line="230" w:lineRule="exact"/>
              <w:rPr>
                <w:sz w:val="20"/>
                <w:szCs w:val="20"/>
                <w:color w:val="auto"/>
              </w:rPr>
            </w:pPr>
            <w:r>
              <w:rPr>
                <w:rFonts w:ascii="Arial" w:cs="Arial" w:eastAsia="Arial" w:hAnsi="Arial"/>
                <w:sz w:val="18"/>
                <w:szCs w:val="18"/>
                <w:color w:val="auto"/>
              </w:rPr>
              <w:t xml:space="preserve">Commercial crude oil storage capacity </w:t>
            </w:r>
            <w:r>
              <w:rPr>
                <w:rFonts w:ascii="Arial" w:cs="Arial" w:eastAsia="Arial" w:hAnsi="Arial"/>
                <w:sz w:val="23"/>
                <w:szCs w:val="23"/>
                <w:color w:val="auto"/>
                <w:vertAlign w:val="superscript"/>
              </w:rPr>
              <w:t>(2) (3)</w:t>
            </w:r>
          </w:p>
        </w:tc>
        <w:tc>
          <w:tcPr>
            <w:tcW w:w="1180" w:type="dxa"/>
            <w:vAlign w:val="bottom"/>
          </w:tcPr>
          <w:p>
            <w:pPr>
              <w:jc w:val="right"/>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57"/>
        </w:trPr>
        <w:tc>
          <w:tcPr>
            <w:tcW w:w="3880" w:type="dxa"/>
            <w:vAlign w:val="bottom"/>
            <w:shd w:val="clear" w:color="auto" w:fill="CCEEFF"/>
          </w:tcPr>
          <w:p>
            <w:pPr>
              <w:spacing w:after="0"/>
              <w:rPr>
                <w:sz w:val="22"/>
                <w:szCs w:val="22"/>
                <w:color w:val="auto"/>
              </w:rPr>
            </w:pPr>
          </w:p>
        </w:tc>
        <w:tc>
          <w:tcPr>
            <w:tcW w:w="234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r>
      <w:tr>
        <w:trPr>
          <w:trHeight w:val="230"/>
        </w:trPr>
        <w:tc>
          <w:tcPr>
            <w:tcW w:w="6220" w:type="dxa"/>
            <w:vAlign w:val="bottom"/>
            <w:gridSpan w:val="2"/>
          </w:tcPr>
          <w:p>
            <w:pPr>
              <w:ind w:left="140"/>
              <w:spacing w:after="0" w:line="230" w:lineRule="exact"/>
              <w:rPr>
                <w:sz w:val="20"/>
                <w:szCs w:val="20"/>
                <w:color w:val="auto"/>
              </w:rPr>
            </w:pPr>
            <w:r>
              <w:rPr>
                <w:rFonts w:ascii="Arial" w:cs="Arial" w:eastAsia="Arial" w:hAnsi="Arial"/>
                <w:sz w:val="18"/>
                <w:szCs w:val="18"/>
                <w:color w:val="auto"/>
              </w:rPr>
              <w:t xml:space="preserve">Crude oil lease gathering purchases </w:t>
            </w:r>
            <w:r>
              <w:rPr>
                <w:rFonts w:ascii="Arial" w:cs="Arial" w:eastAsia="Arial" w:hAnsi="Arial"/>
                <w:sz w:val="23"/>
                <w:szCs w:val="23"/>
                <w:color w:val="auto"/>
                <w:vertAlign w:val="superscript"/>
              </w:rPr>
              <w:t>(1)</w:t>
            </w:r>
          </w:p>
        </w:tc>
        <w:tc>
          <w:tcPr>
            <w:tcW w:w="1180" w:type="dxa"/>
            <w:vAlign w:val="bottom"/>
          </w:tcPr>
          <w:p>
            <w:pPr>
              <w:jc w:val="right"/>
              <w:spacing w:after="0"/>
              <w:rPr>
                <w:sz w:val="20"/>
                <w:szCs w:val="20"/>
                <w:color w:val="auto"/>
              </w:rPr>
            </w:pPr>
            <w:r>
              <w:rPr>
                <w:rFonts w:ascii="Arial" w:cs="Arial" w:eastAsia="Arial" w:hAnsi="Arial"/>
                <w:sz w:val="18"/>
                <w:szCs w:val="18"/>
                <w:color w:val="auto"/>
              </w:rPr>
              <w:t>1,455</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1,390</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1,430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1,373</w:t>
            </w:r>
          </w:p>
        </w:tc>
      </w:tr>
      <w:tr>
        <w:trPr>
          <w:trHeight w:val="256"/>
        </w:trPr>
        <w:tc>
          <w:tcPr>
            <w:tcW w:w="3880" w:type="dxa"/>
            <w:vAlign w:val="bottom"/>
            <w:shd w:val="clear" w:color="auto" w:fill="CCEEFF"/>
          </w:tcPr>
          <w:p>
            <w:pPr>
              <w:spacing w:after="0"/>
              <w:rPr>
                <w:sz w:val="22"/>
                <w:szCs w:val="22"/>
                <w:color w:val="auto"/>
              </w:rPr>
            </w:pPr>
          </w:p>
        </w:tc>
        <w:tc>
          <w:tcPr>
            <w:tcW w:w="234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r>
      <w:tr>
        <w:trPr>
          <w:trHeight w:val="230"/>
        </w:trPr>
        <w:tc>
          <w:tcPr>
            <w:tcW w:w="6220" w:type="dxa"/>
            <w:vAlign w:val="bottom"/>
            <w:gridSpan w:val="2"/>
          </w:tcPr>
          <w:p>
            <w:pPr>
              <w:ind w:left="20"/>
              <w:spacing w:after="0" w:line="230" w:lineRule="exact"/>
              <w:rPr>
                <w:sz w:val="20"/>
                <w:szCs w:val="20"/>
                <w:color w:val="auto"/>
              </w:rPr>
            </w:pPr>
            <w:r>
              <w:rPr>
                <w:rFonts w:ascii="Arial" w:cs="Arial" w:eastAsia="Arial" w:hAnsi="Arial"/>
                <w:sz w:val="18"/>
                <w:szCs w:val="18"/>
                <w:b w:val="1"/>
                <w:bCs w:val="1"/>
                <w:color w:val="auto"/>
              </w:rPr>
              <w:t xml:space="preserve">NGL Segment Volumes </w:t>
            </w:r>
            <w:r>
              <w:rPr>
                <w:rFonts w:ascii="Arial" w:cs="Arial" w:eastAsia="Arial" w:hAnsi="Arial"/>
                <w:sz w:val="23"/>
                <w:szCs w:val="23"/>
                <w:color w:val="auto"/>
                <w:vertAlign w:val="superscript"/>
              </w:rPr>
              <w:t>(1)</w:t>
            </w: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29"/>
        </w:trPr>
        <w:tc>
          <w:tcPr>
            <w:tcW w:w="62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NGL fractionation</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w:t>
            </w:r>
          </w:p>
        </w:tc>
      </w:tr>
      <w:tr>
        <w:trPr>
          <w:trHeight w:val="230"/>
        </w:trPr>
        <w:tc>
          <w:tcPr>
            <w:tcW w:w="6220" w:type="dxa"/>
            <w:vAlign w:val="bottom"/>
            <w:gridSpan w:val="2"/>
          </w:tcPr>
          <w:p>
            <w:pPr>
              <w:ind w:left="180"/>
              <w:spacing w:after="0"/>
              <w:rPr>
                <w:sz w:val="20"/>
                <w:szCs w:val="20"/>
                <w:color w:val="auto"/>
              </w:rPr>
            </w:pPr>
            <w:r>
              <w:rPr>
                <w:rFonts w:ascii="Arial" w:cs="Arial" w:eastAsia="Arial" w:hAnsi="Arial"/>
                <w:sz w:val="18"/>
                <w:szCs w:val="18"/>
                <w:color w:val="auto"/>
              </w:rPr>
              <w:t>NGL pipeline tariff volumes</w:t>
            </w:r>
          </w:p>
        </w:tc>
        <w:tc>
          <w:tcPr>
            <w:tcW w:w="1180" w:type="dxa"/>
            <w:vAlign w:val="bottom"/>
          </w:tcPr>
          <w:p>
            <w:pPr>
              <w:jc w:val="right"/>
              <w:spacing w:after="0"/>
              <w:rPr>
                <w:sz w:val="20"/>
                <w:szCs w:val="20"/>
                <w:color w:val="auto"/>
              </w:rPr>
            </w:pPr>
            <w:r>
              <w:rPr>
                <w:rFonts w:ascii="Arial" w:cs="Arial" w:eastAsia="Arial" w:hAnsi="Arial"/>
                <w:sz w:val="18"/>
                <w:szCs w:val="18"/>
                <w:color w:val="auto"/>
              </w:rPr>
              <w:t>193</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182</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178</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182</w:t>
            </w:r>
          </w:p>
        </w:tc>
      </w:tr>
      <w:tr>
        <w:trPr>
          <w:trHeight w:val="230"/>
        </w:trPr>
        <w:tc>
          <w:tcPr>
            <w:tcW w:w="6220" w:type="dxa"/>
            <w:vAlign w:val="bottom"/>
            <w:gridSpan w:val="2"/>
            <w:shd w:val="clear" w:color="auto" w:fill="CCEEFF"/>
          </w:tcPr>
          <w:p>
            <w:pPr>
              <w:ind w:left="180"/>
              <w:spacing w:after="0" w:line="230" w:lineRule="exact"/>
              <w:rPr>
                <w:sz w:val="20"/>
                <w:szCs w:val="20"/>
                <w:color w:val="auto"/>
              </w:rPr>
            </w:pPr>
            <w:r>
              <w:rPr>
                <w:rFonts w:ascii="Arial" w:cs="Arial" w:eastAsia="Arial" w:hAnsi="Arial"/>
                <w:sz w:val="18"/>
                <w:szCs w:val="18"/>
                <w:color w:val="auto"/>
              </w:rPr>
              <w:t xml:space="preserve">Propane and butane sales </w:t>
            </w:r>
            <w:r>
              <w:rPr>
                <w:rFonts w:ascii="Arial" w:cs="Arial" w:eastAsia="Arial" w:hAnsi="Arial"/>
                <w:sz w:val="23"/>
                <w:szCs w:val="23"/>
                <w:color w:val="auto"/>
                <w:vertAlign w:val="superscript"/>
              </w:rPr>
              <w:t>(4)</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r>
      <w:tr>
        <w:trPr>
          <w:trHeight w:val="162"/>
        </w:trPr>
        <w:tc>
          <w:tcPr>
            <w:tcW w:w="3880" w:type="dxa"/>
            <w:vAlign w:val="bottom"/>
            <w:tcBorders>
              <w:bottom w:val="single" w:sz="8" w:color="auto"/>
            </w:tcBorders>
          </w:tcPr>
          <w:p>
            <w:pPr>
              <w:spacing w:after="0"/>
              <w:rPr>
                <w:sz w:val="14"/>
                <w:szCs w:val="14"/>
                <w:color w:val="auto"/>
              </w:rPr>
            </w:pPr>
          </w:p>
        </w:tc>
        <w:tc>
          <w:tcPr>
            <w:tcW w:w="23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r>
    </w:tbl>
    <w:p>
      <w:pPr>
        <w:spacing w:after="0" w:line="134" w:lineRule="exact"/>
        <w:rPr>
          <w:sz w:val="20"/>
          <w:szCs w:val="20"/>
          <w:color w:val="auto"/>
        </w:rPr>
      </w:pPr>
    </w:p>
    <w:p>
      <w:pPr>
        <w:ind w:left="340" w:right="20" w:hanging="332"/>
        <w:spacing w:after="0" w:line="249" w:lineRule="auto"/>
        <w:tabs>
          <w:tab w:leader="none" w:pos="328" w:val="left"/>
        </w:tabs>
        <w:numPr>
          <w:ilvl w:val="0"/>
          <w:numId w:val="18"/>
        </w:numPr>
        <w:rPr>
          <w:rFonts w:ascii="Arial" w:cs="Arial" w:eastAsia="Arial" w:hAnsi="Arial"/>
          <w:sz w:val="22"/>
          <w:szCs w:val="22"/>
          <w:color w:val="auto"/>
          <w:vertAlign w:val="superscript"/>
        </w:rPr>
      </w:pPr>
      <w:r>
        <w:rPr>
          <w:rFonts w:ascii="Arial" w:cs="Arial" w:eastAsia="Arial" w:hAnsi="Arial"/>
          <w:sz w:val="17"/>
          <w:szCs w:val="17"/>
          <w:color w:val="auto"/>
        </w:rPr>
        <w:t>Average volumes in thousands of barrels per day calculated as the total volumes (attributable to our interest for assets owned by unconsolidated entities or through undivided joint interests) for the period divided by the number of days in the period. Volumes associated with assets acquired during the period represent total volumes for the number of days we actually owned the assets divided by the number of days in the period.</w:t>
      </w:r>
    </w:p>
    <w:p>
      <w:pPr>
        <w:sectPr>
          <w:pgSz w:w="11900" w:h="16838" w:orient="portrait"/>
          <w:cols w:equalWidth="0" w:num="1">
            <w:col w:w="11240"/>
          </w:cols>
          <w:pgMar w:left="320" w:top="368" w:right="339" w:bottom="1440" w:gutter="0" w:footer="0" w:header="0"/>
        </w:sectPr>
      </w:pPr>
    </w:p>
    <w:p>
      <w:pPr>
        <w:spacing w:after="0" w:line="29"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144" w:lineRule="exact"/>
        <w:rPr>
          <w:sz w:val="20"/>
          <w:szCs w:val="20"/>
          <w:color w:val="auto"/>
        </w:rPr>
      </w:pPr>
    </w:p>
    <w:p>
      <w:pPr>
        <w:spacing w:after="0"/>
        <w:rPr>
          <w:sz w:val="20"/>
          <w:szCs w:val="20"/>
          <w:color w:val="auto"/>
        </w:rPr>
      </w:pPr>
      <w:r>
        <w:rPr>
          <w:rFonts w:ascii="Arial" w:cs="Arial" w:eastAsia="Arial" w:hAnsi="Arial"/>
          <w:sz w:val="11"/>
          <w:szCs w:val="11"/>
          <w:color w:val="auto"/>
        </w:rPr>
        <w:t>(3)</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Includes volumes (attributable to our interest) from assets owned by unconsolidated entities.</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Average monthly capacity in millions of barrels calculated as total volumes for the period divided by the number of months in the period.</w:t>
      </w:r>
    </w:p>
    <w:p>
      <w:pPr>
        <w:spacing w:after="0" w:line="86" w:lineRule="exact"/>
        <w:rPr>
          <w:sz w:val="20"/>
          <w:szCs w:val="20"/>
          <w:color w:val="auto"/>
        </w:rPr>
      </w:pPr>
    </w:p>
    <w:p>
      <w:pPr>
        <w:sectPr>
          <w:pgSz w:w="11900" w:h="16838" w:orient="portrait"/>
          <w:cols w:equalWidth="0" w:num="2">
            <w:col w:w="140" w:space="180"/>
            <w:col w:w="10920"/>
          </w:cols>
          <w:pgMar w:left="320" w:top="368" w:right="339" w:bottom="1440" w:gutter="0" w:footer="0" w:header="0"/>
          <w:type w:val="continuous"/>
        </w:sectPr>
      </w:pPr>
    </w:p>
    <w:p>
      <w:pPr>
        <w:ind w:left="340" w:right="60" w:hanging="332"/>
        <w:spacing w:after="0" w:line="238" w:lineRule="auto"/>
        <w:tabs>
          <w:tab w:leader="none" w:pos="328" w:val="left"/>
        </w:tabs>
        <w:numPr>
          <w:ilvl w:val="0"/>
          <w:numId w:val="19"/>
        </w:numPr>
        <w:rPr>
          <w:rFonts w:ascii="Arial" w:cs="Arial" w:eastAsia="Arial" w:hAnsi="Arial"/>
          <w:sz w:val="23"/>
          <w:szCs w:val="23"/>
          <w:color w:val="auto"/>
          <w:vertAlign w:val="superscript"/>
        </w:rPr>
      </w:pPr>
      <w:r>
        <w:rPr>
          <w:rFonts w:ascii="Arial" w:cs="Arial" w:eastAsia="Arial" w:hAnsi="Arial"/>
          <w:sz w:val="18"/>
          <w:szCs w:val="18"/>
          <w:color w:val="auto"/>
        </w:rPr>
        <w:t>During the fourth quarter of 2022, we modified our reported sales volumes to include only propane and butane sales. Prior to the fourth quarter of 2022, our reported sales volumes included other NGL products, primarily ethane, that represented a significant portion of our total NGL sales volumes but did not contribute significantly to Segment Adjusted EBITDA. Sales volumes for earlier periods presented herein have been recast to include only propane and butane.</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100330</wp:posOffset>
            </wp:positionV>
            <wp:extent cx="711517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55" w:lineRule="exact"/>
        <w:rPr>
          <w:sz w:val="20"/>
          <w:szCs w:val="20"/>
          <w:color w:val="auto"/>
        </w:rPr>
      </w:pPr>
    </w:p>
    <w:p>
      <w:pPr>
        <w:ind w:left="1660"/>
        <w:spacing w:after="0"/>
        <w:tabs>
          <w:tab w:leader="none" w:pos="4760" w:val="left"/>
          <w:tab w:leader="none" w:pos="74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240"/>
          </w:cols>
          <w:pgMar w:left="320" w:top="368" w:right="339" w:bottom="1440" w:gutter="0" w:footer="0" w:header="0"/>
          <w:type w:val="continuous"/>
        </w:sectPr>
      </w:pPr>
    </w:p>
    <w:bookmarkStart w:id="18" w:name="page19"/>
    <w:bookmarkEnd w:id="18"/>
    <w:p>
      <w:pPr>
        <w:spacing w:after="0"/>
        <w:rPr>
          <w:sz w:val="20"/>
          <w:szCs w:val="20"/>
          <w:color w:val="auto"/>
        </w:rPr>
      </w:pPr>
      <w:r>
        <w:rPr>
          <w:rFonts w:ascii="Arial" w:cs="Arial" w:eastAsia="Arial" w:hAnsi="Arial"/>
          <w:sz w:val="18"/>
          <w:szCs w:val="18"/>
          <w:u w:val="single" w:color="auto"/>
          <w:color w:val="auto"/>
        </w:rPr>
        <w:t>Page 16</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1517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NON-GAAP SEGMENT RECONCILIATIONS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Adjusted EBITDA to Adjusted EBITDA attributable to PAA Reconciliation:</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2020" w:type="dxa"/>
            <w:vAlign w:val="bottom"/>
            <w:gridSpan w:val="4"/>
          </w:tcPr>
          <w:p>
            <w:pPr>
              <w:jc w:val="right"/>
              <w:ind w:right="75"/>
              <w:spacing w:after="0"/>
              <w:rPr>
                <w:sz w:val="20"/>
                <w:szCs w:val="20"/>
                <w:color w:val="auto"/>
              </w:rPr>
            </w:pPr>
            <w:r>
              <w:rPr>
                <w:rFonts w:ascii="Arial" w:cs="Arial" w:eastAsia="Arial" w:hAnsi="Arial"/>
                <w:sz w:val="14"/>
                <w:szCs w:val="14"/>
                <w:b w:val="1"/>
                <w:bCs w:val="1"/>
                <w:color w:val="auto"/>
              </w:rPr>
              <w:t>Three Months Ended</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160" w:type="dxa"/>
            <w:vAlign w:val="bottom"/>
            <w:gridSpan w:val="4"/>
          </w:tcPr>
          <w:p>
            <w:pPr>
              <w:jc w:val="right"/>
              <w:ind w:right="513"/>
              <w:spacing w:after="0"/>
              <w:rPr>
                <w:sz w:val="20"/>
                <w:szCs w:val="20"/>
                <w:color w:val="auto"/>
              </w:rPr>
            </w:pPr>
            <w:r>
              <w:rPr>
                <w:rFonts w:ascii="Arial" w:cs="Arial" w:eastAsia="Arial" w:hAnsi="Arial"/>
                <w:sz w:val="14"/>
                <w:szCs w:val="14"/>
                <w:b w:val="1"/>
                <w:bCs w:val="1"/>
                <w:color w:val="auto"/>
              </w:rPr>
              <w:t>Nine Months Ended</w:t>
            </w:r>
          </w:p>
        </w:tc>
      </w:tr>
      <w:tr>
        <w:trPr>
          <w:trHeight w:val="196"/>
        </w:trPr>
        <w:tc>
          <w:tcPr>
            <w:tcW w:w="388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gridSpan w:val="3"/>
          </w:tcPr>
          <w:p>
            <w:pPr>
              <w:jc w:val="right"/>
              <w:ind w:right="295"/>
              <w:spacing w:after="0"/>
              <w:rPr>
                <w:sz w:val="20"/>
                <w:szCs w:val="20"/>
                <w:color w:val="auto"/>
              </w:rPr>
            </w:pPr>
            <w:r>
              <w:rPr>
                <w:rFonts w:ascii="Arial" w:cs="Arial" w:eastAsia="Arial" w:hAnsi="Arial"/>
                <w:sz w:val="14"/>
                <w:szCs w:val="14"/>
                <w:b w:val="1"/>
                <w:bCs w:val="1"/>
                <w:color w:val="auto"/>
                <w:w w:val="91"/>
              </w:rPr>
              <w:t>September 30,</w:t>
            </w:r>
          </w:p>
        </w:tc>
        <w:tc>
          <w:tcPr>
            <w:tcW w:w="3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60" w:type="dxa"/>
            <w:vAlign w:val="bottom"/>
            <w:tcBorders>
              <w:bottom w:val="single" w:sz="8" w:color="auto"/>
            </w:tcBorders>
          </w:tcPr>
          <w:p>
            <w:pPr>
              <w:spacing w:after="0"/>
              <w:rPr>
                <w:sz w:val="17"/>
                <w:szCs w:val="17"/>
                <w:color w:val="auto"/>
              </w:rPr>
            </w:pPr>
          </w:p>
        </w:tc>
      </w:tr>
      <w:tr>
        <w:trPr>
          <w:trHeight w:val="196"/>
        </w:trPr>
        <w:tc>
          <w:tcPr>
            <w:tcW w:w="3880" w:type="dxa"/>
            <w:vAlign w:val="bottom"/>
            <w:tcBorders>
              <w:bottom w:val="single" w:sz="8" w:color="CCEEFF"/>
            </w:tcBorders>
          </w:tcPr>
          <w:p>
            <w:pPr>
              <w:spacing w:after="0"/>
              <w:rPr>
                <w:sz w:val="17"/>
                <w:szCs w:val="17"/>
                <w:color w:val="auto"/>
              </w:rPr>
            </w:pPr>
          </w:p>
        </w:tc>
        <w:tc>
          <w:tcPr>
            <w:tcW w:w="2260" w:type="dxa"/>
            <w:vAlign w:val="bottom"/>
            <w:tcBorders>
              <w:bottom w:val="single" w:sz="8" w:color="CCEEFF"/>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40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3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w w:val="96"/>
              </w:rPr>
              <w:t>2022</w:t>
            </w:r>
          </w:p>
        </w:tc>
      </w:tr>
      <w:tr>
        <w:trPr>
          <w:trHeight w:val="230"/>
        </w:trPr>
        <w:tc>
          <w:tcPr>
            <w:tcW w:w="6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Crude Oil Segment Adjusted EBITDA</w:t>
            </w:r>
          </w:p>
        </w:tc>
        <w:tc>
          <w:tcPr>
            <w:tcW w:w="740" w:type="dxa"/>
            <w:vAlign w:val="bottom"/>
            <w:shd w:val="clear" w:color="auto" w:fill="CCEEFF"/>
          </w:tcPr>
          <w:p>
            <w:pPr>
              <w:jc w:val="right"/>
              <w:ind w:right="557"/>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75"/>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536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1,600</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1,482</w:t>
            </w:r>
          </w:p>
        </w:tc>
      </w:tr>
      <w:tr>
        <w:trPr>
          <w:trHeight w:val="229"/>
        </w:trPr>
        <w:tc>
          <w:tcPr>
            <w:tcW w:w="61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NGL Segment Adjusted EBITDA</w:t>
            </w:r>
          </w:p>
        </w:tc>
        <w:tc>
          <w:tcPr>
            <w:tcW w:w="7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w:t>
            </w:r>
          </w:p>
        </w:tc>
        <w:tc>
          <w:tcPr>
            <w:tcW w:w="12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352</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367</w:t>
            </w:r>
          </w:p>
        </w:tc>
      </w:tr>
      <w:tr>
        <w:trPr>
          <w:trHeight w:val="223"/>
        </w:trPr>
        <w:tc>
          <w:tcPr>
            <w:tcW w:w="61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Segment Adjusted EBITDA</w:t>
            </w:r>
          </w:p>
        </w:tc>
        <w:tc>
          <w:tcPr>
            <w:tcW w:w="740" w:type="dxa"/>
            <w:vAlign w:val="bottom"/>
            <w:shd w:val="clear" w:color="auto" w:fill="CCEEFF"/>
          </w:tcPr>
          <w:p>
            <w:pPr>
              <w:jc w:val="right"/>
              <w:ind w:right="557"/>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75"/>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622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1,952</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1,849</w:t>
            </w:r>
          </w:p>
        </w:tc>
      </w:tr>
      <w:tr>
        <w:trPr>
          <w:trHeight w:val="230"/>
        </w:trPr>
        <w:tc>
          <w:tcPr>
            <w:tcW w:w="6140" w:type="dxa"/>
            <w:vAlign w:val="bottom"/>
            <w:tcBorders>
              <w:bottom w:val="single" w:sz="8" w:color="CCEEFF"/>
            </w:tcBorders>
            <w:gridSpan w:val="2"/>
          </w:tcPr>
          <w:p>
            <w:pPr>
              <w:ind w:left="20"/>
              <w:spacing w:after="0" w:line="230" w:lineRule="exact"/>
              <w:rPr>
                <w:sz w:val="20"/>
                <w:szCs w:val="20"/>
                <w:color w:val="auto"/>
              </w:rPr>
            </w:pPr>
            <w:r>
              <w:rPr>
                <w:rFonts w:ascii="Arial" w:cs="Arial" w:eastAsia="Arial" w:hAnsi="Arial"/>
                <w:sz w:val="18"/>
                <w:szCs w:val="18"/>
                <w:color w:val="auto"/>
              </w:rPr>
              <w:t xml:space="preserve">Adjusted other income/(expense), net </w:t>
            </w:r>
            <w:r>
              <w:rPr>
                <w:rFonts w:ascii="Arial" w:cs="Arial" w:eastAsia="Arial" w:hAnsi="Arial"/>
                <w:sz w:val="23"/>
                <w:szCs w:val="23"/>
                <w:color w:val="auto"/>
                <w:vertAlign w:val="superscript"/>
              </w:rPr>
              <w:t>(1)</w:t>
            </w:r>
          </w:p>
        </w:tc>
        <w:tc>
          <w:tcPr>
            <w:tcW w:w="7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r>
      <w:tr>
        <w:trPr>
          <w:trHeight w:val="248"/>
        </w:trPr>
        <w:tc>
          <w:tcPr>
            <w:tcW w:w="6140" w:type="dxa"/>
            <w:vAlign w:val="bottom"/>
            <w:tcBorders>
              <w:bottom w:val="single" w:sz="8" w:color="CCEEFF"/>
            </w:tcBorders>
            <w:gridSpan w:val="2"/>
            <w:shd w:val="clear" w:color="auto" w:fill="CCEEFF"/>
          </w:tcPr>
          <w:p>
            <w:pPr>
              <w:ind w:left="140"/>
              <w:spacing w:after="0" w:line="223" w:lineRule="exact"/>
              <w:rPr>
                <w:sz w:val="20"/>
                <w:szCs w:val="20"/>
                <w:color w:val="auto"/>
              </w:rPr>
            </w:pPr>
            <w:r>
              <w:rPr>
                <w:rFonts w:ascii="Arial" w:cs="Arial" w:eastAsia="Arial" w:hAnsi="Arial"/>
                <w:sz w:val="18"/>
                <w:szCs w:val="18"/>
                <w:color w:val="auto"/>
              </w:rPr>
              <w:t xml:space="preserve">Adjusted EBITDA attributable to PAA </w:t>
            </w:r>
            <w:r>
              <w:rPr>
                <w:rFonts w:ascii="Arial" w:cs="Arial" w:eastAsia="Arial" w:hAnsi="Arial"/>
                <w:sz w:val="23"/>
                <w:szCs w:val="23"/>
                <w:color w:val="auto"/>
                <w:vertAlign w:val="superscript"/>
              </w:rPr>
              <w:t>(2)</w:t>
            </w:r>
          </w:p>
        </w:tc>
        <w:tc>
          <w:tcPr>
            <w:tcW w:w="740" w:type="dxa"/>
            <w:vAlign w:val="bottom"/>
            <w:tcBorders>
              <w:bottom w:val="single" w:sz="8" w:color="auto"/>
            </w:tcBorders>
            <w:shd w:val="clear" w:color="auto" w:fill="CCEEFF"/>
          </w:tcPr>
          <w:p>
            <w:pPr>
              <w:jc w:val="right"/>
              <w:ind w:right="557"/>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662</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ind w:right="575"/>
              <w:spacing w:after="0"/>
              <w:rPr>
                <w:sz w:val="20"/>
                <w:szCs w:val="20"/>
                <w:color w:val="auto"/>
              </w:rPr>
            </w:pPr>
            <w:r>
              <w:rPr>
                <w:rFonts w:ascii="Arial" w:cs="Arial" w:eastAsia="Arial" w:hAnsi="Arial"/>
                <w:sz w:val="18"/>
                <w:szCs w:val="18"/>
                <w:color w:val="auto"/>
                <w:w w:val="79"/>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623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1,974</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1,851</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226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r>
        <w:trPr>
          <w:trHeight w:val="190"/>
        </w:trPr>
        <w:tc>
          <w:tcPr>
            <w:tcW w:w="3880" w:type="dxa"/>
            <w:vAlign w:val="bottom"/>
            <w:tcBorders>
              <w:bottom w:val="single" w:sz="8" w:color="auto"/>
            </w:tcBorders>
          </w:tcPr>
          <w:p>
            <w:pPr>
              <w:spacing w:after="0"/>
              <w:rPr>
                <w:sz w:val="16"/>
                <w:szCs w:val="16"/>
                <w:color w:val="auto"/>
              </w:rPr>
            </w:pPr>
          </w:p>
        </w:tc>
        <w:tc>
          <w:tcPr>
            <w:tcW w:w="22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60" w:type="dxa"/>
            <w:vAlign w:val="bottom"/>
          </w:tcPr>
          <w:p>
            <w:pPr>
              <w:spacing w:after="0"/>
              <w:rPr>
                <w:sz w:val="16"/>
                <w:szCs w:val="16"/>
                <w:color w:val="auto"/>
              </w:rPr>
            </w:pPr>
          </w:p>
        </w:tc>
      </w:tr>
    </w:tbl>
    <w:p>
      <w:pPr>
        <w:spacing w:after="0" w:line="134" w:lineRule="exact"/>
        <w:rPr>
          <w:sz w:val="20"/>
          <w:szCs w:val="20"/>
          <w:color w:val="auto"/>
        </w:rPr>
      </w:pPr>
    </w:p>
    <w:p>
      <w:pPr>
        <w:ind w:left="340" w:right="80" w:hanging="332"/>
        <w:spacing w:after="0" w:line="234" w:lineRule="auto"/>
        <w:tabs>
          <w:tab w:leader="none" w:pos="328" w:val="left"/>
        </w:tabs>
        <w:numPr>
          <w:ilvl w:val="0"/>
          <w:numId w:val="20"/>
        </w:numPr>
        <w:rPr>
          <w:rFonts w:ascii="Arial" w:cs="Arial" w:eastAsia="Arial" w:hAnsi="Arial"/>
          <w:sz w:val="23"/>
          <w:szCs w:val="23"/>
          <w:color w:val="auto"/>
          <w:vertAlign w:val="superscript"/>
        </w:rPr>
      </w:pPr>
      <w:r>
        <w:rPr>
          <w:rFonts w:ascii="Arial" w:cs="Arial" w:eastAsia="Arial" w:hAnsi="Arial"/>
          <w:sz w:val="18"/>
          <w:szCs w:val="18"/>
          <w:color w:val="auto"/>
        </w:rPr>
        <w:t>Represents “Other income/(expense), net” as reported on our Condensed Consolidated Statements of Operations, excluding other income/(expense), net attributable to noncontrolling interests, adjusted for selected items impacting comparability. See the “Selected Items Impacting Comparability” table for additional information.</w:t>
      </w:r>
    </w:p>
    <w:p>
      <w:pPr>
        <w:spacing w:after="0" w:line="6" w:lineRule="exact"/>
        <w:rPr>
          <w:rFonts w:ascii="Arial" w:cs="Arial" w:eastAsia="Arial" w:hAnsi="Arial"/>
          <w:sz w:val="23"/>
          <w:szCs w:val="23"/>
          <w:color w:val="auto"/>
          <w:vertAlign w:val="superscript"/>
        </w:rPr>
      </w:pPr>
    </w:p>
    <w:p>
      <w:pPr>
        <w:ind w:left="320" w:hanging="312"/>
        <w:spacing w:after="0"/>
        <w:tabs>
          <w:tab w:leader="none" w:pos="320" w:val="left"/>
        </w:tabs>
        <w:numPr>
          <w:ilvl w:val="0"/>
          <w:numId w:val="20"/>
        </w:numPr>
        <w:rPr>
          <w:rFonts w:ascii="Arial" w:cs="Arial" w:eastAsia="Arial" w:hAnsi="Arial"/>
          <w:sz w:val="23"/>
          <w:szCs w:val="23"/>
          <w:color w:val="auto"/>
          <w:vertAlign w:val="superscript"/>
        </w:rPr>
      </w:pPr>
      <w:r>
        <w:rPr>
          <w:rFonts w:ascii="Arial" w:cs="Arial" w:eastAsia="Arial" w:hAnsi="Arial"/>
          <w:sz w:val="18"/>
          <w:szCs w:val="18"/>
          <w:color w:val="auto"/>
        </w:rPr>
        <w:t>See the “Net Income to Adjusted EBITDA attributable to PAA and Implied DCF Reconciliation” table for reconciliation to Net Income.</w:t>
      </w:r>
    </w:p>
    <w:p>
      <w:pPr>
        <w:spacing w:after="0" w:line="200" w:lineRule="exact"/>
        <w:rPr>
          <w:sz w:val="20"/>
          <w:szCs w:val="20"/>
          <w:color w:val="auto"/>
        </w:rPr>
      </w:pPr>
    </w:p>
    <w:p>
      <w:pPr>
        <w:spacing w:after="0" w:line="25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100330</wp:posOffset>
            </wp:positionV>
            <wp:extent cx="711517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55" w:lineRule="exact"/>
        <w:rPr>
          <w:sz w:val="20"/>
          <w:szCs w:val="20"/>
          <w:color w:val="auto"/>
        </w:rPr>
      </w:pPr>
    </w:p>
    <w:p>
      <w:pPr>
        <w:ind w:left="1660"/>
        <w:spacing w:after="0"/>
        <w:tabs>
          <w:tab w:leader="none" w:pos="4760" w:val="left"/>
          <w:tab w:leader="none" w:pos="74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080"/>
          </w:cols>
          <w:pgMar w:left="320" w:top="368" w:right="49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auto"/>
        </w:rPr>
        <w:t>Page 17</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GP HOLDINGS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1517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CONDENSED CONSOLIDATING STATEMENTS OF OPERATIONS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per share data)</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95"/>
              </w:rPr>
              <w:t>Three Months Ended</w:t>
            </w: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95"/>
              </w:rPr>
              <w:t>Three Months Ended</w:t>
            </w: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3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w w:val="91"/>
              </w:rPr>
              <w:t>September 30, 2023</w:t>
            </w: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4"/>
                <w:szCs w:val="14"/>
                <w:b w:val="1"/>
                <w:bCs w:val="1"/>
                <w:color w:val="auto"/>
                <w:w w:val="91"/>
              </w:rPr>
              <w:t>September 30, 2022</w:t>
            </w:r>
          </w:p>
        </w:tc>
        <w:tc>
          <w:tcPr>
            <w:tcW w:w="2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3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Consolidating</w:t>
            </w: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Consolidating</w:t>
            </w: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3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gridSpan w:val="3"/>
          </w:tcPr>
          <w:p>
            <w:pPr>
              <w:ind w:left="180"/>
              <w:spacing w:after="0"/>
              <w:rPr>
                <w:sz w:val="20"/>
                <w:szCs w:val="20"/>
                <w:color w:val="auto"/>
              </w:rPr>
            </w:pPr>
            <w:r>
              <w:rPr>
                <w:rFonts w:ascii="Arial" w:cs="Arial" w:eastAsia="Arial" w:hAnsi="Arial"/>
                <w:sz w:val="14"/>
                <w:szCs w:val="14"/>
                <w:b w:val="1"/>
                <w:bCs w:val="1"/>
                <w:color w:val="auto"/>
              </w:rPr>
              <w:t>PAA</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 xml:space="preserve">Adjustments </w:t>
            </w:r>
            <w:r>
              <w:rPr>
                <w:rFonts w:ascii="Arial" w:cs="Arial" w:eastAsia="Arial" w:hAnsi="Arial"/>
                <w:sz w:val="18"/>
                <w:szCs w:val="18"/>
                <w:b w:val="1"/>
                <w:bCs w:val="1"/>
                <w:color w:val="auto"/>
                <w:w w:val="90"/>
                <w:vertAlign w:val="superscript"/>
              </w:rPr>
              <w:t>(1)</w:t>
            </w:r>
          </w:p>
        </w:tc>
        <w:tc>
          <w:tcPr>
            <w:tcW w:w="260" w:type="dxa"/>
            <w:vAlign w:val="bottom"/>
          </w:tcPr>
          <w:p>
            <w:pPr>
              <w:spacing w:after="0"/>
              <w:rPr>
                <w:sz w:val="19"/>
                <w:szCs w:val="19"/>
                <w:color w:val="auto"/>
              </w:rPr>
            </w:pPr>
          </w:p>
        </w:tc>
        <w:tc>
          <w:tcPr>
            <w:tcW w:w="920" w:type="dxa"/>
            <w:vAlign w:val="bottom"/>
          </w:tcPr>
          <w:p>
            <w:pPr>
              <w:jc w:val="right"/>
              <w:ind w:right="311"/>
              <w:spacing w:after="0"/>
              <w:rPr>
                <w:sz w:val="20"/>
                <w:szCs w:val="20"/>
                <w:color w:val="auto"/>
              </w:rPr>
            </w:pPr>
            <w:r>
              <w:rPr>
                <w:rFonts w:ascii="Arial" w:cs="Arial" w:eastAsia="Arial" w:hAnsi="Arial"/>
                <w:sz w:val="14"/>
                <w:szCs w:val="14"/>
                <w:b w:val="1"/>
                <w:bCs w:val="1"/>
                <w:color w:val="auto"/>
              </w:rPr>
              <w:t>PAGP</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ind w:right="371"/>
              <w:spacing w:after="0"/>
              <w:rPr>
                <w:sz w:val="20"/>
                <w:szCs w:val="20"/>
                <w:color w:val="auto"/>
              </w:rPr>
            </w:pPr>
            <w:r>
              <w:rPr>
                <w:rFonts w:ascii="Arial" w:cs="Arial" w:eastAsia="Arial" w:hAnsi="Arial"/>
                <w:sz w:val="14"/>
                <w:szCs w:val="14"/>
                <w:b w:val="1"/>
                <w:bCs w:val="1"/>
                <w:color w:val="auto"/>
              </w:rPr>
              <w:t>PAA</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 xml:space="preserve">Adjustments </w:t>
            </w:r>
            <w:r>
              <w:rPr>
                <w:rFonts w:ascii="Arial" w:cs="Arial" w:eastAsia="Arial" w:hAnsi="Arial"/>
                <w:sz w:val="18"/>
                <w:szCs w:val="18"/>
                <w:b w:val="1"/>
                <w:bCs w:val="1"/>
                <w:color w:val="auto"/>
                <w:w w:val="88"/>
                <w:vertAlign w:val="superscript"/>
              </w:rPr>
              <w:t>(1)</w:t>
            </w:r>
          </w:p>
        </w:tc>
        <w:tc>
          <w:tcPr>
            <w:tcW w:w="240" w:type="dxa"/>
            <w:vAlign w:val="bottom"/>
          </w:tcPr>
          <w:p>
            <w:pPr>
              <w:spacing w:after="0"/>
              <w:rPr>
                <w:sz w:val="19"/>
                <w:szCs w:val="19"/>
                <w:color w:val="auto"/>
              </w:rPr>
            </w:pPr>
          </w:p>
        </w:tc>
        <w:tc>
          <w:tcPr>
            <w:tcW w:w="940" w:type="dxa"/>
            <w:vAlign w:val="bottom"/>
          </w:tcPr>
          <w:p>
            <w:pPr>
              <w:jc w:val="right"/>
              <w:ind w:right="311"/>
              <w:spacing w:after="0"/>
              <w:rPr>
                <w:sz w:val="20"/>
                <w:szCs w:val="20"/>
                <w:color w:val="auto"/>
              </w:rPr>
            </w:pPr>
            <w:r>
              <w:rPr>
                <w:rFonts w:ascii="Arial" w:cs="Arial" w:eastAsia="Arial" w:hAnsi="Arial"/>
                <w:sz w:val="14"/>
                <w:szCs w:val="14"/>
                <w:b w:val="1"/>
                <w:bCs w:val="1"/>
                <w:color w:val="auto"/>
              </w:rPr>
              <w:t>PAGP</w:t>
            </w:r>
          </w:p>
        </w:tc>
        <w:tc>
          <w:tcPr>
            <w:tcW w:w="0" w:type="dxa"/>
            <w:vAlign w:val="bottom"/>
          </w:tcPr>
          <w:p>
            <w:pPr>
              <w:spacing w:after="0"/>
              <w:rPr>
                <w:sz w:val="1"/>
                <w:szCs w:val="1"/>
                <w:color w:val="auto"/>
              </w:rPr>
            </w:pPr>
          </w:p>
        </w:tc>
      </w:tr>
      <w:tr>
        <w:trPr>
          <w:trHeight w:val="223"/>
        </w:trPr>
        <w:tc>
          <w:tcPr>
            <w:tcW w:w="3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12,071</w:t>
            </w:r>
          </w:p>
        </w:tc>
        <w:tc>
          <w:tcPr>
            <w:tcW w:w="6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12,071</w:t>
            </w:r>
          </w:p>
        </w:tc>
        <w:tc>
          <w:tcPr>
            <w:tcW w:w="140" w:type="dxa"/>
            <w:vAlign w:val="bottom"/>
            <w:tcBorders>
              <w:top w:val="single" w:sz="8" w:color="CCEEFF"/>
              <w:right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14,336</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14,336</w:t>
            </w:r>
          </w:p>
        </w:tc>
        <w:tc>
          <w:tcPr>
            <w:tcW w:w="0" w:type="dxa"/>
            <w:vAlign w:val="bottom"/>
          </w:tcPr>
          <w:p>
            <w:pPr>
              <w:spacing w:after="0"/>
              <w:rPr>
                <w:sz w:val="1"/>
                <w:szCs w:val="1"/>
                <w:color w:val="auto"/>
              </w:rPr>
            </w:pPr>
          </w:p>
        </w:tc>
      </w:tr>
      <w:tr>
        <w:trPr>
          <w:trHeight w:val="216"/>
        </w:trPr>
        <w:tc>
          <w:tcPr>
            <w:tcW w:w="3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3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COSTS AND EXPENSES</w:t>
            </w:r>
          </w:p>
        </w:tc>
        <w:tc>
          <w:tcPr>
            <w:tcW w:w="2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60" w:type="dxa"/>
            <w:vAlign w:val="bottom"/>
          </w:tcPr>
          <w:p>
            <w:pPr>
              <w:ind w:left="20"/>
              <w:spacing w:after="0"/>
              <w:rPr>
                <w:sz w:val="20"/>
                <w:szCs w:val="20"/>
                <w:color w:val="auto"/>
              </w:rPr>
            </w:pPr>
            <w:r>
              <w:rPr>
                <w:rFonts w:ascii="Arial" w:cs="Arial" w:eastAsia="Arial" w:hAnsi="Arial"/>
                <w:sz w:val="18"/>
                <w:szCs w:val="18"/>
                <w:color w:val="auto"/>
              </w:rPr>
              <w:t>Purchases and related costs</w:t>
            </w:r>
          </w:p>
        </w:tc>
        <w:tc>
          <w:tcPr>
            <w:tcW w:w="28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11,106</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11,106</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13,071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13,071</w:t>
            </w:r>
          </w:p>
        </w:tc>
        <w:tc>
          <w:tcPr>
            <w:tcW w:w="0" w:type="dxa"/>
            <w:vAlign w:val="bottom"/>
          </w:tcPr>
          <w:p>
            <w:pPr>
              <w:spacing w:after="0"/>
              <w:rPr>
                <w:sz w:val="1"/>
                <w:szCs w:val="1"/>
                <w:color w:val="auto"/>
              </w:rPr>
            </w:pPr>
          </w:p>
        </w:tc>
      </w:tr>
      <w:tr>
        <w:trPr>
          <w:trHeight w:val="230"/>
        </w:trPr>
        <w:tc>
          <w:tcPr>
            <w:tcW w:w="3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Field operating costs</w:t>
            </w:r>
          </w:p>
        </w:tc>
        <w:tc>
          <w:tcPr>
            <w:tcW w:w="2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372</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w:t>
            </w:r>
          </w:p>
        </w:tc>
        <w:tc>
          <w:tcPr>
            <w:tcW w:w="0" w:type="dxa"/>
            <w:vAlign w:val="bottom"/>
          </w:tcPr>
          <w:p>
            <w:pPr>
              <w:spacing w:after="0"/>
              <w:rPr>
                <w:sz w:val="1"/>
                <w:szCs w:val="1"/>
                <w:color w:val="auto"/>
              </w:rPr>
            </w:pPr>
          </w:p>
        </w:tc>
      </w:tr>
      <w:tr>
        <w:trPr>
          <w:trHeight w:val="229"/>
        </w:trPr>
        <w:tc>
          <w:tcPr>
            <w:tcW w:w="3360" w:type="dxa"/>
            <w:vAlign w:val="bottom"/>
          </w:tcPr>
          <w:p>
            <w:pPr>
              <w:ind w:left="20"/>
              <w:spacing w:after="0"/>
              <w:rPr>
                <w:sz w:val="20"/>
                <w:szCs w:val="20"/>
                <w:color w:val="auto"/>
              </w:rPr>
            </w:pPr>
            <w:r>
              <w:rPr>
                <w:rFonts w:ascii="Arial" w:cs="Arial" w:eastAsia="Arial" w:hAnsi="Arial"/>
                <w:sz w:val="18"/>
                <w:szCs w:val="18"/>
                <w:color w:val="auto"/>
              </w:rPr>
              <w:t>General and administrative expenses</w:t>
            </w:r>
          </w:p>
        </w:tc>
        <w:tc>
          <w:tcPr>
            <w:tcW w:w="28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92</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93</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30"/>
        </w:trPr>
        <w:tc>
          <w:tcPr>
            <w:tcW w:w="3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2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175"/>
        </w:trPr>
        <w:tc>
          <w:tcPr>
            <w:tcW w:w="3360" w:type="dxa"/>
            <w:vAlign w:val="bottom"/>
          </w:tcPr>
          <w:p>
            <w:pPr>
              <w:ind w:left="20"/>
              <w:spacing w:after="0" w:line="176" w:lineRule="exact"/>
              <w:rPr>
                <w:sz w:val="20"/>
                <w:szCs w:val="20"/>
                <w:color w:val="auto"/>
              </w:rPr>
            </w:pPr>
            <w:r>
              <w:rPr>
                <w:rFonts w:ascii="Arial" w:cs="Arial" w:eastAsia="Arial" w:hAnsi="Arial"/>
                <w:sz w:val="18"/>
                <w:szCs w:val="18"/>
                <w:color w:val="auto"/>
              </w:rPr>
              <w:t>(Gains)/losses on asset sales and asset</w:t>
            </w: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360" w:type="dxa"/>
            <w:vAlign w:val="bottom"/>
          </w:tcPr>
          <w:p>
            <w:pPr>
              <w:ind w:left="180"/>
              <w:spacing w:after="0"/>
              <w:rPr>
                <w:sz w:val="20"/>
                <w:szCs w:val="20"/>
                <w:color w:val="auto"/>
              </w:rPr>
            </w:pPr>
            <w:r>
              <w:rPr>
                <w:rFonts w:ascii="Arial" w:cs="Arial" w:eastAsia="Arial" w:hAnsi="Arial"/>
                <w:sz w:val="18"/>
                <w:szCs w:val="18"/>
                <w:color w:val="auto"/>
              </w:rPr>
              <w:t>impairments, net</w:t>
            </w:r>
          </w:p>
        </w:tc>
        <w:tc>
          <w:tcPr>
            <w:tcW w:w="280" w:type="dxa"/>
            <w:vAlign w:val="bottom"/>
          </w:tcPr>
          <w:p>
            <w:pPr>
              <w:spacing w:after="0"/>
              <w:rPr>
                <w:sz w:val="21"/>
                <w:szCs w:val="21"/>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w:t>
            </w:r>
          </w:p>
        </w:tc>
        <w:tc>
          <w:tcPr>
            <w:tcW w:w="14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36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costs and expenses</w:t>
            </w:r>
          </w:p>
        </w:tc>
        <w:tc>
          <w:tcPr>
            <w:tcW w:w="28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11,837</w:t>
            </w:r>
          </w:p>
        </w:tc>
        <w:tc>
          <w:tcPr>
            <w:tcW w:w="6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11,839</w:t>
            </w:r>
          </w:p>
        </w:tc>
        <w:tc>
          <w:tcPr>
            <w:tcW w:w="140" w:type="dxa"/>
            <w:vAlign w:val="bottom"/>
            <w:tcBorders>
              <w:top w:val="single" w:sz="8" w:color="CCEEFF"/>
              <w:right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13,710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13,712</w:t>
            </w:r>
          </w:p>
        </w:tc>
        <w:tc>
          <w:tcPr>
            <w:tcW w:w="0" w:type="dxa"/>
            <w:vAlign w:val="bottom"/>
          </w:tcPr>
          <w:p>
            <w:pPr>
              <w:spacing w:after="0"/>
              <w:rPr>
                <w:sz w:val="1"/>
                <w:szCs w:val="1"/>
                <w:color w:val="auto"/>
              </w:rPr>
            </w:pPr>
          </w:p>
        </w:tc>
      </w:tr>
      <w:tr>
        <w:trPr>
          <w:trHeight w:val="216"/>
        </w:trPr>
        <w:tc>
          <w:tcPr>
            <w:tcW w:w="3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3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INCOME</w:t>
            </w:r>
          </w:p>
        </w:tc>
        <w:tc>
          <w:tcPr>
            <w:tcW w:w="2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w:t>
            </w:r>
          </w:p>
        </w:tc>
        <w:tc>
          <w:tcPr>
            <w:tcW w:w="0" w:type="dxa"/>
            <w:vAlign w:val="bottom"/>
          </w:tcPr>
          <w:p>
            <w:pPr>
              <w:spacing w:after="0"/>
              <w:rPr>
                <w:sz w:val="1"/>
                <w:szCs w:val="1"/>
                <w:color w:val="auto"/>
              </w:rPr>
            </w:pPr>
          </w:p>
        </w:tc>
      </w:tr>
      <w:tr>
        <w:trPr>
          <w:trHeight w:val="216"/>
        </w:trPr>
        <w:tc>
          <w:tcPr>
            <w:tcW w:w="3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3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OTHER INCOME/(EXPENSE)</w:t>
            </w:r>
          </w:p>
        </w:tc>
        <w:tc>
          <w:tcPr>
            <w:tcW w:w="2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tcPr>
          <w:p>
            <w:pPr>
              <w:ind w:left="20"/>
              <w:spacing w:after="0"/>
              <w:rPr>
                <w:sz w:val="20"/>
                <w:szCs w:val="20"/>
                <w:color w:val="auto"/>
              </w:rPr>
            </w:pPr>
            <w:r>
              <w:rPr>
                <w:rFonts w:ascii="Arial" w:cs="Arial" w:eastAsia="Arial" w:hAnsi="Arial"/>
                <w:sz w:val="18"/>
                <w:szCs w:val="18"/>
                <w:color w:val="auto"/>
              </w:rPr>
              <w:t>Equity earnings in unconsolidated entities</w:t>
            </w:r>
          </w:p>
        </w:tc>
        <w:tc>
          <w:tcPr>
            <w:tcW w:w="28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99</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99</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29"/>
        </w:trPr>
        <w:tc>
          <w:tcPr>
            <w:tcW w:w="33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1"/>
              </w:rPr>
              <w:t>Gain on investment in unconsolidated entities</w:t>
            </w:r>
          </w:p>
        </w:tc>
        <w:tc>
          <w:tcPr>
            <w:tcW w:w="2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3360" w:type="dxa"/>
            <w:vAlign w:val="bottom"/>
          </w:tcPr>
          <w:p>
            <w:pPr>
              <w:ind w:left="20"/>
              <w:spacing w:after="0"/>
              <w:rPr>
                <w:sz w:val="20"/>
                <w:szCs w:val="20"/>
                <w:color w:val="auto"/>
              </w:rPr>
            </w:pPr>
            <w:r>
              <w:rPr>
                <w:rFonts w:ascii="Arial" w:cs="Arial" w:eastAsia="Arial" w:hAnsi="Arial"/>
                <w:sz w:val="18"/>
                <w:szCs w:val="18"/>
                <w:color w:val="auto"/>
              </w:rPr>
              <w:t>Interest expense, net</w:t>
            </w:r>
          </w:p>
        </w:tc>
        <w:tc>
          <w:tcPr>
            <w:tcW w:w="28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(97)</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(97)</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30"/>
        </w:trPr>
        <w:tc>
          <w:tcPr>
            <w:tcW w:w="3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income/(expense), net</w:t>
            </w:r>
          </w:p>
        </w:tc>
        <w:tc>
          <w:tcPr>
            <w:tcW w:w="2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196"/>
        </w:trPr>
        <w:tc>
          <w:tcPr>
            <w:tcW w:w="336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3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INCOME BEFORE TAX</w:t>
            </w:r>
          </w:p>
        </w:tc>
        <w:tc>
          <w:tcPr>
            <w:tcW w:w="2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w:t>
            </w:r>
          </w:p>
        </w:tc>
        <w:tc>
          <w:tcPr>
            <w:tcW w:w="0" w:type="dxa"/>
            <w:vAlign w:val="bottom"/>
          </w:tcPr>
          <w:p>
            <w:pPr>
              <w:spacing w:after="0"/>
              <w:rPr>
                <w:sz w:val="1"/>
                <w:szCs w:val="1"/>
                <w:color w:val="auto"/>
              </w:rPr>
            </w:pPr>
          </w:p>
        </w:tc>
      </w:tr>
      <w:tr>
        <w:trPr>
          <w:trHeight w:val="230"/>
        </w:trPr>
        <w:tc>
          <w:tcPr>
            <w:tcW w:w="3360" w:type="dxa"/>
            <w:vAlign w:val="bottom"/>
          </w:tcPr>
          <w:p>
            <w:pPr>
              <w:ind w:left="20"/>
              <w:spacing w:after="0"/>
              <w:rPr>
                <w:sz w:val="20"/>
                <w:szCs w:val="20"/>
                <w:color w:val="auto"/>
              </w:rPr>
            </w:pPr>
            <w:r>
              <w:rPr>
                <w:rFonts w:ascii="Arial" w:cs="Arial" w:eastAsia="Arial" w:hAnsi="Arial"/>
                <w:sz w:val="18"/>
                <w:szCs w:val="18"/>
                <w:color w:val="auto"/>
              </w:rPr>
              <w:t>Current income tax expense</w:t>
            </w:r>
          </w:p>
        </w:tc>
        <w:tc>
          <w:tcPr>
            <w:tcW w:w="28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(22)</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30"/>
        </w:trPr>
        <w:tc>
          <w:tcPr>
            <w:tcW w:w="3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income tax (expense)/benefit</w:t>
            </w: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196"/>
        </w:trPr>
        <w:tc>
          <w:tcPr>
            <w:tcW w:w="3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3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2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w:t>
            </w:r>
          </w:p>
        </w:tc>
        <w:tc>
          <w:tcPr>
            <w:tcW w:w="0" w:type="dxa"/>
            <w:vAlign w:val="bottom"/>
          </w:tcPr>
          <w:p>
            <w:pPr>
              <w:spacing w:after="0"/>
              <w:rPr>
                <w:sz w:val="1"/>
                <w:szCs w:val="1"/>
                <w:color w:val="auto"/>
              </w:rPr>
            </w:pPr>
          </w:p>
        </w:tc>
      </w:tr>
      <w:tr>
        <w:trPr>
          <w:trHeight w:val="175"/>
        </w:trPr>
        <w:tc>
          <w:tcPr>
            <w:tcW w:w="3360" w:type="dxa"/>
            <w:vAlign w:val="bottom"/>
          </w:tcPr>
          <w:p>
            <w:pPr>
              <w:ind w:left="180"/>
              <w:spacing w:after="0" w:line="176" w:lineRule="exact"/>
              <w:rPr>
                <w:sz w:val="20"/>
                <w:szCs w:val="20"/>
                <w:color w:val="auto"/>
              </w:rPr>
            </w:pPr>
            <w:r>
              <w:rPr>
                <w:rFonts w:ascii="Arial" w:cs="Arial" w:eastAsia="Arial" w:hAnsi="Arial"/>
                <w:sz w:val="18"/>
                <w:szCs w:val="18"/>
                <w:color w:val="auto"/>
                <w:w w:val="98"/>
              </w:rPr>
              <w:t>Net income attributable to noncontrolling</w:t>
            </w: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3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interests</w:t>
            </w:r>
          </w:p>
        </w:tc>
        <w:tc>
          <w:tcPr>
            <w:tcW w:w="2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(76)</w:t>
            </w:r>
          </w:p>
        </w:tc>
        <w:tc>
          <w:tcPr>
            <w:tcW w:w="6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w:t>
            </w:r>
          </w:p>
        </w:tc>
        <w:tc>
          <w:tcPr>
            <w:tcW w:w="140" w:type="dxa"/>
            <w:vAlign w:val="bottom"/>
            <w:tcBorders>
              <w:bottom w:val="single" w:sz="8" w:color="CCEEFF"/>
              <w:right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(349)</w:t>
            </w:r>
          </w:p>
        </w:tc>
        <w:tc>
          <w:tcPr>
            <w:tcW w:w="0" w:type="dxa"/>
            <w:vAlign w:val="bottom"/>
          </w:tcPr>
          <w:p>
            <w:pPr>
              <w:spacing w:after="0"/>
              <w:rPr>
                <w:sz w:val="1"/>
                <w:szCs w:val="1"/>
                <w:color w:val="auto"/>
              </w:rPr>
            </w:pPr>
          </w:p>
        </w:tc>
      </w:tr>
      <w:tr>
        <w:trPr>
          <w:trHeight w:val="155"/>
        </w:trPr>
        <w:tc>
          <w:tcPr>
            <w:tcW w:w="336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b w:val="1"/>
                <w:bCs w:val="1"/>
                <w:color w:val="auto"/>
              </w:rPr>
              <w:t>NET INCOME ATTRIBUTABLE TO</w:t>
            </w:r>
          </w:p>
        </w:tc>
        <w:tc>
          <w:tcPr>
            <w:tcW w:w="28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60" w:type="dxa"/>
            <w:vAlign w:val="bottom"/>
            <w:shd w:val="clear" w:color="auto" w:fill="CCEEFF"/>
          </w:tcPr>
          <w:p>
            <w:pPr>
              <w:spacing w:after="0"/>
              <w:rPr>
                <w:sz w:val="13"/>
                <w:szCs w:val="13"/>
                <w:color w:val="auto"/>
              </w:rPr>
            </w:pPr>
          </w:p>
        </w:tc>
        <w:tc>
          <w:tcPr>
            <w:tcW w:w="60" w:type="dxa"/>
            <w:vAlign w:val="bottom"/>
            <w:vMerge w:val="restart"/>
            <w:shd w:val="clear" w:color="auto" w:fill="CCEEFF"/>
          </w:tcPr>
          <w:p>
            <w:pPr>
              <w:spacing w:after="0"/>
              <w:rPr>
                <w:sz w:val="13"/>
                <w:szCs w:val="13"/>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100" w:type="dxa"/>
            <w:vAlign w:val="bottom"/>
            <w:shd w:val="clear" w:color="auto" w:fill="CCEEFF"/>
          </w:tcPr>
          <w:p>
            <w:pPr>
              <w:spacing w:after="0"/>
              <w:rPr>
                <w:sz w:val="13"/>
                <w:szCs w:val="13"/>
                <w:color w:val="auto"/>
              </w:rPr>
            </w:pPr>
          </w:p>
        </w:tc>
        <w:tc>
          <w:tcPr>
            <w:tcW w:w="2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40" w:type="dxa"/>
            <w:vAlign w:val="bottom"/>
            <w:tcBorders>
              <w:right w:val="single" w:sz="8" w:color="auto"/>
            </w:tcBorders>
            <w:shd w:val="clear" w:color="auto" w:fill="CCEEFF"/>
          </w:tcPr>
          <w:p>
            <w:pPr>
              <w:spacing w:after="0"/>
              <w:rPr>
                <w:sz w:val="13"/>
                <w:szCs w:val="13"/>
                <w:color w:val="auto"/>
              </w:rPr>
            </w:pPr>
          </w:p>
        </w:tc>
        <w:tc>
          <w:tcPr>
            <w:tcW w:w="80" w:type="dxa"/>
            <w:vAlign w:val="bottom"/>
            <w:vMerge w:val="restart"/>
            <w:shd w:val="clear" w:color="auto" w:fill="CCEEFF"/>
          </w:tcPr>
          <w:p>
            <w:pPr>
              <w:spacing w:after="0"/>
              <w:rPr>
                <w:sz w:val="13"/>
                <w:szCs w:val="13"/>
                <w:color w:val="auto"/>
              </w:rPr>
            </w:pPr>
          </w:p>
        </w:tc>
        <w:tc>
          <w:tcPr>
            <w:tcW w:w="28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384</w:t>
            </w:r>
          </w:p>
        </w:tc>
        <w:tc>
          <w:tcPr>
            <w:tcW w:w="100" w:type="dxa"/>
            <w:vAlign w:val="bottom"/>
            <w:vMerge w:val="restart"/>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120" w:type="dxa"/>
            <w:vAlign w:val="bottom"/>
            <w:shd w:val="clear" w:color="auto" w:fill="CCEEFF"/>
          </w:tcPr>
          <w:p>
            <w:pPr>
              <w:spacing w:after="0"/>
              <w:rPr>
                <w:sz w:val="13"/>
                <w:szCs w:val="13"/>
                <w:color w:val="auto"/>
              </w:rPr>
            </w:pPr>
          </w:p>
        </w:tc>
        <w:tc>
          <w:tcPr>
            <w:tcW w:w="24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36"/>
        </w:trPr>
        <w:tc>
          <w:tcPr>
            <w:tcW w:w="3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PAGP</w:t>
            </w:r>
          </w:p>
        </w:tc>
        <w:tc>
          <w:tcPr>
            <w:tcW w:w="280" w:type="dxa"/>
            <w:vAlign w:val="bottom"/>
            <w:tcBorders>
              <w:bottom w:val="single" w:sz="8" w:color="auto"/>
            </w:tcBorders>
            <w:vMerge w:val="continue"/>
            <w:shd w:val="clear" w:color="auto" w:fill="CCEEFF"/>
          </w:tcPr>
          <w:p>
            <w:pPr>
              <w:spacing w:after="0"/>
              <w:rPr>
                <w:sz w:val="20"/>
                <w:szCs w:val="20"/>
                <w:color w:val="auto"/>
              </w:rPr>
            </w:pPr>
          </w:p>
        </w:tc>
        <w:tc>
          <w:tcPr>
            <w:tcW w:w="900" w:type="dxa"/>
            <w:vAlign w:val="bottom"/>
            <w:tcBorders>
              <w:bottom w:val="single" w:sz="8" w:color="auto"/>
            </w:tcBorders>
            <w:gridSpan w:val="2"/>
            <w:vMerge w:val="continue"/>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vMerge w:val="continue"/>
            <w:shd w:val="clear" w:color="auto" w:fill="CCEEFF"/>
          </w:tcPr>
          <w:p>
            <w:pPr>
              <w:spacing w:after="0"/>
              <w:rPr>
                <w:sz w:val="20"/>
                <w:szCs w:val="20"/>
                <w:color w:val="auto"/>
              </w:rPr>
            </w:pPr>
          </w:p>
        </w:tc>
        <w:tc>
          <w:tcPr>
            <w:tcW w:w="120" w:type="dxa"/>
            <w:vAlign w:val="bottom"/>
            <w:tcBorders>
              <w:bottom w:val="single" w:sz="8" w:color="auto"/>
            </w:tcBorders>
            <w:vMerge w:val="continue"/>
            <w:shd w:val="clear" w:color="auto" w:fill="CCEEFF"/>
          </w:tcPr>
          <w:p>
            <w:pPr>
              <w:spacing w:after="0"/>
              <w:rPr>
                <w:sz w:val="20"/>
                <w:szCs w:val="20"/>
                <w:color w:val="auto"/>
              </w:rPr>
            </w:pPr>
          </w:p>
        </w:tc>
        <w:tc>
          <w:tcPr>
            <w:tcW w:w="11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vMerge w:val="continue"/>
            <w:shd w:val="clear" w:color="auto" w:fill="CCEEFF"/>
          </w:tcPr>
          <w:p>
            <w:pPr>
              <w:spacing w:after="0"/>
              <w:rPr>
                <w:sz w:val="20"/>
                <w:szCs w:val="20"/>
                <w:color w:val="auto"/>
              </w:rPr>
            </w:pPr>
          </w:p>
        </w:tc>
        <w:tc>
          <w:tcPr>
            <w:tcW w:w="920" w:type="dxa"/>
            <w:vAlign w:val="bottom"/>
            <w:tcBorders>
              <w:bottom w:val="single" w:sz="8" w:color="auto"/>
            </w:tcBorders>
            <w:vMerge w:val="continue"/>
            <w:shd w:val="clear" w:color="auto" w:fill="CCEEFF"/>
          </w:tcPr>
          <w:p>
            <w:pPr>
              <w:spacing w:after="0"/>
              <w:rPr>
                <w:sz w:val="20"/>
                <w:szCs w:val="20"/>
                <w:color w:val="auto"/>
              </w:rPr>
            </w:pPr>
          </w:p>
        </w:tc>
        <w:tc>
          <w:tcPr>
            <w:tcW w:w="140" w:type="dxa"/>
            <w:vAlign w:val="bottom"/>
            <w:tcBorders>
              <w:bottom w:val="single" w:sz="8" w:color="CCEEFF"/>
              <w:right w:val="single" w:sz="8" w:color="auto"/>
            </w:tcBorders>
            <w:shd w:val="clear" w:color="auto" w:fill="CCEEFF"/>
          </w:tcPr>
          <w:p>
            <w:pPr>
              <w:spacing w:after="0"/>
              <w:rPr>
                <w:sz w:val="20"/>
                <w:szCs w:val="20"/>
                <w:color w:val="auto"/>
              </w:rPr>
            </w:pPr>
          </w:p>
        </w:tc>
        <w:tc>
          <w:tcPr>
            <w:tcW w:w="80" w:type="dxa"/>
            <w:vAlign w:val="bottom"/>
            <w:tcBorders>
              <w:bottom w:val="single" w:sz="8" w:color="CCEEFF"/>
            </w:tcBorders>
            <w:vMerge w:val="continue"/>
            <w:shd w:val="clear" w:color="auto" w:fill="CCEEFF"/>
          </w:tcPr>
          <w:p>
            <w:pPr>
              <w:spacing w:after="0"/>
              <w:rPr>
                <w:sz w:val="20"/>
                <w:szCs w:val="20"/>
                <w:color w:val="auto"/>
              </w:rPr>
            </w:pPr>
          </w:p>
        </w:tc>
        <w:tc>
          <w:tcPr>
            <w:tcW w:w="280" w:type="dxa"/>
            <w:vAlign w:val="bottom"/>
            <w:tcBorders>
              <w:bottom w:val="single" w:sz="8" w:color="auto"/>
            </w:tcBorders>
            <w:vMerge w:val="continue"/>
            <w:shd w:val="clear" w:color="auto" w:fill="CCEEFF"/>
          </w:tcPr>
          <w:p>
            <w:pPr>
              <w:spacing w:after="0"/>
              <w:rPr>
                <w:sz w:val="20"/>
                <w:szCs w:val="20"/>
                <w:color w:val="auto"/>
              </w:rPr>
            </w:pPr>
          </w:p>
        </w:tc>
        <w:tc>
          <w:tcPr>
            <w:tcW w:w="9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vMerge w:val="continue"/>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110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vMerge w:val="continue"/>
            <w:shd w:val="clear" w:color="auto" w:fill="CCEEFF"/>
          </w:tcPr>
          <w:p>
            <w:pPr>
              <w:spacing w:after="0"/>
              <w:rPr>
                <w:sz w:val="20"/>
                <w:szCs w:val="20"/>
                <w:color w:val="auto"/>
              </w:rPr>
            </w:pPr>
          </w:p>
        </w:tc>
        <w:tc>
          <w:tcPr>
            <w:tcW w:w="94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88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336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4600" w:type="dxa"/>
            <w:vAlign w:val="bottom"/>
            <w:gridSpan w:val="5"/>
            <w:shd w:val="clear" w:color="auto" w:fill="CCEEFF"/>
          </w:tcPr>
          <w:p>
            <w:pPr>
              <w:ind w:left="20"/>
              <w:spacing w:after="0"/>
              <w:rPr>
                <w:sz w:val="20"/>
                <w:szCs w:val="20"/>
                <w:color w:val="auto"/>
              </w:rPr>
            </w:pPr>
            <w:r>
              <w:rPr>
                <w:rFonts w:ascii="Arial" w:cs="Arial" w:eastAsia="Arial" w:hAnsi="Arial"/>
                <w:sz w:val="18"/>
                <w:szCs w:val="18"/>
                <w:color w:val="auto"/>
                <w:w w:val="89"/>
              </w:rPr>
              <w:t>Basic and diluted weighted average Class A shares outstanding</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16"/>
        </w:trPr>
        <w:tc>
          <w:tcPr>
            <w:tcW w:w="364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36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w w:val="95"/>
              </w:rPr>
              <w:t>Basic and diluted net income per Class A share</w:t>
            </w:r>
          </w:p>
        </w:tc>
        <w:tc>
          <w:tcPr>
            <w:tcW w:w="2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0.36</w:t>
            </w:r>
          </w:p>
        </w:tc>
        <w:tc>
          <w:tcPr>
            <w:tcW w:w="0" w:type="dxa"/>
            <w:vAlign w:val="bottom"/>
          </w:tcPr>
          <w:p>
            <w:pPr>
              <w:spacing w:after="0"/>
              <w:rPr>
                <w:sz w:val="1"/>
                <w:szCs w:val="1"/>
                <w:color w:val="auto"/>
              </w:rPr>
            </w:pPr>
          </w:p>
        </w:tc>
      </w:tr>
      <w:tr>
        <w:trPr>
          <w:trHeight w:val="20"/>
        </w:trPr>
        <w:tc>
          <w:tcPr>
            <w:tcW w:w="33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336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9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320" w:hanging="312"/>
        <w:spacing w:after="0"/>
        <w:tabs>
          <w:tab w:leader="none" w:pos="320" w:val="left"/>
        </w:tabs>
        <w:numPr>
          <w:ilvl w:val="0"/>
          <w:numId w:val="21"/>
        </w:numPr>
        <w:rPr>
          <w:rFonts w:ascii="Arial" w:cs="Arial" w:eastAsia="Arial" w:hAnsi="Arial"/>
          <w:sz w:val="23"/>
          <w:szCs w:val="23"/>
          <w:color w:val="auto"/>
          <w:vertAlign w:val="superscript"/>
        </w:rPr>
      </w:pPr>
      <w:r>
        <w:rPr>
          <w:rFonts w:ascii="Arial" w:cs="Arial" w:eastAsia="Arial" w:hAnsi="Arial"/>
          <w:sz w:val="18"/>
          <w:szCs w:val="18"/>
          <w:color w:val="auto"/>
        </w:rPr>
        <w:t>Represents the aggregate consolidating adjustments necessary to produce consolidated financial statements for PAGP.</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100330</wp:posOffset>
            </wp:positionV>
            <wp:extent cx="711517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55" w:lineRule="exact"/>
        <w:rPr>
          <w:sz w:val="20"/>
          <w:szCs w:val="20"/>
          <w:color w:val="auto"/>
        </w:rPr>
      </w:pPr>
    </w:p>
    <w:p>
      <w:pPr>
        <w:ind w:left="1660"/>
        <w:spacing w:after="0"/>
        <w:tabs>
          <w:tab w:leader="none" w:pos="4760" w:val="left"/>
          <w:tab w:leader="none" w:pos="74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240"/>
          </w:cols>
          <w:pgMar w:left="320" w:top="368"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auto"/>
        </w:rPr>
        <w:t>Page 18</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GP HOLDINGS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1517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CONDENSED CONSOLIDATING STATEMENTS OF OPERATIONS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per share data)</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3"/>
          </w:tcPr>
          <w:p>
            <w:pPr>
              <w:spacing w:after="0"/>
              <w:rPr>
                <w:sz w:val="20"/>
                <w:szCs w:val="20"/>
                <w:color w:val="auto"/>
              </w:rPr>
            </w:pPr>
            <w:r>
              <w:rPr>
                <w:rFonts w:ascii="Arial" w:cs="Arial" w:eastAsia="Arial" w:hAnsi="Arial"/>
                <w:sz w:val="14"/>
                <w:szCs w:val="14"/>
                <w:b w:val="1"/>
                <w:bCs w:val="1"/>
                <w:color w:val="auto"/>
              </w:rPr>
              <w:t>Nine Months Ended</w:t>
            </w: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3"/>
          </w:tcPr>
          <w:p>
            <w:pPr>
              <w:spacing w:after="0"/>
              <w:rPr>
                <w:sz w:val="20"/>
                <w:szCs w:val="20"/>
                <w:color w:val="auto"/>
              </w:rPr>
            </w:pPr>
            <w:r>
              <w:rPr>
                <w:rFonts w:ascii="Arial" w:cs="Arial" w:eastAsia="Arial" w:hAnsi="Arial"/>
                <w:sz w:val="14"/>
                <w:szCs w:val="14"/>
                <w:b w:val="1"/>
                <w:bCs w:val="1"/>
                <w:color w:val="auto"/>
              </w:rPr>
              <w:t>Nine Months Ended</w:t>
            </w: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3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w w:val="99"/>
              </w:rPr>
              <w:t>September 30, 2023</w:t>
            </w: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September 30, 2022</w:t>
            </w:r>
          </w:p>
        </w:tc>
        <w:tc>
          <w:tcPr>
            <w:tcW w:w="2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3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Consolidating</w:t>
            </w: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Consolidating</w:t>
            </w: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3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gridSpan w:val="3"/>
          </w:tcPr>
          <w:p>
            <w:pPr>
              <w:ind w:left="180"/>
              <w:spacing w:after="0"/>
              <w:rPr>
                <w:sz w:val="20"/>
                <w:szCs w:val="20"/>
                <w:color w:val="auto"/>
              </w:rPr>
            </w:pPr>
            <w:r>
              <w:rPr>
                <w:rFonts w:ascii="Arial" w:cs="Arial" w:eastAsia="Arial" w:hAnsi="Arial"/>
                <w:sz w:val="14"/>
                <w:szCs w:val="14"/>
                <w:b w:val="1"/>
                <w:bCs w:val="1"/>
                <w:color w:val="auto"/>
              </w:rPr>
              <w:t>PAA</w:t>
            </w:r>
          </w:p>
        </w:tc>
        <w:tc>
          <w:tcPr>
            <w:tcW w:w="120" w:type="dxa"/>
            <w:vAlign w:val="bottom"/>
          </w:tcPr>
          <w:p>
            <w:pPr>
              <w:spacing w:after="0"/>
              <w:rPr>
                <w:sz w:val="19"/>
                <w:szCs w:val="19"/>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 xml:space="preserve">Adjustments </w:t>
            </w:r>
            <w:r>
              <w:rPr>
                <w:rFonts w:ascii="Arial" w:cs="Arial" w:eastAsia="Arial" w:hAnsi="Arial"/>
                <w:sz w:val="18"/>
                <w:szCs w:val="18"/>
                <w:b w:val="1"/>
                <w:bCs w:val="1"/>
                <w:color w:val="auto"/>
                <w:w w:val="90"/>
                <w:vertAlign w:val="superscript"/>
              </w:rPr>
              <w:t>(1)</w:t>
            </w:r>
          </w:p>
        </w:tc>
        <w:tc>
          <w:tcPr>
            <w:tcW w:w="260" w:type="dxa"/>
            <w:vAlign w:val="bottom"/>
          </w:tcPr>
          <w:p>
            <w:pPr>
              <w:spacing w:after="0"/>
              <w:rPr>
                <w:sz w:val="19"/>
                <w:szCs w:val="19"/>
                <w:color w:val="auto"/>
              </w:rPr>
            </w:pPr>
          </w:p>
        </w:tc>
        <w:tc>
          <w:tcPr>
            <w:tcW w:w="920" w:type="dxa"/>
            <w:vAlign w:val="bottom"/>
          </w:tcPr>
          <w:p>
            <w:pPr>
              <w:jc w:val="right"/>
              <w:ind w:right="311"/>
              <w:spacing w:after="0"/>
              <w:rPr>
                <w:sz w:val="20"/>
                <w:szCs w:val="20"/>
                <w:color w:val="auto"/>
              </w:rPr>
            </w:pPr>
            <w:r>
              <w:rPr>
                <w:rFonts w:ascii="Arial" w:cs="Arial" w:eastAsia="Arial" w:hAnsi="Arial"/>
                <w:sz w:val="14"/>
                <w:szCs w:val="14"/>
                <w:b w:val="1"/>
                <w:bCs w:val="1"/>
                <w:color w:val="auto"/>
              </w:rPr>
              <w:t>PAGP</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gridSpan w:val="2"/>
          </w:tcPr>
          <w:p>
            <w:pPr>
              <w:ind w:left="180"/>
              <w:spacing w:after="0"/>
              <w:rPr>
                <w:sz w:val="20"/>
                <w:szCs w:val="20"/>
                <w:color w:val="auto"/>
              </w:rPr>
            </w:pPr>
            <w:r>
              <w:rPr>
                <w:rFonts w:ascii="Arial" w:cs="Arial" w:eastAsia="Arial" w:hAnsi="Arial"/>
                <w:sz w:val="14"/>
                <w:szCs w:val="14"/>
                <w:b w:val="1"/>
                <w:bCs w:val="1"/>
                <w:color w:val="auto"/>
              </w:rPr>
              <w:t>PAA</w:t>
            </w:r>
          </w:p>
        </w:tc>
        <w:tc>
          <w:tcPr>
            <w:tcW w:w="140" w:type="dxa"/>
            <w:vAlign w:val="bottom"/>
          </w:tcPr>
          <w:p>
            <w:pPr>
              <w:spacing w:after="0"/>
              <w:rPr>
                <w:sz w:val="19"/>
                <w:szCs w:val="19"/>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 xml:space="preserve">Adjustments </w:t>
            </w:r>
            <w:r>
              <w:rPr>
                <w:rFonts w:ascii="Arial" w:cs="Arial" w:eastAsia="Arial" w:hAnsi="Arial"/>
                <w:sz w:val="18"/>
                <w:szCs w:val="18"/>
                <w:b w:val="1"/>
                <w:bCs w:val="1"/>
                <w:color w:val="auto"/>
                <w:w w:val="88"/>
                <w:vertAlign w:val="superscript"/>
              </w:rPr>
              <w:t>(1)</w:t>
            </w:r>
          </w:p>
        </w:tc>
        <w:tc>
          <w:tcPr>
            <w:tcW w:w="240" w:type="dxa"/>
            <w:vAlign w:val="bottom"/>
          </w:tcPr>
          <w:p>
            <w:pPr>
              <w:spacing w:after="0"/>
              <w:rPr>
                <w:sz w:val="19"/>
                <w:szCs w:val="19"/>
                <w:color w:val="auto"/>
              </w:rPr>
            </w:pPr>
          </w:p>
        </w:tc>
        <w:tc>
          <w:tcPr>
            <w:tcW w:w="940" w:type="dxa"/>
            <w:vAlign w:val="bottom"/>
          </w:tcPr>
          <w:p>
            <w:pPr>
              <w:jc w:val="right"/>
              <w:ind w:right="311"/>
              <w:spacing w:after="0"/>
              <w:rPr>
                <w:sz w:val="20"/>
                <w:szCs w:val="20"/>
                <w:color w:val="auto"/>
              </w:rPr>
            </w:pPr>
            <w:r>
              <w:rPr>
                <w:rFonts w:ascii="Arial" w:cs="Arial" w:eastAsia="Arial" w:hAnsi="Arial"/>
                <w:sz w:val="14"/>
                <w:szCs w:val="14"/>
                <w:b w:val="1"/>
                <w:bCs w:val="1"/>
                <w:color w:val="auto"/>
              </w:rPr>
              <w:t>PAGP</w:t>
            </w:r>
          </w:p>
        </w:tc>
        <w:tc>
          <w:tcPr>
            <w:tcW w:w="0" w:type="dxa"/>
            <w:vAlign w:val="bottom"/>
          </w:tcPr>
          <w:p>
            <w:pPr>
              <w:spacing w:after="0"/>
              <w:rPr>
                <w:sz w:val="1"/>
                <w:szCs w:val="1"/>
                <w:color w:val="auto"/>
              </w:rPr>
            </w:pPr>
          </w:p>
        </w:tc>
      </w:tr>
      <w:tr>
        <w:trPr>
          <w:trHeight w:val="223"/>
        </w:trPr>
        <w:tc>
          <w:tcPr>
            <w:tcW w:w="3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36,014</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36,014</w:t>
            </w:r>
          </w:p>
        </w:tc>
        <w:tc>
          <w:tcPr>
            <w:tcW w:w="140" w:type="dxa"/>
            <w:vAlign w:val="bottom"/>
            <w:tcBorders>
              <w:top w:val="single" w:sz="8" w:color="CCEEFF"/>
              <w:right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44,390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44,390</w:t>
            </w:r>
          </w:p>
        </w:tc>
        <w:tc>
          <w:tcPr>
            <w:tcW w:w="0" w:type="dxa"/>
            <w:vAlign w:val="bottom"/>
          </w:tcPr>
          <w:p>
            <w:pPr>
              <w:spacing w:after="0"/>
              <w:rPr>
                <w:sz w:val="1"/>
                <w:szCs w:val="1"/>
                <w:color w:val="auto"/>
              </w:rPr>
            </w:pPr>
          </w:p>
        </w:tc>
      </w:tr>
      <w:tr>
        <w:trPr>
          <w:trHeight w:val="216"/>
        </w:trPr>
        <w:tc>
          <w:tcPr>
            <w:tcW w:w="3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3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COSTS AND EXPENSES</w:t>
            </w:r>
          </w:p>
        </w:tc>
        <w:tc>
          <w:tcPr>
            <w:tcW w:w="2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60" w:type="dxa"/>
            <w:vAlign w:val="bottom"/>
          </w:tcPr>
          <w:p>
            <w:pPr>
              <w:ind w:left="20"/>
              <w:spacing w:after="0"/>
              <w:rPr>
                <w:sz w:val="20"/>
                <w:szCs w:val="20"/>
                <w:color w:val="auto"/>
              </w:rPr>
            </w:pPr>
            <w:r>
              <w:rPr>
                <w:rFonts w:ascii="Arial" w:cs="Arial" w:eastAsia="Arial" w:hAnsi="Arial"/>
                <w:sz w:val="18"/>
                <w:szCs w:val="18"/>
                <w:color w:val="auto"/>
              </w:rPr>
              <w:t>Purchases and related costs</w:t>
            </w:r>
          </w:p>
        </w:tc>
        <w:tc>
          <w:tcPr>
            <w:tcW w:w="28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32,972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32,972</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41,181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41,181</w:t>
            </w:r>
          </w:p>
        </w:tc>
        <w:tc>
          <w:tcPr>
            <w:tcW w:w="0" w:type="dxa"/>
            <w:vAlign w:val="bottom"/>
          </w:tcPr>
          <w:p>
            <w:pPr>
              <w:spacing w:after="0"/>
              <w:rPr>
                <w:sz w:val="1"/>
                <w:szCs w:val="1"/>
                <w:color w:val="auto"/>
              </w:rPr>
            </w:pPr>
          </w:p>
        </w:tc>
      </w:tr>
      <w:tr>
        <w:trPr>
          <w:trHeight w:val="230"/>
        </w:trPr>
        <w:tc>
          <w:tcPr>
            <w:tcW w:w="3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Field operating costs</w:t>
            </w:r>
          </w:p>
        </w:tc>
        <w:tc>
          <w:tcPr>
            <w:tcW w:w="2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1,062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1,062</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971</w:t>
            </w:r>
          </w:p>
        </w:tc>
        <w:tc>
          <w:tcPr>
            <w:tcW w:w="0" w:type="dxa"/>
            <w:vAlign w:val="bottom"/>
          </w:tcPr>
          <w:p>
            <w:pPr>
              <w:spacing w:after="0"/>
              <w:rPr>
                <w:sz w:val="1"/>
                <w:szCs w:val="1"/>
                <w:color w:val="auto"/>
              </w:rPr>
            </w:pPr>
          </w:p>
        </w:tc>
      </w:tr>
      <w:tr>
        <w:trPr>
          <w:trHeight w:val="229"/>
        </w:trPr>
        <w:tc>
          <w:tcPr>
            <w:tcW w:w="3360" w:type="dxa"/>
            <w:vAlign w:val="bottom"/>
          </w:tcPr>
          <w:p>
            <w:pPr>
              <w:ind w:left="20"/>
              <w:spacing w:after="0"/>
              <w:rPr>
                <w:sz w:val="20"/>
                <w:szCs w:val="20"/>
                <w:color w:val="auto"/>
              </w:rPr>
            </w:pPr>
            <w:r>
              <w:rPr>
                <w:rFonts w:ascii="Arial" w:cs="Arial" w:eastAsia="Arial" w:hAnsi="Arial"/>
                <w:sz w:val="18"/>
                <w:szCs w:val="18"/>
                <w:color w:val="auto"/>
              </w:rPr>
              <w:t>General and administrative expenses</w:t>
            </w:r>
          </w:p>
        </w:tc>
        <w:tc>
          <w:tcPr>
            <w:tcW w:w="28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263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268</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29"/>
        </w:trPr>
        <w:tc>
          <w:tcPr>
            <w:tcW w:w="3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2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776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778</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713</w:t>
            </w:r>
          </w:p>
        </w:tc>
        <w:tc>
          <w:tcPr>
            <w:tcW w:w="0" w:type="dxa"/>
            <w:vAlign w:val="bottom"/>
          </w:tcPr>
          <w:p>
            <w:pPr>
              <w:spacing w:after="0"/>
              <w:rPr>
                <w:sz w:val="1"/>
                <w:szCs w:val="1"/>
                <w:color w:val="auto"/>
              </w:rPr>
            </w:pPr>
          </w:p>
        </w:tc>
      </w:tr>
      <w:tr>
        <w:trPr>
          <w:trHeight w:val="176"/>
        </w:trPr>
        <w:tc>
          <w:tcPr>
            <w:tcW w:w="3360" w:type="dxa"/>
            <w:vAlign w:val="bottom"/>
          </w:tcPr>
          <w:p>
            <w:pPr>
              <w:ind w:left="20"/>
              <w:spacing w:after="0" w:line="176" w:lineRule="exact"/>
              <w:rPr>
                <w:sz w:val="20"/>
                <w:szCs w:val="20"/>
                <w:color w:val="auto"/>
              </w:rPr>
            </w:pPr>
            <w:r>
              <w:rPr>
                <w:rFonts w:ascii="Arial" w:cs="Arial" w:eastAsia="Arial" w:hAnsi="Arial"/>
                <w:sz w:val="18"/>
                <w:szCs w:val="18"/>
                <w:color w:val="auto"/>
              </w:rPr>
              <w:t>(Gains)/losses on asset sales and asset</w:t>
            </w: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360" w:type="dxa"/>
            <w:vAlign w:val="bottom"/>
          </w:tcPr>
          <w:p>
            <w:pPr>
              <w:ind w:left="180"/>
              <w:spacing w:after="0"/>
              <w:rPr>
                <w:sz w:val="20"/>
                <w:szCs w:val="20"/>
                <w:color w:val="auto"/>
              </w:rPr>
            </w:pPr>
            <w:r>
              <w:rPr>
                <w:rFonts w:ascii="Arial" w:cs="Arial" w:eastAsia="Arial" w:hAnsi="Arial"/>
                <w:sz w:val="18"/>
                <w:szCs w:val="18"/>
                <w:color w:val="auto"/>
              </w:rPr>
              <w:t>impairments, net</w:t>
            </w:r>
          </w:p>
        </w:tc>
        <w:tc>
          <w:tcPr>
            <w:tcW w:w="280" w:type="dxa"/>
            <w:vAlign w:val="bottom"/>
          </w:tcPr>
          <w:p>
            <w:pPr>
              <w:spacing w:after="0"/>
              <w:rPr>
                <w:sz w:val="21"/>
                <w:szCs w:val="21"/>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(144)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(144)</w:t>
            </w:r>
          </w:p>
        </w:tc>
        <w:tc>
          <w:tcPr>
            <w:tcW w:w="14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23"/>
        </w:trPr>
        <w:tc>
          <w:tcPr>
            <w:tcW w:w="336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costs and expenses</w:t>
            </w:r>
          </w:p>
        </w:tc>
        <w:tc>
          <w:tcPr>
            <w:tcW w:w="28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34,929</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34,936</w:t>
            </w:r>
          </w:p>
        </w:tc>
        <w:tc>
          <w:tcPr>
            <w:tcW w:w="140" w:type="dxa"/>
            <w:vAlign w:val="bottom"/>
            <w:tcBorders>
              <w:top w:val="single" w:sz="8" w:color="CCEEFF"/>
              <w:right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43,060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43,066</w:t>
            </w:r>
          </w:p>
        </w:tc>
        <w:tc>
          <w:tcPr>
            <w:tcW w:w="0" w:type="dxa"/>
            <w:vAlign w:val="bottom"/>
          </w:tcPr>
          <w:p>
            <w:pPr>
              <w:spacing w:after="0"/>
              <w:rPr>
                <w:sz w:val="1"/>
                <w:szCs w:val="1"/>
                <w:color w:val="auto"/>
              </w:rPr>
            </w:pPr>
          </w:p>
        </w:tc>
      </w:tr>
      <w:tr>
        <w:trPr>
          <w:trHeight w:val="216"/>
        </w:trPr>
        <w:tc>
          <w:tcPr>
            <w:tcW w:w="3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3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INCOME</w:t>
            </w:r>
          </w:p>
        </w:tc>
        <w:tc>
          <w:tcPr>
            <w:tcW w:w="2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1,085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1,078</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1,324</w:t>
            </w:r>
          </w:p>
        </w:tc>
        <w:tc>
          <w:tcPr>
            <w:tcW w:w="0" w:type="dxa"/>
            <w:vAlign w:val="bottom"/>
          </w:tcPr>
          <w:p>
            <w:pPr>
              <w:spacing w:after="0"/>
              <w:rPr>
                <w:sz w:val="1"/>
                <w:szCs w:val="1"/>
                <w:color w:val="auto"/>
              </w:rPr>
            </w:pPr>
          </w:p>
        </w:tc>
      </w:tr>
      <w:tr>
        <w:trPr>
          <w:trHeight w:val="270"/>
        </w:trPr>
        <w:tc>
          <w:tcPr>
            <w:tcW w:w="33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40" w:type="dxa"/>
            <w:vAlign w:val="bottom"/>
            <w:tcBorders>
              <w:right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33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OTHER INCOME/(EXPENSE)</w:t>
            </w:r>
          </w:p>
        </w:tc>
        <w:tc>
          <w:tcPr>
            <w:tcW w:w="2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tcPr>
          <w:p>
            <w:pPr>
              <w:ind w:left="20"/>
              <w:spacing w:after="0"/>
              <w:rPr>
                <w:sz w:val="20"/>
                <w:szCs w:val="20"/>
                <w:color w:val="auto"/>
              </w:rPr>
            </w:pPr>
            <w:r>
              <w:rPr>
                <w:rFonts w:ascii="Arial" w:cs="Arial" w:eastAsia="Arial" w:hAnsi="Arial"/>
                <w:sz w:val="18"/>
                <w:szCs w:val="18"/>
                <w:color w:val="auto"/>
              </w:rPr>
              <w:t>Equity earnings in unconsolidated entities</w:t>
            </w:r>
          </w:p>
        </w:tc>
        <w:tc>
          <w:tcPr>
            <w:tcW w:w="28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277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277</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306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306</w:t>
            </w:r>
          </w:p>
        </w:tc>
        <w:tc>
          <w:tcPr>
            <w:tcW w:w="0" w:type="dxa"/>
            <w:vAlign w:val="bottom"/>
          </w:tcPr>
          <w:p>
            <w:pPr>
              <w:spacing w:after="0"/>
              <w:rPr>
                <w:sz w:val="1"/>
                <w:szCs w:val="1"/>
                <w:color w:val="auto"/>
              </w:rPr>
            </w:pPr>
          </w:p>
        </w:tc>
      </w:tr>
      <w:tr>
        <w:trPr>
          <w:trHeight w:val="230"/>
        </w:trPr>
        <w:tc>
          <w:tcPr>
            <w:tcW w:w="33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1"/>
              </w:rPr>
              <w:t>Gain on investment in unconsolidated entities</w:t>
            </w:r>
          </w:p>
        </w:tc>
        <w:tc>
          <w:tcPr>
            <w:tcW w:w="2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3360" w:type="dxa"/>
            <w:vAlign w:val="bottom"/>
          </w:tcPr>
          <w:p>
            <w:pPr>
              <w:ind w:left="20"/>
              <w:spacing w:after="0"/>
              <w:rPr>
                <w:sz w:val="20"/>
                <w:szCs w:val="20"/>
                <w:color w:val="auto"/>
              </w:rPr>
            </w:pPr>
            <w:r>
              <w:rPr>
                <w:rFonts w:ascii="Arial" w:cs="Arial" w:eastAsia="Arial" w:hAnsi="Arial"/>
                <w:sz w:val="18"/>
                <w:szCs w:val="18"/>
                <w:color w:val="auto"/>
              </w:rPr>
              <w:t>Interest expense, net</w:t>
            </w:r>
          </w:p>
        </w:tc>
        <w:tc>
          <w:tcPr>
            <w:tcW w:w="28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(290)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(290)</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(305)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(305)</w:t>
            </w:r>
          </w:p>
        </w:tc>
        <w:tc>
          <w:tcPr>
            <w:tcW w:w="0" w:type="dxa"/>
            <w:vAlign w:val="bottom"/>
          </w:tcPr>
          <w:p>
            <w:pPr>
              <w:spacing w:after="0"/>
              <w:rPr>
                <w:sz w:val="1"/>
                <w:szCs w:val="1"/>
                <w:color w:val="auto"/>
              </w:rPr>
            </w:pPr>
          </w:p>
        </w:tc>
      </w:tr>
      <w:tr>
        <w:trPr>
          <w:trHeight w:val="230"/>
        </w:trPr>
        <w:tc>
          <w:tcPr>
            <w:tcW w:w="3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income/(expense), net</w:t>
            </w:r>
          </w:p>
        </w:tc>
        <w:tc>
          <w:tcPr>
            <w:tcW w:w="2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r>
        <w:trPr>
          <w:trHeight w:val="196"/>
        </w:trPr>
        <w:tc>
          <w:tcPr>
            <w:tcW w:w="336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3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INCOME BEFORE TAX</w:t>
            </w:r>
          </w:p>
        </w:tc>
        <w:tc>
          <w:tcPr>
            <w:tcW w:w="2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1,185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1,178</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1,089</w:t>
            </w:r>
          </w:p>
        </w:tc>
        <w:tc>
          <w:tcPr>
            <w:tcW w:w="0" w:type="dxa"/>
            <w:vAlign w:val="bottom"/>
          </w:tcPr>
          <w:p>
            <w:pPr>
              <w:spacing w:after="0"/>
              <w:rPr>
                <w:sz w:val="1"/>
                <w:szCs w:val="1"/>
                <w:color w:val="auto"/>
              </w:rPr>
            </w:pPr>
          </w:p>
        </w:tc>
      </w:tr>
      <w:tr>
        <w:trPr>
          <w:trHeight w:val="230"/>
        </w:trPr>
        <w:tc>
          <w:tcPr>
            <w:tcW w:w="3360" w:type="dxa"/>
            <w:vAlign w:val="bottom"/>
          </w:tcPr>
          <w:p>
            <w:pPr>
              <w:ind w:left="20"/>
              <w:spacing w:after="0"/>
              <w:rPr>
                <w:sz w:val="20"/>
                <w:szCs w:val="20"/>
                <w:color w:val="auto"/>
              </w:rPr>
            </w:pPr>
            <w:r>
              <w:rPr>
                <w:rFonts w:ascii="Arial" w:cs="Arial" w:eastAsia="Arial" w:hAnsi="Arial"/>
                <w:sz w:val="18"/>
                <w:szCs w:val="18"/>
                <w:color w:val="auto"/>
              </w:rPr>
              <w:t>Current income tax expense</w:t>
            </w:r>
          </w:p>
        </w:tc>
        <w:tc>
          <w:tcPr>
            <w:tcW w:w="28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(104)</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30"/>
        </w:trPr>
        <w:tc>
          <w:tcPr>
            <w:tcW w:w="3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income tax (expense)/benefit</w:t>
            </w: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196"/>
        </w:trPr>
        <w:tc>
          <w:tcPr>
            <w:tcW w:w="3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3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2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1,103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1,044</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868</w:t>
            </w:r>
          </w:p>
        </w:tc>
        <w:tc>
          <w:tcPr>
            <w:tcW w:w="0" w:type="dxa"/>
            <w:vAlign w:val="bottom"/>
          </w:tcPr>
          <w:p>
            <w:pPr>
              <w:spacing w:after="0"/>
              <w:rPr>
                <w:sz w:val="1"/>
                <w:szCs w:val="1"/>
                <w:color w:val="auto"/>
              </w:rPr>
            </w:pPr>
          </w:p>
        </w:tc>
      </w:tr>
      <w:tr>
        <w:trPr>
          <w:trHeight w:val="175"/>
        </w:trPr>
        <w:tc>
          <w:tcPr>
            <w:tcW w:w="3360" w:type="dxa"/>
            <w:vAlign w:val="bottom"/>
          </w:tcPr>
          <w:p>
            <w:pPr>
              <w:ind w:left="180"/>
              <w:spacing w:after="0" w:line="176" w:lineRule="exact"/>
              <w:rPr>
                <w:sz w:val="20"/>
                <w:szCs w:val="20"/>
                <w:color w:val="auto"/>
              </w:rPr>
            </w:pPr>
            <w:r>
              <w:rPr>
                <w:rFonts w:ascii="Arial" w:cs="Arial" w:eastAsia="Arial" w:hAnsi="Arial"/>
                <w:sz w:val="18"/>
                <w:szCs w:val="18"/>
                <w:color w:val="auto"/>
                <w:w w:val="98"/>
              </w:rPr>
              <w:t>Net income attributable to noncontrolling</w:t>
            </w: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3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interests</w:t>
            </w:r>
          </w:p>
        </w:tc>
        <w:tc>
          <w:tcPr>
            <w:tcW w:w="2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(185)</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(713)</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(898)</w:t>
            </w:r>
          </w:p>
        </w:tc>
        <w:tc>
          <w:tcPr>
            <w:tcW w:w="140" w:type="dxa"/>
            <w:vAlign w:val="bottom"/>
            <w:tcBorders>
              <w:bottom w:val="single" w:sz="8" w:color="CCEEFF"/>
              <w:right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(600)</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(744)</w:t>
            </w:r>
          </w:p>
        </w:tc>
        <w:tc>
          <w:tcPr>
            <w:tcW w:w="0" w:type="dxa"/>
            <w:vAlign w:val="bottom"/>
          </w:tcPr>
          <w:p>
            <w:pPr>
              <w:spacing w:after="0"/>
              <w:rPr>
                <w:sz w:val="1"/>
                <w:szCs w:val="1"/>
                <w:color w:val="auto"/>
              </w:rPr>
            </w:pPr>
          </w:p>
        </w:tc>
      </w:tr>
      <w:tr>
        <w:trPr>
          <w:trHeight w:val="155"/>
        </w:trPr>
        <w:tc>
          <w:tcPr>
            <w:tcW w:w="336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b w:val="1"/>
                <w:bCs w:val="1"/>
                <w:color w:val="auto"/>
              </w:rPr>
              <w:t>NET INCOME ATTRIBUTABLE TO</w:t>
            </w:r>
          </w:p>
        </w:tc>
        <w:tc>
          <w:tcPr>
            <w:tcW w:w="28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918</w:t>
            </w:r>
          </w:p>
        </w:tc>
        <w:tc>
          <w:tcPr>
            <w:tcW w:w="120" w:type="dxa"/>
            <w:vAlign w:val="bottom"/>
            <w:shd w:val="clear" w:color="auto" w:fill="CCEEFF"/>
          </w:tcPr>
          <w:p>
            <w:pPr>
              <w:spacing w:after="0"/>
              <w:rPr>
                <w:sz w:val="13"/>
                <w:szCs w:val="13"/>
                <w:color w:val="auto"/>
              </w:rPr>
            </w:pPr>
          </w:p>
        </w:tc>
        <w:tc>
          <w:tcPr>
            <w:tcW w:w="12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(772)</w:t>
            </w:r>
          </w:p>
        </w:tc>
        <w:tc>
          <w:tcPr>
            <w:tcW w:w="100" w:type="dxa"/>
            <w:vAlign w:val="bottom"/>
            <w:shd w:val="clear" w:color="auto" w:fill="CCEEFF"/>
          </w:tcPr>
          <w:p>
            <w:pPr>
              <w:spacing w:after="0"/>
              <w:rPr>
                <w:sz w:val="13"/>
                <w:szCs w:val="13"/>
                <w:color w:val="auto"/>
              </w:rPr>
            </w:pPr>
          </w:p>
        </w:tc>
        <w:tc>
          <w:tcPr>
            <w:tcW w:w="2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140" w:type="dxa"/>
            <w:vAlign w:val="bottom"/>
            <w:tcBorders>
              <w:right w:val="single" w:sz="8" w:color="auto"/>
            </w:tcBorders>
            <w:shd w:val="clear" w:color="auto" w:fill="CCEEFF"/>
          </w:tcPr>
          <w:p>
            <w:pPr>
              <w:spacing w:after="0"/>
              <w:rPr>
                <w:sz w:val="13"/>
                <w:szCs w:val="13"/>
                <w:color w:val="auto"/>
              </w:rPr>
            </w:pPr>
          </w:p>
        </w:tc>
        <w:tc>
          <w:tcPr>
            <w:tcW w:w="80" w:type="dxa"/>
            <w:vAlign w:val="bottom"/>
            <w:vMerge w:val="restart"/>
            <w:shd w:val="clear" w:color="auto" w:fill="CCEEFF"/>
          </w:tcPr>
          <w:p>
            <w:pPr>
              <w:spacing w:after="0"/>
              <w:rPr>
                <w:sz w:val="13"/>
                <w:szCs w:val="13"/>
                <w:color w:val="auto"/>
              </w:rPr>
            </w:pPr>
          </w:p>
        </w:tc>
        <w:tc>
          <w:tcPr>
            <w:tcW w:w="28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774</w:t>
            </w:r>
          </w:p>
        </w:tc>
        <w:tc>
          <w:tcPr>
            <w:tcW w:w="10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(650)</w:t>
            </w:r>
          </w:p>
        </w:tc>
        <w:tc>
          <w:tcPr>
            <w:tcW w:w="120" w:type="dxa"/>
            <w:vAlign w:val="bottom"/>
            <w:shd w:val="clear" w:color="auto" w:fill="CCEEFF"/>
          </w:tcPr>
          <w:p>
            <w:pPr>
              <w:spacing w:after="0"/>
              <w:rPr>
                <w:sz w:val="13"/>
                <w:szCs w:val="13"/>
                <w:color w:val="auto"/>
              </w:rPr>
            </w:pPr>
          </w:p>
        </w:tc>
        <w:tc>
          <w:tcPr>
            <w:tcW w:w="24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36"/>
        </w:trPr>
        <w:tc>
          <w:tcPr>
            <w:tcW w:w="3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PAGP</w:t>
            </w:r>
          </w:p>
        </w:tc>
        <w:tc>
          <w:tcPr>
            <w:tcW w:w="280" w:type="dxa"/>
            <w:vAlign w:val="bottom"/>
            <w:tcBorders>
              <w:bottom w:val="single" w:sz="8" w:color="auto"/>
            </w:tcBorders>
            <w:vMerge w:val="continue"/>
            <w:shd w:val="clear" w:color="auto" w:fill="CCEEFF"/>
          </w:tcPr>
          <w:p>
            <w:pPr>
              <w:spacing w:after="0"/>
              <w:rPr>
                <w:sz w:val="20"/>
                <w:szCs w:val="20"/>
                <w:color w:val="auto"/>
              </w:rPr>
            </w:pPr>
          </w:p>
        </w:tc>
        <w:tc>
          <w:tcPr>
            <w:tcW w:w="900" w:type="dxa"/>
            <w:vAlign w:val="bottom"/>
            <w:tcBorders>
              <w:bottom w:val="single" w:sz="8" w:color="auto"/>
            </w:tcBorders>
            <w:gridSpan w:val="2"/>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vMerge w:val="continue"/>
            <w:shd w:val="clear" w:color="auto" w:fill="CCEEFF"/>
          </w:tcPr>
          <w:p>
            <w:pPr>
              <w:spacing w:after="0"/>
              <w:rPr>
                <w:sz w:val="20"/>
                <w:szCs w:val="20"/>
                <w:color w:val="auto"/>
              </w:rPr>
            </w:pPr>
          </w:p>
        </w:tc>
        <w:tc>
          <w:tcPr>
            <w:tcW w:w="11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vMerge w:val="continue"/>
            <w:shd w:val="clear" w:color="auto" w:fill="CCEEFF"/>
          </w:tcPr>
          <w:p>
            <w:pPr>
              <w:spacing w:after="0"/>
              <w:rPr>
                <w:sz w:val="20"/>
                <w:szCs w:val="20"/>
                <w:color w:val="auto"/>
              </w:rPr>
            </w:pPr>
          </w:p>
        </w:tc>
        <w:tc>
          <w:tcPr>
            <w:tcW w:w="920" w:type="dxa"/>
            <w:vAlign w:val="bottom"/>
            <w:tcBorders>
              <w:bottom w:val="single" w:sz="8" w:color="auto"/>
            </w:tcBorders>
            <w:vMerge w:val="continue"/>
            <w:shd w:val="clear" w:color="auto" w:fill="CCEEFF"/>
          </w:tcPr>
          <w:p>
            <w:pPr>
              <w:spacing w:after="0"/>
              <w:rPr>
                <w:sz w:val="20"/>
                <w:szCs w:val="20"/>
                <w:color w:val="auto"/>
              </w:rPr>
            </w:pPr>
          </w:p>
        </w:tc>
        <w:tc>
          <w:tcPr>
            <w:tcW w:w="140" w:type="dxa"/>
            <w:vAlign w:val="bottom"/>
            <w:tcBorders>
              <w:bottom w:val="single" w:sz="8" w:color="CCEEFF"/>
              <w:right w:val="single" w:sz="8" w:color="auto"/>
            </w:tcBorders>
            <w:shd w:val="clear" w:color="auto" w:fill="CCEEFF"/>
          </w:tcPr>
          <w:p>
            <w:pPr>
              <w:spacing w:after="0"/>
              <w:rPr>
                <w:sz w:val="20"/>
                <w:szCs w:val="20"/>
                <w:color w:val="auto"/>
              </w:rPr>
            </w:pPr>
          </w:p>
        </w:tc>
        <w:tc>
          <w:tcPr>
            <w:tcW w:w="80" w:type="dxa"/>
            <w:vAlign w:val="bottom"/>
            <w:tcBorders>
              <w:bottom w:val="single" w:sz="8" w:color="CCEEFF"/>
            </w:tcBorders>
            <w:vMerge w:val="continue"/>
            <w:shd w:val="clear" w:color="auto" w:fill="CCEEFF"/>
          </w:tcPr>
          <w:p>
            <w:pPr>
              <w:spacing w:after="0"/>
              <w:rPr>
                <w:sz w:val="20"/>
                <w:szCs w:val="20"/>
                <w:color w:val="auto"/>
              </w:rPr>
            </w:pPr>
          </w:p>
        </w:tc>
        <w:tc>
          <w:tcPr>
            <w:tcW w:w="280" w:type="dxa"/>
            <w:vAlign w:val="bottom"/>
            <w:tcBorders>
              <w:bottom w:val="single" w:sz="8" w:color="auto"/>
            </w:tcBorders>
            <w:vMerge w:val="continue"/>
            <w:shd w:val="clear" w:color="auto" w:fill="CCEEFF"/>
          </w:tcPr>
          <w:p>
            <w:pPr>
              <w:spacing w:after="0"/>
              <w:rPr>
                <w:sz w:val="20"/>
                <w:szCs w:val="20"/>
                <w:color w:val="auto"/>
              </w:rPr>
            </w:pPr>
          </w:p>
        </w:tc>
        <w:tc>
          <w:tcPr>
            <w:tcW w:w="9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110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vMerge w:val="continue"/>
            <w:shd w:val="clear" w:color="auto" w:fill="CCEEFF"/>
          </w:tcPr>
          <w:p>
            <w:pPr>
              <w:spacing w:after="0"/>
              <w:rPr>
                <w:sz w:val="20"/>
                <w:szCs w:val="20"/>
                <w:color w:val="auto"/>
              </w:rPr>
            </w:pPr>
          </w:p>
        </w:tc>
        <w:tc>
          <w:tcPr>
            <w:tcW w:w="94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88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336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4660" w:type="dxa"/>
            <w:vAlign w:val="bottom"/>
            <w:gridSpan w:val="5"/>
            <w:shd w:val="clear" w:color="auto" w:fill="CCEEFF"/>
          </w:tcPr>
          <w:p>
            <w:pPr>
              <w:ind w:left="20"/>
              <w:spacing w:after="0"/>
              <w:rPr>
                <w:sz w:val="20"/>
                <w:szCs w:val="20"/>
                <w:color w:val="auto"/>
              </w:rPr>
            </w:pPr>
            <w:r>
              <w:rPr>
                <w:rFonts w:ascii="Arial" w:cs="Arial" w:eastAsia="Arial" w:hAnsi="Arial"/>
                <w:sz w:val="18"/>
                <w:szCs w:val="18"/>
                <w:color w:val="auto"/>
                <w:w w:val="90"/>
              </w:rPr>
              <w:t>Basic and diluted weighted average Class A shares outstanding</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16"/>
        </w:trPr>
        <w:tc>
          <w:tcPr>
            <w:tcW w:w="364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36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w w:val="95"/>
              </w:rPr>
              <w:t>Basic and diluted net income per Class A share</w:t>
            </w:r>
          </w:p>
        </w:tc>
        <w:tc>
          <w:tcPr>
            <w:tcW w:w="2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0.75</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0.64</w:t>
            </w:r>
          </w:p>
        </w:tc>
        <w:tc>
          <w:tcPr>
            <w:tcW w:w="0" w:type="dxa"/>
            <w:vAlign w:val="bottom"/>
          </w:tcPr>
          <w:p>
            <w:pPr>
              <w:spacing w:after="0"/>
              <w:rPr>
                <w:sz w:val="1"/>
                <w:szCs w:val="1"/>
                <w:color w:val="auto"/>
              </w:rPr>
            </w:pPr>
          </w:p>
        </w:tc>
      </w:tr>
      <w:tr>
        <w:trPr>
          <w:trHeight w:val="20"/>
        </w:trPr>
        <w:tc>
          <w:tcPr>
            <w:tcW w:w="33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336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9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320" w:hanging="312"/>
        <w:spacing w:after="0"/>
        <w:tabs>
          <w:tab w:leader="none" w:pos="320" w:val="left"/>
        </w:tabs>
        <w:numPr>
          <w:ilvl w:val="0"/>
          <w:numId w:val="22"/>
        </w:numPr>
        <w:rPr>
          <w:rFonts w:ascii="Arial" w:cs="Arial" w:eastAsia="Arial" w:hAnsi="Arial"/>
          <w:sz w:val="23"/>
          <w:szCs w:val="23"/>
          <w:color w:val="auto"/>
          <w:vertAlign w:val="superscript"/>
        </w:rPr>
      </w:pPr>
      <w:r>
        <w:rPr>
          <w:rFonts w:ascii="Arial" w:cs="Arial" w:eastAsia="Arial" w:hAnsi="Arial"/>
          <w:sz w:val="18"/>
          <w:szCs w:val="18"/>
          <w:color w:val="auto"/>
        </w:rPr>
        <w:t>Represents the aggregate consolidating adjustments necessary to produce consolidated financial statements for PAGP.</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100330</wp:posOffset>
            </wp:positionV>
            <wp:extent cx="711517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55" w:lineRule="exact"/>
        <w:rPr>
          <w:sz w:val="20"/>
          <w:szCs w:val="20"/>
          <w:color w:val="auto"/>
        </w:rPr>
      </w:pPr>
    </w:p>
    <w:p>
      <w:pPr>
        <w:ind w:left="1660"/>
        <w:spacing w:after="0"/>
        <w:tabs>
          <w:tab w:leader="none" w:pos="4760" w:val="left"/>
          <w:tab w:leader="none" w:pos="74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240"/>
          </w:cols>
          <w:pgMar w:left="320" w:top="368"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auto"/>
        </w:rPr>
        <w:t>Page 19</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GP HOLDINGS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1517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CONDENSED CONSOLIDATING BALANCE SHEET DATA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gridSpan w:val="3"/>
          </w:tcPr>
          <w:p>
            <w:pPr>
              <w:ind w:left="20"/>
              <w:spacing w:after="0"/>
              <w:rPr>
                <w:sz w:val="20"/>
                <w:szCs w:val="20"/>
                <w:color w:val="auto"/>
              </w:rPr>
            </w:pPr>
            <w:r>
              <w:rPr>
                <w:rFonts w:ascii="Arial" w:cs="Arial" w:eastAsia="Arial" w:hAnsi="Arial"/>
                <w:sz w:val="14"/>
                <w:szCs w:val="14"/>
                <w:b w:val="1"/>
                <w:bCs w:val="1"/>
                <w:color w:val="auto"/>
                <w:w w:val="99"/>
              </w:rPr>
              <w:t>September 30, 2023</w:t>
            </w: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1"/>
              </w:rPr>
              <w:t>December 31, 2022</w:t>
            </w: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6"/>
        </w:trPr>
        <w:tc>
          <w:tcPr>
            <w:tcW w:w="33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80"/>
        </w:trPr>
        <w:tc>
          <w:tcPr>
            <w:tcW w:w="3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Consolidating</w:t>
            </w: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Consolidating</w:t>
            </w: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219"/>
        </w:trPr>
        <w:tc>
          <w:tcPr>
            <w:tcW w:w="3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gridSpan w:val="3"/>
          </w:tcPr>
          <w:p>
            <w:pPr>
              <w:ind w:left="180"/>
              <w:spacing w:after="0"/>
              <w:rPr>
                <w:sz w:val="20"/>
                <w:szCs w:val="20"/>
                <w:color w:val="auto"/>
              </w:rPr>
            </w:pPr>
            <w:r>
              <w:rPr>
                <w:rFonts w:ascii="Arial" w:cs="Arial" w:eastAsia="Arial" w:hAnsi="Arial"/>
                <w:sz w:val="14"/>
                <w:szCs w:val="14"/>
                <w:b w:val="1"/>
                <w:bCs w:val="1"/>
                <w:color w:val="auto"/>
              </w:rPr>
              <w:t>PAA</w:t>
            </w:r>
          </w:p>
        </w:tc>
        <w:tc>
          <w:tcPr>
            <w:tcW w:w="140" w:type="dxa"/>
            <w:vAlign w:val="bottom"/>
          </w:tcPr>
          <w:p>
            <w:pPr>
              <w:spacing w:after="0"/>
              <w:rPr>
                <w:sz w:val="19"/>
                <w:szCs w:val="19"/>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 xml:space="preserve">Adjustments </w:t>
            </w:r>
            <w:r>
              <w:rPr>
                <w:rFonts w:ascii="Arial" w:cs="Arial" w:eastAsia="Arial" w:hAnsi="Arial"/>
                <w:sz w:val="18"/>
                <w:szCs w:val="18"/>
                <w:b w:val="1"/>
                <w:bCs w:val="1"/>
                <w:color w:val="auto"/>
                <w:w w:val="88"/>
                <w:vertAlign w:val="superscript"/>
              </w:rPr>
              <w:t>(1)</w:t>
            </w:r>
          </w:p>
        </w:tc>
        <w:tc>
          <w:tcPr>
            <w:tcW w:w="260" w:type="dxa"/>
            <w:vAlign w:val="bottom"/>
          </w:tcPr>
          <w:p>
            <w:pPr>
              <w:spacing w:after="0"/>
              <w:rPr>
                <w:sz w:val="19"/>
                <w:szCs w:val="19"/>
                <w:color w:val="auto"/>
              </w:rPr>
            </w:pPr>
          </w:p>
        </w:tc>
        <w:tc>
          <w:tcPr>
            <w:tcW w:w="1160" w:type="dxa"/>
            <w:vAlign w:val="bottom"/>
            <w:gridSpan w:val="3"/>
          </w:tcPr>
          <w:p>
            <w:pPr>
              <w:ind w:left="160"/>
              <w:spacing w:after="0"/>
              <w:rPr>
                <w:sz w:val="20"/>
                <w:szCs w:val="20"/>
                <w:color w:val="auto"/>
              </w:rPr>
            </w:pPr>
            <w:r>
              <w:rPr>
                <w:rFonts w:ascii="Arial" w:cs="Arial" w:eastAsia="Arial" w:hAnsi="Arial"/>
                <w:sz w:val="14"/>
                <w:szCs w:val="14"/>
                <w:b w:val="1"/>
                <w:bCs w:val="1"/>
                <w:color w:val="auto"/>
              </w:rPr>
              <w:t>PAGP</w:t>
            </w:r>
          </w:p>
        </w:tc>
        <w:tc>
          <w:tcPr>
            <w:tcW w:w="280" w:type="dxa"/>
            <w:vAlign w:val="bottom"/>
          </w:tcPr>
          <w:p>
            <w:pPr>
              <w:spacing w:after="0"/>
              <w:rPr>
                <w:sz w:val="19"/>
                <w:szCs w:val="19"/>
                <w:color w:val="auto"/>
              </w:rPr>
            </w:pPr>
          </w:p>
        </w:tc>
        <w:tc>
          <w:tcPr>
            <w:tcW w:w="1000" w:type="dxa"/>
            <w:vAlign w:val="bottom"/>
            <w:gridSpan w:val="2"/>
          </w:tcPr>
          <w:p>
            <w:pPr>
              <w:ind w:left="160"/>
              <w:spacing w:after="0"/>
              <w:rPr>
                <w:sz w:val="20"/>
                <w:szCs w:val="20"/>
                <w:color w:val="auto"/>
              </w:rPr>
            </w:pPr>
            <w:r>
              <w:rPr>
                <w:rFonts w:ascii="Arial" w:cs="Arial" w:eastAsia="Arial" w:hAnsi="Arial"/>
                <w:sz w:val="14"/>
                <w:szCs w:val="14"/>
                <w:b w:val="1"/>
                <w:bCs w:val="1"/>
                <w:color w:val="auto"/>
              </w:rPr>
              <w:t>PAA</w:t>
            </w:r>
          </w:p>
        </w:tc>
        <w:tc>
          <w:tcPr>
            <w:tcW w:w="140" w:type="dxa"/>
            <w:vAlign w:val="bottom"/>
          </w:tcPr>
          <w:p>
            <w:pPr>
              <w:spacing w:after="0"/>
              <w:rPr>
                <w:sz w:val="19"/>
                <w:szCs w:val="19"/>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 xml:space="preserve">Adjustments </w:t>
            </w:r>
            <w:r>
              <w:rPr>
                <w:rFonts w:ascii="Arial" w:cs="Arial" w:eastAsia="Arial" w:hAnsi="Arial"/>
                <w:sz w:val="18"/>
                <w:szCs w:val="18"/>
                <w:b w:val="1"/>
                <w:bCs w:val="1"/>
                <w:color w:val="auto"/>
                <w:w w:val="88"/>
                <w:vertAlign w:val="superscript"/>
              </w:rPr>
              <w:t>(1)</w:t>
            </w:r>
          </w:p>
        </w:tc>
        <w:tc>
          <w:tcPr>
            <w:tcW w:w="240" w:type="dxa"/>
            <w:vAlign w:val="bottom"/>
          </w:tcPr>
          <w:p>
            <w:pPr>
              <w:spacing w:after="0"/>
              <w:rPr>
                <w:sz w:val="19"/>
                <w:szCs w:val="19"/>
                <w:color w:val="auto"/>
              </w:rPr>
            </w:pPr>
          </w:p>
        </w:tc>
        <w:tc>
          <w:tcPr>
            <w:tcW w:w="940" w:type="dxa"/>
            <w:vAlign w:val="bottom"/>
          </w:tcPr>
          <w:p>
            <w:pPr>
              <w:jc w:val="right"/>
              <w:ind w:right="311"/>
              <w:spacing w:after="0"/>
              <w:rPr>
                <w:sz w:val="20"/>
                <w:szCs w:val="20"/>
                <w:color w:val="auto"/>
              </w:rPr>
            </w:pPr>
            <w:r>
              <w:rPr>
                <w:rFonts w:ascii="Arial" w:cs="Arial" w:eastAsia="Arial" w:hAnsi="Arial"/>
                <w:sz w:val="14"/>
                <w:szCs w:val="14"/>
                <w:b w:val="1"/>
                <w:bCs w:val="1"/>
                <w:color w:val="auto"/>
              </w:rPr>
              <w:t>PAGP</w:t>
            </w:r>
          </w:p>
        </w:tc>
      </w:tr>
      <w:tr>
        <w:trPr>
          <w:trHeight w:val="209"/>
        </w:trPr>
        <w:tc>
          <w:tcPr>
            <w:tcW w:w="33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8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right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r>
      <w:tr>
        <w:trPr>
          <w:trHeight w:val="230"/>
        </w:trPr>
        <w:tc>
          <w:tcPr>
            <w:tcW w:w="334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5,331</w:t>
            </w:r>
          </w:p>
        </w:tc>
        <w:tc>
          <w:tcPr>
            <w:tcW w:w="100" w:type="dxa"/>
            <w:vAlign w:val="bottom"/>
          </w:tcPr>
          <w:p>
            <w:pPr>
              <w:spacing w:after="0"/>
              <w:rPr>
                <w:sz w:val="19"/>
                <w:szCs w:val="19"/>
                <w:color w:val="auto"/>
              </w:rPr>
            </w:pP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5,333</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5,355</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5,358</w:t>
            </w:r>
          </w:p>
        </w:tc>
      </w:tr>
      <w:tr>
        <w:trPr>
          <w:trHeight w:val="229"/>
        </w:trPr>
        <w:tc>
          <w:tcPr>
            <w:tcW w:w="3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and equipment, net</w:t>
            </w:r>
          </w:p>
        </w:tc>
        <w:tc>
          <w:tcPr>
            <w:tcW w:w="2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15,589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15,590</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15,250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15,253</w:t>
            </w:r>
          </w:p>
        </w:tc>
      </w:tr>
      <w:tr>
        <w:trPr>
          <w:trHeight w:val="230"/>
        </w:trPr>
        <w:tc>
          <w:tcPr>
            <w:tcW w:w="3340" w:type="dxa"/>
            <w:vAlign w:val="bottom"/>
          </w:tcPr>
          <w:p>
            <w:pPr>
              <w:ind w:left="20"/>
              <w:spacing w:after="0"/>
              <w:rPr>
                <w:sz w:val="20"/>
                <w:szCs w:val="20"/>
                <w:color w:val="auto"/>
              </w:rPr>
            </w:pPr>
            <w:r>
              <w:rPr>
                <w:rFonts w:ascii="Arial" w:cs="Arial" w:eastAsia="Arial" w:hAnsi="Arial"/>
                <w:sz w:val="18"/>
                <w:szCs w:val="18"/>
                <w:color w:val="auto"/>
              </w:rPr>
              <w:t>Investments in unconsolidated entities</w:t>
            </w:r>
          </w:p>
        </w:tc>
        <w:tc>
          <w:tcPr>
            <w:tcW w:w="28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2,830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2,830</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3,084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3,084</w:t>
            </w:r>
          </w:p>
        </w:tc>
      </w:tr>
      <w:tr>
        <w:trPr>
          <w:trHeight w:val="229"/>
        </w:trPr>
        <w:tc>
          <w:tcPr>
            <w:tcW w:w="3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 assets, net</w:t>
            </w:r>
          </w:p>
        </w:tc>
        <w:tc>
          <w:tcPr>
            <w:tcW w:w="2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1,969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1,969</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2,145</w:t>
            </w:r>
          </w:p>
        </w:tc>
      </w:tr>
      <w:tr>
        <w:trPr>
          <w:trHeight w:val="229"/>
        </w:trPr>
        <w:tc>
          <w:tcPr>
            <w:tcW w:w="3340" w:type="dxa"/>
            <w:vAlign w:val="bottom"/>
          </w:tcPr>
          <w:p>
            <w:pPr>
              <w:ind w:left="20"/>
              <w:spacing w:after="0"/>
              <w:rPr>
                <w:sz w:val="20"/>
                <w:szCs w:val="20"/>
                <w:color w:val="auto"/>
              </w:rPr>
            </w:pPr>
            <w:r>
              <w:rPr>
                <w:rFonts w:ascii="Arial" w:cs="Arial" w:eastAsia="Arial" w:hAnsi="Arial"/>
                <w:sz w:val="18"/>
                <w:szCs w:val="18"/>
                <w:color w:val="auto"/>
              </w:rPr>
              <w:t>Deferred tax asset</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1,259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1,259</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1,309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1,309</w:t>
            </w:r>
          </w:p>
        </w:tc>
      </w:tr>
      <w:tr>
        <w:trPr>
          <w:trHeight w:val="230"/>
        </w:trPr>
        <w:tc>
          <w:tcPr>
            <w:tcW w:w="3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Linefill</w:t>
            </w:r>
          </w:p>
        </w:tc>
        <w:tc>
          <w:tcPr>
            <w:tcW w:w="2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957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957</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961</w:t>
            </w:r>
          </w:p>
        </w:tc>
      </w:tr>
      <w:tr>
        <w:trPr>
          <w:trHeight w:val="175"/>
        </w:trPr>
        <w:tc>
          <w:tcPr>
            <w:tcW w:w="3340" w:type="dxa"/>
            <w:vAlign w:val="bottom"/>
          </w:tcPr>
          <w:p>
            <w:pPr>
              <w:ind w:left="20"/>
              <w:spacing w:after="0" w:line="176" w:lineRule="exact"/>
              <w:rPr>
                <w:sz w:val="20"/>
                <w:szCs w:val="20"/>
                <w:color w:val="auto"/>
              </w:rPr>
            </w:pPr>
            <w:r>
              <w:rPr>
                <w:rFonts w:ascii="Arial" w:cs="Arial" w:eastAsia="Arial" w:hAnsi="Arial"/>
                <w:sz w:val="18"/>
                <w:szCs w:val="18"/>
                <w:color w:val="auto"/>
              </w:rPr>
              <w:t>Long-term operating lease right-of-use</w:t>
            </w: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243"/>
        </w:trPr>
        <w:tc>
          <w:tcPr>
            <w:tcW w:w="3340" w:type="dxa"/>
            <w:vAlign w:val="bottom"/>
          </w:tcPr>
          <w:p>
            <w:pPr>
              <w:ind w:left="180"/>
              <w:spacing w:after="0"/>
              <w:rPr>
                <w:sz w:val="20"/>
                <w:szCs w:val="20"/>
                <w:color w:val="auto"/>
              </w:rPr>
            </w:pPr>
            <w:r>
              <w:rPr>
                <w:rFonts w:ascii="Arial" w:cs="Arial" w:eastAsia="Arial" w:hAnsi="Arial"/>
                <w:sz w:val="18"/>
                <w:szCs w:val="18"/>
                <w:color w:val="auto"/>
              </w:rPr>
              <w:t>assets, net</w:t>
            </w:r>
          </w:p>
        </w:tc>
        <w:tc>
          <w:tcPr>
            <w:tcW w:w="28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315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315</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349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349</w:t>
            </w:r>
          </w:p>
        </w:tc>
      </w:tr>
      <w:tr>
        <w:trPr>
          <w:trHeight w:val="229"/>
        </w:trPr>
        <w:tc>
          <w:tcPr>
            <w:tcW w:w="3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inventory</w:t>
            </w:r>
          </w:p>
        </w:tc>
        <w:tc>
          <w:tcPr>
            <w:tcW w:w="2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w:t>
            </w:r>
          </w:p>
        </w:tc>
      </w:tr>
      <w:tr>
        <w:trPr>
          <w:trHeight w:val="230"/>
        </w:trPr>
        <w:tc>
          <w:tcPr>
            <w:tcW w:w="3340" w:type="dxa"/>
            <w:vAlign w:val="bottom"/>
          </w:tcPr>
          <w:p>
            <w:pPr>
              <w:ind w:left="20"/>
              <w:spacing w:after="0"/>
              <w:rPr>
                <w:sz w:val="20"/>
                <w:szCs w:val="20"/>
                <w:color w:val="auto"/>
              </w:rPr>
            </w:pPr>
            <w:r>
              <w:rPr>
                <w:rFonts w:ascii="Arial" w:cs="Arial" w:eastAsia="Arial" w:hAnsi="Arial"/>
                <w:sz w:val="18"/>
                <w:szCs w:val="18"/>
                <w:color w:val="auto"/>
              </w:rPr>
              <w:t>Other long-term assets, net</w:t>
            </w:r>
          </w:p>
        </w:tc>
        <w:tc>
          <w:tcPr>
            <w:tcW w:w="28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417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417</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464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464</w:t>
            </w:r>
          </w:p>
        </w:tc>
      </w:tr>
      <w:tr>
        <w:trPr>
          <w:trHeight w:val="248"/>
        </w:trPr>
        <w:tc>
          <w:tcPr>
            <w:tcW w:w="334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assets</w:t>
            </w: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27,735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28,997</w:t>
            </w:r>
          </w:p>
        </w:tc>
        <w:tc>
          <w:tcPr>
            <w:tcW w:w="120" w:type="dxa"/>
            <w:vAlign w:val="bottom"/>
            <w:tcBorders>
              <w:top w:val="single" w:sz="8" w:color="CCEEFF"/>
              <w:bottom w:val="single" w:sz="8" w:color="CCEEFF"/>
              <w:right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27,892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29,207</w:t>
            </w: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right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3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175"/>
        </w:trPr>
        <w:tc>
          <w:tcPr>
            <w:tcW w:w="33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b w:val="1"/>
                <w:bCs w:val="1"/>
                <w:color w:val="auto"/>
              </w:rPr>
              <w:t>LIABILITIES AND PARTNERS’</w:t>
            </w:r>
          </w:p>
        </w:tc>
        <w:tc>
          <w:tcPr>
            <w:tcW w:w="2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tcBorders>
              <w:right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r>
      <w:tr>
        <w:trPr>
          <w:trHeight w:val="243"/>
        </w:trPr>
        <w:tc>
          <w:tcPr>
            <w:tcW w:w="334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CAPITAL</w:t>
            </w:r>
          </w:p>
        </w:tc>
        <w:tc>
          <w:tcPr>
            <w:tcW w:w="2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20" w:type="dxa"/>
            <w:vAlign w:val="bottom"/>
            <w:tcBorders>
              <w:right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r>
      <w:tr>
        <w:trPr>
          <w:trHeight w:val="230"/>
        </w:trPr>
        <w:tc>
          <w:tcPr>
            <w:tcW w:w="334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5,606</w:t>
            </w:r>
          </w:p>
        </w:tc>
        <w:tc>
          <w:tcPr>
            <w:tcW w:w="100" w:type="dxa"/>
            <w:vAlign w:val="bottom"/>
          </w:tcPr>
          <w:p>
            <w:pPr>
              <w:spacing w:after="0"/>
              <w:rPr>
                <w:sz w:val="19"/>
                <w:szCs w:val="19"/>
                <w:color w:val="auto"/>
              </w:rPr>
            </w:pP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5,608</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5,891</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5,893</w:t>
            </w:r>
          </w:p>
        </w:tc>
      </w:tr>
      <w:tr>
        <w:trPr>
          <w:trHeight w:val="230"/>
        </w:trPr>
        <w:tc>
          <w:tcPr>
            <w:tcW w:w="3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notes, net</w:t>
            </w:r>
          </w:p>
        </w:tc>
        <w:tc>
          <w:tcPr>
            <w:tcW w:w="2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7,241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7,241</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7,237</w:t>
            </w:r>
          </w:p>
        </w:tc>
      </w:tr>
      <w:tr>
        <w:trPr>
          <w:trHeight w:val="230"/>
        </w:trPr>
        <w:tc>
          <w:tcPr>
            <w:tcW w:w="3340" w:type="dxa"/>
            <w:vAlign w:val="bottom"/>
          </w:tcPr>
          <w:p>
            <w:pPr>
              <w:ind w:left="20"/>
              <w:spacing w:after="0"/>
              <w:rPr>
                <w:sz w:val="20"/>
                <w:szCs w:val="20"/>
                <w:color w:val="auto"/>
              </w:rPr>
            </w:pPr>
            <w:r>
              <w:rPr>
                <w:rFonts w:ascii="Arial" w:cs="Arial" w:eastAsia="Arial" w:hAnsi="Arial"/>
                <w:sz w:val="18"/>
                <w:szCs w:val="18"/>
                <w:color w:val="auto"/>
              </w:rPr>
              <w:t>Other long-term debt, net</w:t>
            </w:r>
          </w:p>
        </w:tc>
        <w:tc>
          <w:tcPr>
            <w:tcW w:w="28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55</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29"/>
        </w:trPr>
        <w:tc>
          <w:tcPr>
            <w:tcW w:w="3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operating lease liabilities</w:t>
            </w:r>
          </w:p>
        </w:tc>
        <w:tc>
          <w:tcPr>
            <w:tcW w:w="2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w:t>
            </w:r>
          </w:p>
        </w:tc>
      </w:tr>
      <w:tr>
        <w:trPr>
          <w:trHeight w:val="176"/>
        </w:trPr>
        <w:tc>
          <w:tcPr>
            <w:tcW w:w="3340" w:type="dxa"/>
            <w:vAlign w:val="bottom"/>
          </w:tcPr>
          <w:p>
            <w:pPr>
              <w:ind w:left="20"/>
              <w:spacing w:after="0" w:line="176" w:lineRule="exact"/>
              <w:rPr>
                <w:sz w:val="20"/>
                <w:szCs w:val="20"/>
                <w:color w:val="auto"/>
              </w:rPr>
            </w:pPr>
            <w:r>
              <w:rPr>
                <w:rFonts w:ascii="Arial" w:cs="Arial" w:eastAsia="Arial" w:hAnsi="Arial"/>
                <w:sz w:val="18"/>
                <w:szCs w:val="18"/>
                <w:color w:val="auto"/>
              </w:rPr>
              <w:t>Other long-term liabilities and deferred</w:t>
            </w: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243"/>
        </w:trPr>
        <w:tc>
          <w:tcPr>
            <w:tcW w:w="3340" w:type="dxa"/>
            <w:vAlign w:val="bottom"/>
          </w:tcPr>
          <w:p>
            <w:pPr>
              <w:ind w:left="180"/>
              <w:spacing w:after="0"/>
              <w:rPr>
                <w:sz w:val="20"/>
                <w:szCs w:val="20"/>
                <w:color w:val="auto"/>
              </w:rPr>
            </w:pPr>
            <w:r>
              <w:rPr>
                <w:rFonts w:ascii="Arial" w:cs="Arial" w:eastAsia="Arial" w:hAnsi="Arial"/>
                <w:sz w:val="18"/>
                <w:szCs w:val="18"/>
                <w:color w:val="auto"/>
              </w:rPr>
              <w:t>credits</w:t>
            </w:r>
          </w:p>
        </w:tc>
        <w:tc>
          <w:tcPr>
            <w:tcW w:w="28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1,002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1,002</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1,081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1,081</w:t>
            </w:r>
          </w:p>
        </w:tc>
      </w:tr>
      <w:tr>
        <w:trPr>
          <w:trHeight w:val="223"/>
        </w:trPr>
        <w:tc>
          <w:tcPr>
            <w:tcW w:w="334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liabilities</w:t>
            </w:r>
          </w:p>
        </w:tc>
        <w:tc>
          <w:tcPr>
            <w:tcW w:w="28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14,184</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14,186</w:t>
            </w:r>
          </w:p>
        </w:tc>
        <w:tc>
          <w:tcPr>
            <w:tcW w:w="120" w:type="dxa"/>
            <w:vAlign w:val="bottom"/>
            <w:tcBorders>
              <w:top w:val="single" w:sz="8" w:color="CCEEFF"/>
              <w:right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14,567</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14,569</w:t>
            </w:r>
          </w:p>
        </w:tc>
      </w:tr>
      <w:tr>
        <w:trPr>
          <w:trHeight w:val="270"/>
        </w:trPr>
        <w:tc>
          <w:tcPr>
            <w:tcW w:w="33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2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40" w:type="dxa"/>
            <w:vAlign w:val="bottom"/>
          </w:tcPr>
          <w:p>
            <w:pPr>
              <w:spacing w:after="0"/>
              <w:rPr>
                <w:sz w:val="23"/>
                <w:szCs w:val="23"/>
                <w:color w:val="auto"/>
              </w:rPr>
            </w:pPr>
          </w:p>
        </w:tc>
      </w:tr>
      <w:tr>
        <w:trPr>
          <w:trHeight w:val="175"/>
        </w:trPr>
        <w:tc>
          <w:tcPr>
            <w:tcW w:w="33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Partners’ capital excluding noncontrolling</w:t>
            </w:r>
          </w:p>
        </w:tc>
        <w:tc>
          <w:tcPr>
            <w:tcW w:w="2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tcBorders>
              <w:right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r>
      <w:tr>
        <w:trPr>
          <w:trHeight w:val="243"/>
        </w:trPr>
        <w:tc>
          <w:tcPr>
            <w:tcW w:w="3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interests</w:t>
            </w:r>
          </w:p>
        </w:tc>
        <w:tc>
          <w:tcPr>
            <w:tcW w:w="28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10,285</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(8,754)</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1,531</w:t>
            </w:r>
          </w:p>
        </w:tc>
        <w:tc>
          <w:tcPr>
            <w:tcW w:w="120" w:type="dxa"/>
            <w:vAlign w:val="bottom"/>
            <w:tcBorders>
              <w:right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10,057</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(8,533)</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1,524</w:t>
            </w:r>
          </w:p>
        </w:tc>
      </w:tr>
      <w:tr>
        <w:trPr>
          <w:trHeight w:val="230"/>
        </w:trPr>
        <w:tc>
          <w:tcPr>
            <w:tcW w:w="33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Noncontrolling interests</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3,266</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10,014</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13,280</w:t>
            </w:r>
          </w:p>
        </w:tc>
        <w:tc>
          <w:tcPr>
            <w:tcW w:w="120" w:type="dxa"/>
            <w:vAlign w:val="bottom"/>
            <w:tcBorders>
              <w:bottom w:val="single" w:sz="8" w:color="CCEEFF"/>
              <w:right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3,268</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9,846</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13,114</w:t>
            </w:r>
          </w:p>
        </w:tc>
      </w:tr>
      <w:tr>
        <w:trPr>
          <w:trHeight w:val="223"/>
        </w:trPr>
        <w:tc>
          <w:tcPr>
            <w:tcW w:w="3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partners’ capital</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13,551</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1,260</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14,811</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13,325</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1,313</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14,638</w:t>
            </w:r>
          </w:p>
        </w:tc>
      </w:tr>
      <w:tr>
        <w:trPr>
          <w:trHeight w:val="263"/>
        </w:trPr>
        <w:tc>
          <w:tcPr>
            <w:tcW w:w="3340" w:type="dxa"/>
            <w:vAlign w:val="bottom"/>
          </w:tcPr>
          <w:p>
            <w:pPr>
              <w:ind w:left="360"/>
              <w:spacing w:after="0"/>
              <w:rPr>
                <w:sz w:val="20"/>
                <w:szCs w:val="20"/>
                <w:color w:val="auto"/>
              </w:rPr>
            </w:pPr>
            <w:r>
              <w:rPr>
                <w:rFonts w:ascii="Arial" w:cs="Arial" w:eastAsia="Arial" w:hAnsi="Arial"/>
                <w:sz w:val="18"/>
                <w:szCs w:val="18"/>
                <w:color w:val="auto"/>
              </w:rPr>
              <w:t>Total liabilities and partners’ capital</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27,735</w:t>
            </w:r>
          </w:p>
        </w:tc>
        <w:tc>
          <w:tcPr>
            <w:tcW w:w="100" w:type="dxa"/>
            <w:vAlign w:val="bottom"/>
          </w:tcPr>
          <w:p>
            <w:pPr>
              <w:spacing w:after="0"/>
              <w:rPr>
                <w:sz w:val="22"/>
                <w:szCs w:val="22"/>
                <w:color w:val="auto"/>
              </w:rPr>
            </w:pPr>
          </w:p>
        </w:tc>
        <w:tc>
          <w:tcPr>
            <w:tcW w:w="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1,262</w:t>
            </w:r>
          </w:p>
        </w:tc>
        <w:tc>
          <w:tcPr>
            <w:tcW w:w="100" w:type="dxa"/>
            <w:vAlign w:val="bottom"/>
          </w:tcPr>
          <w:p>
            <w:pPr>
              <w:spacing w:after="0"/>
              <w:rPr>
                <w:sz w:val="22"/>
                <w:szCs w:val="22"/>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28,997</w:t>
            </w: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27,892</w:t>
            </w:r>
          </w:p>
        </w:tc>
        <w:tc>
          <w:tcPr>
            <w:tcW w:w="10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1,315</w:t>
            </w:r>
          </w:p>
        </w:tc>
        <w:tc>
          <w:tcPr>
            <w:tcW w:w="120" w:type="dxa"/>
            <w:vAlign w:val="bottom"/>
          </w:tcPr>
          <w:p>
            <w:pPr>
              <w:spacing w:after="0"/>
              <w:rPr>
                <w:sz w:val="22"/>
                <w:szCs w:val="22"/>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29,207</w:t>
            </w:r>
          </w:p>
        </w:tc>
      </w:tr>
      <w:tr>
        <w:trPr>
          <w:trHeight w:val="156"/>
        </w:trPr>
        <w:tc>
          <w:tcPr>
            <w:tcW w:w="334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tcPr>
          <w:p>
            <w:pPr>
              <w:spacing w:after="0"/>
              <w:rPr>
                <w:sz w:val="13"/>
                <w:szCs w:val="13"/>
                <w:color w:val="auto"/>
              </w:rPr>
            </w:pPr>
          </w:p>
        </w:tc>
      </w:tr>
    </w:tbl>
    <w:p>
      <w:pPr>
        <w:spacing w:after="0" w:line="100" w:lineRule="exact"/>
        <w:rPr>
          <w:sz w:val="20"/>
          <w:szCs w:val="20"/>
          <w:color w:val="auto"/>
        </w:rPr>
      </w:pPr>
    </w:p>
    <w:p>
      <w:pPr>
        <w:ind w:left="320" w:hanging="312"/>
        <w:spacing w:after="0"/>
        <w:tabs>
          <w:tab w:leader="none" w:pos="320" w:val="left"/>
        </w:tabs>
        <w:numPr>
          <w:ilvl w:val="0"/>
          <w:numId w:val="23"/>
        </w:numPr>
        <w:rPr>
          <w:rFonts w:ascii="Arial" w:cs="Arial" w:eastAsia="Arial" w:hAnsi="Arial"/>
          <w:sz w:val="23"/>
          <w:szCs w:val="23"/>
          <w:color w:val="auto"/>
          <w:vertAlign w:val="superscript"/>
        </w:rPr>
      </w:pPr>
      <w:r>
        <w:rPr>
          <w:rFonts w:ascii="Arial" w:cs="Arial" w:eastAsia="Arial" w:hAnsi="Arial"/>
          <w:sz w:val="18"/>
          <w:szCs w:val="18"/>
          <w:color w:val="auto"/>
        </w:rPr>
        <w:t>Represents the aggregate consolidating adjustments necessary to produce consolidated financial statements for PAGP.</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100330</wp:posOffset>
            </wp:positionV>
            <wp:extent cx="711517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55" w:lineRule="exact"/>
        <w:rPr>
          <w:sz w:val="20"/>
          <w:szCs w:val="20"/>
          <w:color w:val="auto"/>
        </w:rPr>
      </w:pPr>
    </w:p>
    <w:p>
      <w:pPr>
        <w:ind w:left="1660"/>
        <w:spacing w:after="0"/>
        <w:tabs>
          <w:tab w:leader="none" w:pos="4760" w:val="left"/>
          <w:tab w:leader="none" w:pos="74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240"/>
          </w:cols>
          <w:pgMar w:left="320" w:top="368"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auto"/>
        </w:rPr>
        <w:t>Page 20</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GP HOLDINGS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1517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ind w:right="4600"/>
        <w:spacing w:after="0" w:line="282" w:lineRule="auto"/>
        <w:rPr>
          <w:sz w:val="20"/>
          <w:szCs w:val="20"/>
          <w:color w:val="auto"/>
        </w:rPr>
      </w:pPr>
      <w:r>
        <w:rPr>
          <w:rFonts w:ascii="Arial" w:cs="Arial" w:eastAsia="Arial" w:hAnsi="Arial"/>
          <w:sz w:val="18"/>
          <w:szCs w:val="18"/>
          <w:b w:val="1"/>
          <w:bCs w:val="1"/>
          <w:u w:val="single" w:color="auto"/>
          <w:color w:val="auto"/>
        </w:rPr>
        <w:t xml:space="preserve">COMPUTATION OF BASIC AND DILUTED NET INCOME PER CLASS A SHARE </w:t>
      </w:r>
      <w:r>
        <w:rPr>
          <w:rFonts w:ascii="Arial" w:cs="Arial" w:eastAsia="Arial" w:hAnsi="Arial"/>
          <w:sz w:val="18"/>
          <w:szCs w:val="18"/>
          <w:color w:val="auto"/>
        </w:rPr>
        <w:t>(in millions, except per share data)</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40" w:type="dxa"/>
            <w:vAlign w:val="bottom"/>
          </w:tcPr>
          <w:p>
            <w:pPr>
              <w:spacing w:after="0"/>
              <w:rPr>
                <w:sz w:val="14"/>
                <w:szCs w:val="14"/>
                <w:color w:val="auto"/>
              </w:rPr>
            </w:pPr>
          </w:p>
        </w:tc>
        <w:tc>
          <w:tcPr>
            <w:tcW w:w="2200" w:type="dxa"/>
            <w:vAlign w:val="bottom"/>
            <w:gridSpan w:val="4"/>
          </w:tcPr>
          <w:p>
            <w:pPr>
              <w:jc w:val="right"/>
              <w:ind w:right="136"/>
              <w:spacing w:after="0"/>
              <w:rPr>
                <w:sz w:val="20"/>
                <w:szCs w:val="20"/>
                <w:color w:val="auto"/>
              </w:rPr>
            </w:pPr>
            <w:r>
              <w:rPr>
                <w:rFonts w:ascii="Arial" w:cs="Arial" w:eastAsia="Arial" w:hAnsi="Arial"/>
                <w:sz w:val="14"/>
                <w:szCs w:val="14"/>
                <w:b w:val="1"/>
                <w:bCs w:val="1"/>
                <w:color w:val="auto"/>
              </w:rPr>
              <w:t>Three Months Ended</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180" w:type="dxa"/>
            <w:vAlign w:val="bottom"/>
            <w:gridSpan w:val="4"/>
          </w:tcPr>
          <w:p>
            <w:pPr>
              <w:jc w:val="right"/>
              <w:ind w:right="535"/>
              <w:spacing w:after="0"/>
              <w:rPr>
                <w:sz w:val="20"/>
                <w:szCs w:val="20"/>
                <w:color w:val="auto"/>
              </w:rPr>
            </w:pPr>
            <w:r>
              <w:rPr>
                <w:rFonts w:ascii="Arial" w:cs="Arial" w:eastAsia="Arial" w:hAnsi="Arial"/>
                <w:sz w:val="14"/>
                <w:szCs w:val="14"/>
                <w:b w:val="1"/>
                <w:bCs w:val="1"/>
                <w:color w:val="auto"/>
              </w:rPr>
              <w:t>Nine Months Ended</w:t>
            </w:r>
          </w:p>
        </w:tc>
      </w:tr>
      <w:tr>
        <w:trPr>
          <w:trHeight w:val="196"/>
        </w:trPr>
        <w:tc>
          <w:tcPr>
            <w:tcW w:w="6040" w:type="dxa"/>
            <w:vAlign w:val="bottom"/>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3"/>
          </w:tcPr>
          <w:p>
            <w:pPr>
              <w:jc w:val="right"/>
              <w:ind w:right="356"/>
              <w:spacing w:after="0"/>
              <w:rPr>
                <w:sz w:val="20"/>
                <w:szCs w:val="20"/>
                <w:color w:val="auto"/>
              </w:rPr>
            </w:pPr>
            <w:r>
              <w:rPr>
                <w:rFonts w:ascii="Arial" w:cs="Arial" w:eastAsia="Arial" w:hAnsi="Arial"/>
                <w:sz w:val="14"/>
                <w:szCs w:val="14"/>
                <w:b w:val="1"/>
                <w:bCs w:val="1"/>
                <w:color w:val="auto"/>
                <w:w w:val="96"/>
              </w:rPr>
              <w:t>September 30,</w:t>
            </w:r>
          </w:p>
        </w:tc>
        <w:tc>
          <w:tcPr>
            <w:tcW w:w="4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60" w:type="dxa"/>
            <w:vAlign w:val="bottom"/>
            <w:tcBorders>
              <w:bottom w:val="single" w:sz="8" w:color="auto"/>
            </w:tcBorders>
          </w:tcPr>
          <w:p>
            <w:pPr>
              <w:spacing w:after="0"/>
              <w:rPr>
                <w:sz w:val="17"/>
                <w:szCs w:val="17"/>
                <w:color w:val="auto"/>
              </w:rPr>
            </w:pPr>
          </w:p>
        </w:tc>
      </w:tr>
      <w:tr>
        <w:trPr>
          <w:trHeight w:val="196"/>
        </w:trPr>
        <w:tc>
          <w:tcPr>
            <w:tcW w:w="6040" w:type="dxa"/>
            <w:vAlign w:val="bottom"/>
            <w:tcBorders>
              <w:bottom w:val="single" w:sz="8" w:color="CCEEFF"/>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4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4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w w:val="96"/>
              </w:rPr>
              <w:t>2022</w:t>
            </w:r>
          </w:p>
        </w:tc>
      </w:tr>
      <w:tr>
        <w:trPr>
          <w:trHeight w:val="216"/>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Basic and Diluted Net Income per Class A Share</w:t>
            </w:r>
          </w:p>
        </w:tc>
        <w:tc>
          <w:tcPr>
            <w:tcW w:w="8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30"/>
        </w:trPr>
        <w:tc>
          <w:tcPr>
            <w:tcW w:w="6040" w:type="dxa"/>
            <w:vAlign w:val="bottom"/>
          </w:tcPr>
          <w:p>
            <w:pPr>
              <w:ind w:left="140"/>
              <w:spacing w:after="0"/>
              <w:rPr>
                <w:sz w:val="20"/>
                <w:szCs w:val="20"/>
                <w:color w:val="auto"/>
              </w:rPr>
            </w:pPr>
            <w:r>
              <w:rPr>
                <w:rFonts w:ascii="Arial" w:cs="Arial" w:eastAsia="Arial" w:hAnsi="Arial"/>
                <w:sz w:val="18"/>
                <w:szCs w:val="18"/>
                <w:color w:val="auto"/>
              </w:rPr>
              <w:t>Net income attributable to PAGP</w:t>
            </w:r>
          </w:p>
        </w:tc>
        <w:tc>
          <w:tcPr>
            <w:tcW w:w="820" w:type="dxa"/>
            <w:vAlign w:val="bottom"/>
          </w:tcPr>
          <w:p>
            <w:pPr>
              <w:jc w:val="right"/>
              <w:ind w:right="619"/>
              <w:spacing w:after="0"/>
              <w:rPr>
                <w:sz w:val="20"/>
                <w:szCs w:val="20"/>
                <w:color w:val="auto"/>
              </w:rPr>
            </w:pPr>
            <w:r>
              <w:rPr>
                <w:rFonts w:ascii="Arial" w:cs="Arial" w:eastAsia="Arial" w:hAnsi="Arial"/>
                <w:sz w:val="18"/>
                <w:szCs w:val="18"/>
                <w:color w:val="auto"/>
                <w:w w:val="9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9"/>
                <w:szCs w:val="19"/>
                <w:color w:val="auto"/>
              </w:rPr>
            </w:pPr>
          </w:p>
        </w:tc>
        <w:tc>
          <w:tcPr>
            <w:tcW w:w="840" w:type="dxa"/>
            <w:vAlign w:val="bottom"/>
          </w:tcPr>
          <w:p>
            <w:pPr>
              <w:jc w:val="right"/>
              <w:ind w:right="636"/>
              <w:spacing w:after="0"/>
              <w:rPr>
                <w:sz w:val="20"/>
                <w:szCs w:val="20"/>
                <w:color w:val="auto"/>
              </w:rPr>
            </w:pPr>
            <w:r>
              <w:rPr>
                <w:rFonts w:ascii="Arial" w:cs="Arial" w:eastAsia="Arial" w:hAnsi="Arial"/>
                <w:sz w:val="18"/>
                <w:szCs w:val="18"/>
                <w:color w:val="auto"/>
                <w:w w:val="9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146</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124</w:t>
            </w:r>
          </w:p>
        </w:tc>
      </w:tr>
      <w:tr>
        <w:trPr>
          <w:trHeight w:val="229"/>
        </w:trPr>
        <w:tc>
          <w:tcPr>
            <w:tcW w:w="6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Basic and diluted weighted average Class A shares outstanding</w:t>
            </w:r>
          </w:p>
        </w:tc>
        <w:tc>
          <w:tcPr>
            <w:tcW w:w="8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r>
      <w:tr>
        <w:trPr>
          <w:trHeight w:val="257"/>
        </w:trPr>
        <w:tc>
          <w:tcPr>
            <w:tcW w:w="60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60" w:type="dxa"/>
            <w:vAlign w:val="bottom"/>
          </w:tcPr>
          <w:p>
            <w:pPr>
              <w:spacing w:after="0"/>
              <w:rPr>
                <w:sz w:val="22"/>
                <w:szCs w:val="22"/>
                <w:color w:val="auto"/>
              </w:rPr>
            </w:pPr>
          </w:p>
        </w:tc>
      </w:tr>
      <w:tr>
        <w:trPr>
          <w:trHeight w:val="254"/>
        </w:trPr>
        <w:tc>
          <w:tcPr>
            <w:tcW w:w="60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Basic and diluted net income per Class A share</w:t>
            </w:r>
          </w:p>
        </w:tc>
        <w:tc>
          <w:tcPr>
            <w:tcW w:w="820" w:type="dxa"/>
            <w:vAlign w:val="bottom"/>
            <w:tcBorders>
              <w:bottom w:val="single" w:sz="8" w:color="auto"/>
            </w:tcBorders>
            <w:shd w:val="clear" w:color="auto" w:fill="CCEEFF"/>
          </w:tcPr>
          <w:p>
            <w:pPr>
              <w:jc w:val="right"/>
              <w:ind w:right="619"/>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0.15</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ind w:right="636"/>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0.36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0.64</w:t>
            </w:r>
          </w:p>
        </w:tc>
      </w:tr>
      <w:tr>
        <w:trPr>
          <w:trHeight w:val="20"/>
        </w:trPr>
        <w:tc>
          <w:tcPr>
            <w:tcW w:w="60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Forward-Looking Statements</w:t>
      </w:r>
    </w:p>
    <w:p>
      <w:pPr>
        <w:spacing w:after="0" w:line="306" w:lineRule="exact"/>
        <w:rPr>
          <w:sz w:val="20"/>
          <w:szCs w:val="20"/>
          <w:color w:val="auto"/>
        </w:rPr>
      </w:pPr>
    </w:p>
    <w:p>
      <w:pPr>
        <w:ind w:right="220" w:firstLine="648"/>
        <w:spacing w:after="0" w:line="263" w:lineRule="auto"/>
        <w:rPr>
          <w:sz w:val="20"/>
          <w:szCs w:val="20"/>
          <w:color w:val="auto"/>
        </w:rPr>
      </w:pPr>
      <w:r>
        <w:rPr>
          <w:rFonts w:ascii="Arial" w:cs="Arial" w:eastAsia="Arial" w:hAnsi="Arial"/>
          <w:sz w:val="18"/>
          <w:szCs w:val="18"/>
          <w:color w:val="auto"/>
        </w:rPr>
        <w:t>Except for the historical information contained herein, the matters discussed in this release consist of forward-looking statements that involve certain risks and uncertainties that could cause actual results or outcomes to differ materially from results or outcomes anticipated in the forward-looking statements. These risks and uncertainties include, among other things, the following:</w:t>
      </w:r>
    </w:p>
    <w:p>
      <w:pPr>
        <w:spacing w:after="0" w:line="251" w:lineRule="exact"/>
        <w:rPr>
          <w:sz w:val="20"/>
          <w:szCs w:val="20"/>
          <w:color w:val="auto"/>
        </w:rPr>
      </w:pPr>
    </w:p>
    <w:p>
      <w:pPr>
        <w:ind w:left="660" w:right="80" w:hanging="328"/>
        <w:spacing w:after="0" w:line="264" w:lineRule="auto"/>
        <w:tabs>
          <w:tab w:leader="none" w:pos="655" w:val="left"/>
        </w:tabs>
        <w:numPr>
          <w:ilvl w:val="0"/>
          <w:numId w:val="24"/>
        </w:numPr>
        <w:rPr>
          <w:rFonts w:ascii="Arial" w:cs="Arial" w:eastAsia="Arial" w:hAnsi="Arial"/>
          <w:sz w:val="21"/>
          <w:szCs w:val="21"/>
          <w:color w:val="auto"/>
        </w:rPr>
      </w:pPr>
      <w:r>
        <w:rPr>
          <w:rFonts w:ascii="Arial" w:cs="Arial" w:eastAsia="Arial" w:hAnsi="Arial"/>
          <w:sz w:val="17"/>
          <w:szCs w:val="17"/>
          <w:color w:val="auto"/>
        </w:rPr>
        <w:t>general economic, market or business conditions in the United States and elsewhere (including the potential for a recession or significant slowdown in economic activity levels, the risk of persistently high inflation and continued supply chain issues, the impact of pandemics on demand and growth, and the timing, pace and extent of economic recovery) that impact (i) demand for crude oil, drilling and production activities and therefore the demand for the midstream services we provide and (ii) commercial opportunities available to us;</w:t>
      </w:r>
    </w:p>
    <w:p>
      <w:pPr>
        <w:spacing w:after="0" w:line="115" w:lineRule="exact"/>
        <w:rPr>
          <w:rFonts w:ascii="Arial" w:cs="Arial" w:eastAsia="Arial" w:hAnsi="Arial"/>
          <w:sz w:val="21"/>
          <w:szCs w:val="21"/>
          <w:color w:val="auto"/>
        </w:rPr>
      </w:pPr>
    </w:p>
    <w:p>
      <w:pPr>
        <w:ind w:left="660" w:right="40" w:hanging="328"/>
        <w:spacing w:after="0" w:line="261" w:lineRule="auto"/>
        <w:tabs>
          <w:tab w:leader="none" w:pos="655" w:val="left"/>
        </w:tabs>
        <w:numPr>
          <w:ilvl w:val="0"/>
          <w:numId w:val="24"/>
        </w:numPr>
        <w:rPr>
          <w:rFonts w:ascii="Arial" w:cs="Arial" w:eastAsia="Arial" w:hAnsi="Arial"/>
          <w:sz w:val="21"/>
          <w:szCs w:val="21"/>
          <w:color w:val="auto"/>
        </w:rPr>
      </w:pPr>
      <w:r>
        <w:rPr>
          <w:rFonts w:ascii="Arial" w:cs="Arial" w:eastAsia="Arial" w:hAnsi="Arial"/>
          <w:sz w:val="17"/>
          <w:szCs w:val="17"/>
          <w:color w:val="auto"/>
        </w:rPr>
        <w:t>declines in global crude oil demand and crude oil prices (whether due to pandemics or other factors) or other factors that correspondingly lead to a significant reduction of North American crude oil and NGL production (whether due to reduced producer cash flow to fund drilling activities or the inability of producers to access capital, or both, the unavailability of pipeline and/or storage capacity, the shutting-in of production by producers, government-mandated pro-ration orders, or other factors), which in turn could result in significant declines in the actual or expected volume of crude oil and NGL shipped, processed, purchased, stored, fractionated and/or gathered at or through the use of our assets and/or the reduction of the margins we earn or the commercial opportunities that might otherwise be available to us;</w:t>
      </w:r>
    </w:p>
    <w:p>
      <w:pPr>
        <w:spacing w:after="0" w:line="119" w:lineRule="exact"/>
        <w:rPr>
          <w:rFonts w:ascii="Arial" w:cs="Arial" w:eastAsia="Arial" w:hAnsi="Arial"/>
          <w:sz w:val="21"/>
          <w:szCs w:val="21"/>
          <w:color w:val="auto"/>
        </w:rPr>
      </w:pPr>
    </w:p>
    <w:p>
      <w:pPr>
        <w:ind w:left="660" w:right="300" w:hanging="328"/>
        <w:spacing w:after="0" w:line="232" w:lineRule="auto"/>
        <w:tabs>
          <w:tab w:leader="none" w:pos="655" w:val="left"/>
        </w:tabs>
        <w:numPr>
          <w:ilvl w:val="0"/>
          <w:numId w:val="24"/>
        </w:numPr>
        <w:rPr>
          <w:rFonts w:ascii="Arial" w:cs="Arial" w:eastAsia="Arial" w:hAnsi="Arial"/>
          <w:sz w:val="22"/>
          <w:szCs w:val="22"/>
          <w:color w:val="auto"/>
        </w:rPr>
      </w:pPr>
      <w:r>
        <w:rPr>
          <w:rFonts w:ascii="Arial" w:cs="Arial" w:eastAsia="Arial" w:hAnsi="Arial"/>
          <w:sz w:val="18"/>
          <w:szCs w:val="18"/>
          <w:color w:val="auto"/>
        </w:rPr>
        <w:t>fluctuations in refinery capacity in areas supplied by our mainlines and other factors affecting demand for various grades of crude oil and NGL and resulting changes in pricing conditions or transportation throughput requirements;</w:t>
      </w:r>
    </w:p>
    <w:p>
      <w:pPr>
        <w:spacing w:after="0" w:line="113" w:lineRule="exact"/>
        <w:rPr>
          <w:rFonts w:ascii="Arial" w:cs="Arial" w:eastAsia="Arial" w:hAnsi="Arial"/>
          <w:sz w:val="22"/>
          <w:szCs w:val="22"/>
          <w:color w:val="auto"/>
        </w:rPr>
      </w:pPr>
    </w:p>
    <w:p>
      <w:pPr>
        <w:ind w:left="660" w:hanging="328"/>
        <w:spacing w:after="0"/>
        <w:tabs>
          <w:tab w:leader="none" w:pos="660" w:val="left"/>
        </w:tabs>
        <w:numPr>
          <w:ilvl w:val="0"/>
          <w:numId w:val="24"/>
        </w:numPr>
        <w:rPr>
          <w:rFonts w:ascii="Arial" w:cs="Arial" w:eastAsia="Arial" w:hAnsi="Arial"/>
          <w:sz w:val="22"/>
          <w:szCs w:val="22"/>
          <w:color w:val="auto"/>
        </w:rPr>
      </w:pPr>
      <w:r>
        <w:rPr>
          <w:rFonts w:ascii="Arial" w:cs="Arial" w:eastAsia="Arial" w:hAnsi="Arial"/>
          <w:sz w:val="18"/>
          <w:szCs w:val="18"/>
          <w:color w:val="auto"/>
        </w:rPr>
        <w:t>unanticipated changes in crude oil and NGL market structure, grade differentials and volatility (or lack thereof);</w:t>
      </w:r>
    </w:p>
    <w:p>
      <w:pPr>
        <w:spacing w:after="0" w:line="134" w:lineRule="exact"/>
        <w:rPr>
          <w:rFonts w:ascii="Arial" w:cs="Arial" w:eastAsia="Arial" w:hAnsi="Arial"/>
          <w:sz w:val="22"/>
          <w:szCs w:val="22"/>
          <w:color w:val="auto"/>
        </w:rPr>
      </w:pPr>
    </w:p>
    <w:p>
      <w:pPr>
        <w:ind w:left="660" w:right="120" w:hanging="328"/>
        <w:spacing w:after="0" w:line="238" w:lineRule="auto"/>
        <w:tabs>
          <w:tab w:leader="none" w:pos="655" w:val="left"/>
        </w:tabs>
        <w:numPr>
          <w:ilvl w:val="0"/>
          <w:numId w:val="24"/>
        </w:numPr>
        <w:rPr>
          <w:rFonts w:ascii="Arial" w:cs="Arial" w:eastAsia="Arial" w:hAnsi="Arial"/>
          <w:sz w:val="22"/>
          <w:szCs w:val="22"/>
          <w:color w:val="auto"/>
        </w:rPr>
      </w:pPr>
      <w:r>
        <w:rPr>
          <w:rFonts w:ascii="Arial" w:cs="Arial" w:eastAsia="Arial" w:hAnsi="Arial"/>
          <w:sz w:val="18"/>
          <w:szCs w:val="18"/>
          <w:color w:val="auto"/>
        </w:rPr>
        <w:t>the effects of competition and capacity overbuild in areas where we operate, including downward pressure on rates and margins, contract renewal risk and the risk of loss of business to other midstream operators who are willing or under pressure to aggressively reduce transportation rates in order to capture or preserve customers;</w:t>
      </w:r>
    </w:p>
    <w:p>
      <w:pPr>
        <w:spacing w:after="0" w:line="135" w:lineRule="exact"/>
        <w:rPr>
          <w:rFonts w:ascii="Arial" w:cs="Arial" w:eastAsia="Arial" w:hAnsi="Arial"/>
          <w:sz w:val="22"/>
          <w:szCs w:val="22"/>
          <w:color w:val="auto"/>
        </w:rPr>
      </w:pPr>
    </w:p>
    <w:p>
      <w:pPr>
        <w:ind w:left="660" w:right="180" w:hanging="328"/>
        <w:spacing w:after="0" w:line="251" w:lineRule="auto"/>
        <w:tabs>
          <w:tab w:leader="none" w:pos="655" w:val="left"/>
        </w:tabs>
        <w:numPr>
          <w:ilvl w:val="0"/>
          <w:numId w:val="24"/>
        </w:numPr>
        <w:rPr>
          <w:rFonts w:ascii="Arial" w:cs="Arial" w:eastAsia="Arial" w:hAnsi="Arial"/>
          <w:sz w:val="21"/>
          <w:szCs w:val="21"/>
          <w:color w:val="auto"/>
        </w:rPr>
      </w:pPr>
      <w:r>
        <w:rPr>
          <w:rFonts w:ascii="Arial" w:cs="Arial" w:eastAsia="Arial" w:hAnsi="Arial"/>
          <w:sz w:val="17"/>
          <w:szCs w:val="17"/>
          <w:color w:val="auto"/>
        </w:rPr>
        <w:t>negative societal sentiment regarding the hydrocarbon energy industry and the continued development and consumption of hydrocarbons, which could influence consumer preferences and governmental or regulatory actions that adversely impact our business;</w:t>
      </w:r>
    </w:p>
    <w:p>
      <w:pPr>
        <w:spacing w:after="0" w:line="100" w:lineRule="exact"/>
        <w:rPr>
          <w:rFonts w:ascii="Arial" w:cs="Arial" w:eastAsia="Arial" w:hAnsi="Arial"/>
          <w:sz w:val="21"/>
          <w:szCs w:val="21"/>
          <w:color w:val="auto"/>
        </w:rPr>
      </w:pPr>
    </w:p>
    <w:p>
      <w:pPr>
        <w:ind w:left="660" w:hanging="328"/>
        <w:spacing w:after="0"/>
        <w:tabs>
          <w:tab w:leader="none" w:pos="660" w:val="left"/>
        </w:tabs>
        <w:numPr>
          <w:ilvl w:val="0"/>
          <w:numId w:val="24"/>
        </w:numPr>
        <w:rPr>
          <w:rFonts w:ascii="Arial" w:cs="Arial" w:eastAsia="Arial" w:hAnsi="Arial"/>
          <w:sz w:val="22"/>
          <w:szCs w:val="22"/>
          <w:color w:val="auto"/>
        </w:rPr>
      </w:pPr>
      <w:r>
        <w:rPr>
          <w:rFonts w:ascii="Arial" w:cs="Arial" w:eastAsia="Arial" w:hAnsi="Arial"/>
          <w:sz w:val="18"/>
          <w:szCs w:val="18"/>
          <w:color w:val="auto"/>
        </w:rPr>
        <w:t>environmental liabilities, litigation or other events that are not covered by an indemnity, insurance or existing reserves;</w:t>
      </w:r>
    </w:p>
    <w:p>
      <w:pPr>
        <w:spacing w:after="0" w:line="147" w:lineRule="exact"/>
        <w:rPr>
          <w:rFonts w:ascii="Arial" w:cs="Arial" w:eastAsia="Arial" w:hAnsi="Arial"/>
          <w:sz w:val="22"/>
          <w:szCs w:val="22"/>
          <w:color w:val="auto"/>
        </w:rPr>
      </w:pPr>
    </w:p>
    <w:p>
      <w:pPr>
        <w:ind w:left="660" w:right="700" w:hanging="328"/>
        <w:spacing w:after="0" w:line="232" w:lineRule="auto"/>
        <w:tabs>
          <w:tab w:leader="none" w:pos="655" w:val="left"/>
        </w:tabs>
        <w:numPr>
          <w:ilvl w:val="0"/>
          <w:numId w:val="24"/>
        </w:numPr>
        <w:rPr>
          <w:rFonts w:ascii="Arial" w:cs="Arial" w:eastAsia="Arial" w:hAnsi="Arial"/>
          <w:sz w:val="22"/>
          <w:szCs w:val="22"/>
          <w:color w:val="auto"/>
        </w:rPr>
      </w:pPr>
      <w:r>
        <w:rPr>
          <w:rFonts w:ascii="Arial" w:cs="Arial" w:eastAsia="Arial" w:hAnsi="Arial"/>
          <w:sz w:val="18"/>
          <w:szCs w:val="18"/>
          <w:color w:val="auto"/>
        </w:rPr>
        <w:t>the occurrence of a natural disaster, catastrophe, terrorist attack (including eco-terrorist attacks) or other event that materially impacts our operations, including cyber or other attacks on our electronic and computer systems;</w:t>
      </w: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100330</wp:posOffset>
            </wp:positionV>
            <wp:extent cx="711517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55" w:lineRule="exact"/>
        <w:rPr>
          <w:sz w:val="20"/>
          <w:szCs w:val="20"/>
          <w:color w:val="auto"/>
        </w:rPr>
      </w:pPr>
    </w:p>
    <w:p>
      <w:pPr>
        <w:ind w:left="1660"/>
        <w:spacing w:after="0"/>
        <w:tabs>
          <w:tab w:leader="none" w:pos="4760" w:val="left"/>
          <w:tab w:leader="none" w:pos="74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240"/>
          </w:cols>
          <w:pgMar w:left="320" w:top="368"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auto"/>
        </w:rPr>
        <w:t>Page 21</w:t>
      </w:r>
    </w:p>
    <w:p>
      <w:pPr>
        <w:spacing w:after="0" w:line="200" w:lineRule="exact"/>
        <w:rPr>
          <w:sz w:val="20"/>
          <w:szCs w:val="20"/>
          <w:color w:val="auto"/>
        </w:rPr>
      </w:pPr>
    </w:p>
    <w:p>
      <w:pPr>
        <w:spacing w:after="0" w:line="259"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22"/>
          <w:szCs w:val="22"/>
          <w:color w:val="auto"/>
        </w:rPr>
      </w:pPr>
      <w:r>
        <w:rPr>
          <w:rFonts w:ascii="Arial" w:cs="Arial" w:eastAsia="Arial" w:hAnsi="Arial"/>
          <w:sz w:val="18"/>
          <w:szCs w:val="18"/>
          <w:color w:val="auto"/>
        </w:rPr>
        <w:t>weather interference with business operations or project construction, including the impact of extreme weather events or conditions;</w:t>
      </w:r>
    </w:p>
    <w:p>
      <w:pPr>
        <w:spacing w:after="0" w:line="134" w:lineRule="exact"/>
        <w:rPr>
          <w:rFonts w:ascii="Arial" w:cs="Arial" w:eastAsia="Arial" w:hAnsi="Arial"/>
          <w:sz w:val="22"/>
          <w:szCs w:val="22"/>
          <w:color w:val="auto"/>
        </w:rPr>
      </w:pPr>
    </w:p>
    <w:p>
      <w:pPr>
        <w:ind w:left="660" w:hanging="328"/>
        <w:spacing w:after="0" w:line="241" w:lineRule="auto"/>
        <w:tabs>
          <w:tab w:leader="none" w:pos="655" w:val="left"/>
        </w:tabs>
        <w:numPr>
          <w:ilvl w:val="0"/>
          <w:numId w:val="25"/>
        </w:numPr>
        <w:rPr>
          <w:rFonts w:ascii="Arial" w:cs="Arial" w:eastAsia="Arial" w:hAnsi="Arial"/>
          <w:sz w:val="22"/>
          <w:szCs w:val="22"/>
          <w:color w:val="auto"/>
        </w:rPr>
      </w:pPr>
      <w:r>
        <w:rPr>
          <w:rFonts w:ascii="Arial" w:cs="Arial" w:eastAsia="Arial" w:hAnsi="Arial"/>
          <w:sz w:val="18"/>
          <w:szCs w:val="18"/>
          <w:color w:val="auto"/>
        </w:rPr>
        <w:t>the impact of current and future laws, rulings, governmental regulations, executive orders, trade policies, accounting standards and statements, and related interpretations, including legislation, executive orders or regulatory initiatives that prohibit, restrict or regulate hydraulic fracturing or that prohibit the development of oil and gas resources and the related infrastructure on lands dedicated to or served by our pipelines or that negatively impact our ability to develop, operate or repair midstream assets;</w:t>
      </w:r>
    </w:p>
    <w:p>
      <w:pPr>
        <w:spacing w:after="0" w:line="112" w:lineRule="exact"/>
        <w:rPr>
          <w:rFonts w:ascii="Arial" w:cs="Arial" w:eastAsia="Arial" w:hAnsi="Arial"/>
          <w:sz w:val="22"/>
          <w:szCs w:val="22"/>
          <w:color w:val="auto"/>
        </w:rPr>
      </w:pPr>
    </w:p>
    <w:p>
      <w:pPr>
        <w:ind w:left="660" w:hanging="328"/>
        <w:spacing w:after="0"/>
        <w:tabs>
          <w:tab w:leader="none" w:pos="660" w:val="left"/>
        </w:tabs>
        <w:numPr>
          <w:ilvl w:val="0"/>
          <w:numId w:val="25"/>
        </w:numPr>
        <w:rPr>
          <w:rFonts w:ascii="Arial" w:cs="Arial" w:eastAsia="Arial" w:hAnsi="Arial"/>
          <w:sz w:val="22"/>
          <w:szCs w:val="22"/>
          <w:color w:val="auto"/>
        </w:rPr>
      </w:pPr>
      <w:r>
        <w:rPr>
          <w:rFonts w:ascii="Arial" w:cs="Arial" w:eastAsia="Arial" w:hAnsi="Arial"/>
          <w:sz w:val="18"/>
          <w:szCs w:val="18"/>
          <w:color w:val="auto"/>
        </w:rPr>
        <w:t>loss of key personnel and inability to attract and retain new talent;</w:t>
      </w:r>
    </w:p>
    <w:p>
      <w:pPr>
        <w:spacing w:after="0" w:line="147" w:lineRule="exact"/>
        <w:rPr>
          <w:rFonts w:ascii="Arial" w:cs="Arial" w:eastAsia="Arial" w:hAnsi="Arial"/>
          <w:sz w:val="22"/>
          <w:szCs w:val="22"/>
          <w:color w:val="auto"/>
        </w:rPr>
      </w:pPr>
    </w:p>
    <w:p>
      <w:pPr>
        <w:ind w:left="660" w:right="540" w:hanging="328"/>
        <w:spacing w:after="0" w:line="232" w:lineRule="auto"/>
        <w:tabs>
          <w:tab w:leader="none" w:pos="655" w:val="left"/>
        </w:tabs>
        <w:numPr>
          <w:ilvl w:val="0"/>
          <w:numId w:val="25"/>
        </w:numPr>
        <w:rPr>
          <w:rFonts w:ascii="Arial" w:cs="Arial" w:eastAsia="Arial" w:hAnsi="Arial"/>
          <w:sz w:val="22"/>
          <w:szCs w:val="22"/>
          <w:color w:val="auto"/>
        </w:rPr>
      </w:pPr>
      <w:r>
        <w:rPr>
          <w:rFonts w:ascii="Arial" w:cs="Arial" w:eastAsia="Arial" w:hAnsi="Arial"/>
          <w:sz w:val="18"/>
          <w:szCs w:val="18"/>
          <w:color w:val="auto"/>
        </w:rPr>
        <w:t>disruptions to futures markets for crude oil, NGL and other petroleum products, which may impair our ability to execute our commercial or hedging strategies;</w:t>
      </w:r>
    </w:p>
    <w:p>
      <w:pPr>
        <w:spacing w:after="0" w:line="113" w:lineRule="exact"/>
        <w:rPr>
          <w:rFonts w:ascii="Arial" w:cs="Arial" w:eastAsia="Arial" w:hAnsi="Arial"/>
          <w:sz w:val="22"/>
          <w:szCs w:val="22"/>
          <w:color w:val="auto"/>
        </w:rPr>
      </w:pPr>
    </w:p>
    <w:p>
      <w:pPr>
        <w:ind w:left="660" w:hanging="328"/>
        <w:spacing w:after="0"/>
        <w:tabs>
          <w:tab w:leader="none" w:pos="660" w:val="left"/>
        </w:tabs>
        <w:numPr>
          <w:ilvl w:val="0"/>
          <w:numId w:val="25"/>
        </w:numPr>
        <w:rPr>
          <w:rFonts w:ascii="Arial" w:cs="Arial" w:eastAsia="Arial" w:hAnsi="Arial"/>
          <w:sz w:val="22"/>
          <w:szCs w:val="22"/>
          <w:color w:val="auto"/>
        </w:rPr>
      </w:pPr>
      <w:r>
        <w:rPr>
          <w:rFonts w:ascii="Arial" w:cs="Arial" w:eastAsia="Arial" w:hAnsi="Arial"/>
          <w:sz w:val="18"/>
          <w:szCs w:val="18"/>
          <w:color w:val="auto"/>
        </w:rPr>
        <w:t>the effectiveness of our risk management activities;</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25"/>
        </w:numPr>
        <w:rPr>
          <w:rFonts w:ascii="Arial" w:cs="Arial" w:eastAsia="Arial" w:hAnsi="Arial"/>
          <w:sz w:val="22"/>
          <w:szCs w:val="22"/>
          <w:color w:val="auto"/>
        </w:rPr>
      </w:pPr>
      <w:r>
        <w:rPr>
          <w:rFonts w:ascii="Arial" w:cs="Arial" w:eastAsia="Arial" w:hAnsi="Arial"/>
          <w:sz w:val="18"/>
          <w:szCs w:val="18"/>
          <w:color w:val="auto"/>
        </w:rPr>
        <w:t>shortages or cost increases of supplies, materials or labor;</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25"/>
        </w:numPr>
        <w:rPr>
          <w:rFonts w:ascii="Arial" w:cs="Arial" w:eastAsia="Arial" w:hAnsi="Arial"/>
          <w:sz w:val="22"/>
          <w:szCs w:val="22"/>
          <w:color w:val="auto"/>
        </w:rPr>
      </w:pPr>
      <w:r>
        <w:rPr>
          <w:rFonts w:ascii="Arial" w:cs="Arial" w:eastAsia="Arial" w:hAnsi="Arial"/>
          <w:sz w:val="18"/>
          <w:szCs w:val="18"/>
          <w:color w:val="auto"/>
        </w:rPr>
        <w:t>maintenance of our credit rating and ability to receive open credit from our suppliers and trade counterparties;</w:t>
      </w:r>
    </w:p>
    <w:p>
      <w:pPr>
        <w:spacing w:after="0" w:line="134" w:lineRule="exact"/>
        <w:rPr>
          <w:rFonts w:ascii="Arial" w:cs="Arial" w:eastAsia="Arial" w:hAnsi="Arial"/>
          <w:sz w:val="22"/>
          <w:szCs w:val="22"/>
          <w:color w:val="auto"/>
        </w:rPr>
      </w:pPr>
    </w:p>
    <w:p>
      <w:pPr>
        <w:ind w:left="660" w:right="100" w:hanging="328"/>
        <w:spacing w:after="0" w:line="239" w:lineRule="auto"/>
        <w:tabs>
          <w:tab w:leader="none" w:pos="655" w:val="left"/>
        </w:tabs>
        <w:numPr>
          <w:ilvl w:val="0"/>
          <w:numId w:val="25"/>
        </w:numPr>
        <w:rPr>
          <w:rFonts w:ascii="Arial" w:cs="Arial" w:eastAsia="Arial" w:hAnsi="Arial"/>
          <w:sz w:val="22"/>
          <w:szCs w:val="22"/>
          <w:color w:val="auto"/>
        </w:rPr>
      </w:pPr>
      <w:r>
        <w:rPr>
          <w:rFonts w:ascii="Arial" w:cs="Arial" w:eastAsia="Arial" w:hAnsi="Arial"/>
          <w:sz w:val="18"/>
          <w:szCs w:val="18"/>
          <w:color w:val="auto"/>
        </w:rPr>
        <w:t>the successful operation of joint ventures and joint operating arrangements we enter into from time to time, whether relating to assets operated by us or by third parties, and the successful integration and future performance of acquired assets or businesses;</w:t>
      </w:r>
    </w:p>
    <w:p>
      <w:pPr>
        <w:spacing w:after="0" w:line="113" w:lineRule="exact"/>
        <w:rPr>
          <w:rFonts w:ascii="Arial" w:cs="Arial" w:eastAsia="Arial" w:hAnsi="Arial"/>
          <w:sz w:val="22"/>
          <w:szCs w:val="22"/>
          <w:color w:val="auto"/>
        </w:rPr>
      </w:pPr>
    </w:p>
    <w:p>
      <w:pPr>
        <w:ind w:left="660" w:hanging="328"/>
        <w:spacing w:after="0"/>
        <w:tabs>
          <w:tab w:leader="none" w:pos="660" w:val="left"/>
        </w:tabs>
        <w:numPr>
          <w:ilvl w:val="0"/>
          <w:numId w:val="25"/>
        </w:numPr>
        <w:rPr>
          <w:rFonts w:ascii="Arial" w:cs="Arial" w:eastAsia="Arial" w:hAnsi="Arial"/>
          <w:sz w:val="22"/>
          <w:szCs w:val="22"/>
          <w:color w:val="auto"/>
        </w:rPr>
      </w:pPr>
      <w:r>
        <w:rPr>
          <w:rFonts w:ascii="Arial" w:cs="Arial" w:eastAsia="Arial" w:hAnsi="Arial"/>
          <w:sz w:val="18"/>
          <w:szCs w:val="18"/>
          <w:color w:val="auto"/>
        </w:rPr>
        <w:t>the availability of, and our ability to consummate, divestitures, joint ventures, acquisitions or other strategic opportunities;</w:t>
      </w:r>
    </w:p>
    <w:p>
      <w:pPr>
        <w:spacing w:after="0" w:line="134" w:lineRule="exact"/>
        <w:rPr>
          <w:rFonts w:ascii="Arial" w:cs="Arial" w:eastAsia="Arial" w:hAnsi="Arial"/>
          <w:sz w:val="22"/>
          <w:szCs w:val="22"/>
          <w:color w:val="auto"/>
        </w:rPr>
      </w:pPr>
    </w:p>
    <w:p>
      <w:pPr>
        <w:ind w:left="660" w:right="40" w:hanging="328"/>
        <w:spacing w:after="0" w:line="284" w:lineRule="auto"/>
        <w:tabs>
          <w:tab w:leader="none" w:pos="655" w:val="left"/>
        </w:tabs>
        <w:numPr>
          <w:ilvl w:val="0"/>
          <w:numId w:val="25"/>
        </w:numPr>
        <w:rPr>
          <w:rFonts w:ascii="Arial" w:cs="Arial" w:eastAsia="Arial" w:hAnsi="Arial"/>
          <w:sz w:val="19"/>
          <w:szCs w:val="19"/>
          <w:color w:val="auto"/>
        </w:rPr>
      </w:pPr>
      <w:r>
        <w:rPr>
          <w:rFonts w:ascii="Arial" w:cs="Arial" w:eastAsia="Arial" w:hAnsi="Arial"/>
          <w:sz w:val="16"/>
          <w:szCs w:val="16"/>
          <w:color w:val="auto"/>
        </w:rPr>
        <w:t>the refusal or inability of our customers or counterparties to perform their obligations under their contracts with us (including commercial contracts, asset sale agreements and other agreements), whether justified or not and whether due to financial constraints (such as reduced creditworthiness, liquidity issues or insolvency), market constraints, legal constraints (including governmental orders or guidance), the exercise of contractual or common law rights that allegedly excuse their performance (such as force majeure or similar claims) or other factors;</w:t>
      </w:r>
    </w:p>
    <w:p>
      <w:pPr>
        <w:spacing w:after="0" w:line="100" w:lineRule="exact"/>
        <w:rPr>
          <w:rFonts w:ascii="Arial" w:cs="Arial" w:eastAsia="Arial" w:hAnsi="Arial"/>
          <w:sz w:val="19"/>
          <w:szCs w:val="19"/>
          <w:color w:val="auto"/>
        </w:rPr>
      </w:pPr>
    </w:p>
    <w:p>
      <w:pPr>
        <w:ind w:left="660" w:right="200" w:hanging="328"/>
        <w:spacing w:after="0" w:line="238" w:lineRule="auto"/>
        <w:tabs>
          <w:tab w:leader="none" w:pos="655" w:val="left"/>
        </w:tabs>
        <w:numPr>
          <w:ilvl w:val="0"/>
          <w:numId w:val="25"/>
        </w:numPr>
        <w:rPr>
          <w:rFonts w:ascii="Arial" w:cs="Arial" w:eastAsia="Arial" w:hAnsi="Arial"/>
          <w:sz w:val="22"/>
          <w:szCs w:val="22"/>
          <w:color w:val="auto"/>
        </w:rPr>
      </w:pPr>
      <w:r>
        <w:rPr>
          <w:rFonts w:ascii="Arial" w:cs="Arial" w:eastAsia="Arial" w:hAnsi="Arial"/>
          <w:sz w:val="18"/>
          <w:szCs w:val="18"/>
          <w:color w:val="auto"/>
        </w:rPr>
        <w:t>our inability to perform our obligations under our contracts, whether due to non-performance by third parties, including our customers or counterparties, market constraints, third-party constraints, supply chain issues, legal constraints (including governmental orders or guidance), or other factors or events;</w:t>
      </w:r>
    </w:p>
    <w:p>
      <w:pPr>
        <w:spacing w:after="0" w:line="112" w:lineRule="exact"/>
        <w:rPr>
          <w:rFonts w:ascii="Arial" w:cs="Arial" w:eastAsia="Arial" w:hAnsi="Arial"/>
          <w:sz w:val="22"/>
          <w:szCs w:val="22"/>
          <w:color w:val="auto"/>
        </w:rPr>
      </w:pPr>
    </w:p>
    <w:p>
      <w:pPr>
        <w:ind w:left="660" w:hanging="328"/>
        <w:spacing w:after="0"/>
        <w:tabs>
          <w:tab w:leader="none" w:pos="660" w:val="left"/>
        </w:tabs>
        <w:numPr>
          <w:ilvl w:val="0"/>
          <w:numId w:val="25"/>
        </w:numPr>
        <w:rPr>
          <w:rFonts w:ascii="Arial" w:cs="Arial" w:eastAsia="Arial" w:hAnsi="Arial"/>
          <w:sz w:val="22"/>
          <w:szCs w:val="22"/>
          <w:color w:val="auto"/>
        </w:rPr>
      </w:pPr>
      <w:r>
        <w:rPr>
          <w:rFonts w:ascii="Arial" w:cs="Arial" w:eastAsia="Arial" w:hAnsi="Arial"/>
          <w:sz w:val="18"/>
          <w:szCs w:val="18"/>
          <w:color w:val="auto"/>
        </w:rPr>
        <w:t>the incurrence of costs and expenses related to unexpected or unplanned capital expenditures, third-party claims or other factors;</w:t>
      </w:r>
    </w:p>
    <w:p>
      <w:pPr>
        <w:spacing w:after="0" w:line="134" w:lineRule="exact"/>
        <w:rPr>
          <w:rFonts w:ascii="Arial" w:cs="Arial" w:eastAsia="Arial" w:hAnsi="Arial"/>
          <w:sz w:val="22"/>
          <w:szCs w:val="22"/>
          <w:color w:val="auto"/>
        </w:rPr>
      </w:pPr>
    </w:p>
    <w:p>
      <w:pPr>
        <w:ind w:left="660" w:right="380" w:hanging="328"/>
        <w:spacing w:after="0" w:line="232" w:lineRule="auto"/>
        <w:tabs>
          <w:tab w:leader="none" w:pos="655" w:val="left"/>
        </w:tabs>
        <w:numPr>
          <w:ilvl w:val="0"/>
          <w:numId w:val="25"/>
        </w:numPr>
        <w:rPr>
          <w:rFonts w:ascii="Arial" w:cs="Arial" w:eastAsia="Arial" w:hAnsi="Arial"/>
          <w:sz w:val="22"/>
          <w:szCs w:val="22"/>
          <w:color w:val="auto"/>
        </w:rPr>
      </w:pPr>
      <w:r>
        <w:rPr>
          <w:rFonts w:ascii="Arial" w:cs="Arial" w:eastAsia="Arial" w:hAnsi="Arial"/>
          <w:sz w:val="18"/>
          <w:szCs w:val="18"/>
          <w:color w:val="auto"/>
        </w:rPr>
        <w:t>failure to implement or capitalize, or delays in implementing or capitalizing, on investment capital projects, whether due to permitting delays, permitting withdrawals or other factors;</w:t>
      </w:r>
    </w:p>
    <w:p>
      <w:pPr>
        <w:spacing w:after="0" w:line="135" w:lineRule="exact"/>
        <w:rPr>
          <w:rFonts w:ascii="Arial" w:cs="Arial" w:eastAsia="Arial" w:hAnsi="Arial"/>
          <w:sz w:val="22"/>
          <w:szCs w:val="22"/>
          <w:color w:val="auto"/>
        </w:rPr>
      </w:pPr>
    </w:p>
    <w:p>
      <w:pPr>
        <w:ind w:left="660" w:right="420" w:hanging="328"/>
        <w:spacing w:after="0" w:line="314" w:lineRule="auto"/>
        <w:tabs>
          <w:tab w:leader="none" w:pos="655" w:val="left"/>
        </w:tabs>
        <w:numPr>
          <w:ilvl w:val="0"/>
          <w:numId w:val="25"/>
        </w:numPr>
        <w:rPr>
          <w:rFonts w:ascii="Arial" w:cs="Arial" w:eastAsia="Arial" w:hAnsi="Arial"/>
          <w:sz w:val="19"/>
          <w:szCs w:val="19"/>
          <w:color w:val="auto"/>
        </w:rPr>
      </w:pPr>
      <w:r>
        <w:rPr>
          <w:rFonts w:ascii="Arial" w:cs="Arial" w:eastAsia="Arial" w:hAnsi="Arial"/>
          <w:sz w:val="16"/>
          <w:szCs w:val="16"/>
          <w:color w:val="auto"/>
        </w:rPr>
        <w:t>tightened capital markets or other factors that increase our cost of capital or limit our ability to obtain debt or equity financing on satisfactory terms to fund acquisitions, investment capital projects, working capital requirements and the repayment or refinancing of indebtedness;</w:t>
      </w:r>
    </w:p>
    <w:p>
      <w:pPr>
        <w:spacing w:after="0" w:line="44" w:lineRule="exact"/>
        <w:rPr>
          <w:rFonts w:ascii="Arial" w:cs="Arial" w:eastAsia="Arial" w:hAnsi="Arial"/>
          <w:sz w:val="19"/>
          <w:szCs w:val="19"/>
          <w:color w:val="auto"/>
        </w:rPr>
      </w:pPr>
    </w:p>
    <w:p>
      <w:pPr>
        <w:ind w:left="660" w:hanging="328"/>
        <w:spacing w:after="0"/>
        <w:tabs>
          <w:tab w:leader="none" w:pos="660" w:val="left"/>
        </w:tabs>
        <w:numPr>
          <w:ilvl w:val="0"/>
          <w:numId w:val="25"/>
        </w:numPr>
        <w:rPr>
          <w:rFonts w:ascii="Arial" w:cs="Arial" w:eastAsia="Arial" w:hAnsi="Arial"/>
          <w:sz w:val="22"/>
          <w:szCs w:val="22"/>
          <w:color w:val="auto"/>
        </w:rPr>
      </w:pPr>
      <w:r>
        <w:rPr>
          <w:rFonts w:ascii="Arial" w:cs="Arial" w:eastAsia="Arial" w:hAnsi="Arial"/>
          <w:sz w:val="18"/>
          <w:szCs w:val="18"/>
          <w:color w:val="auto"/>
        </w:rPr>
        <w:t>the amplification of other risks caused by volatile financial markets, capital constraints, liquidity concerns and inflation;</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25"/>
        </w:numPr>
        <w:rPr>
          <w:rFonts w:ascii="Arial" w:cs="Arial" w:eastAsia="Arial" w:hAnsi="Arial"/>
          <w:sz w:val="22"/>
          <w:szCs w:val="22"/>
          <w:color w:val="auto"/>
        </w:rPr>
      </w:pPr>
      <w:r>
        <w:rPr>
          <w:rFonts w:ascii="Arial" w:cs="Arial" w:eastAsia="Arial" w:hAnsi="Arial"/>
          <w:sz w:val="18"/>
          <w:szCs w:val="18"/>
          <w:color w:val="auto"/>
        </w:rPr>
        <w:t>the use or availability of third-party assets upon which our operations depend and over which we have little or no control;</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25"/>
        </w:numPr>
        <w:rPr>
          <w:rFonts w:ascii="Arial" w:cs="Arial" w:eastAsia="Arial" w:hAnsi="Arial"/>
          <w:sz w:val="22"/>
          <w:szCs w:val="22"/>
          <w:color w:val="auto"/>
        </w:rPr>
      </w:pPr>
      <w:r>
        <w:rPr>
          <w:rFonts w:ascii="Arial" w:cs="Arial" w:eastAsia="Arial" w:hAnsi="Arial"/>
          <w:sz w:val="18"/>
          <w:szCs w:val="18"/>
          <w:color w:val="auto"/>
        </w:rPr>
        <w:t>the currency exchange rate of the Canadian dollar to the United States dollar;</w:t>
      </w:r>
    </w:p>
    <w:p>
      <w:pPr>
        <w:spacing w:after="0" w:line="134" w:lineRule="exact"/>
        <w:rPr>
          <w:rFonts w:ascii="Arial" w:cs="Arial" w:eastAsia="Arial" w:hAnsi="Arial"/>
          <w:sz w:val="22"/>
          <w:szCs w:val="22"/>
          <w:color w:val="auto"/>
        </w:rPr>
      </w:pPr>
    </w:p>
    <w:p>
      <w:pPr>
        <w:ind w:left="660" w:right="140" w:hanging="328"/>
        <w:spacing w:after="0" w:line="232" w:lineRule="auto"/>
        <w:tabs>
          <w:tab w:leader="none" w:pos="655" w:val="left"/>
        </w:tabs>
        <w:numPr>
          <w:ilvl w:val="0"/>
          <w:numId w:val="25"/>
        </w:numPr>
        <w:rPr>
          <w:rFonts w:ascii="Arial" w:cs="Arial" w:eastAsia="Arial" w:hAnsi="Arial"/>
          <w:sz w:val="22"/>
          <w:szCs w:val="22"/>
          <w:color w:val="auto"/>
        </w:rPr>
      </w:pPr>
      <w:r>
        <w:rPr>
          <w:rFonts w:ascii="Arial" w:cs="Arial" w:eastAsia="Arial" w:hAnsi="Arial"/>
          <w:sz w:val="18"/>
          <w:szCs w:val="18"/>
          <w:color w:val="auto"/>
        </w:rPr>
        <w:t>inability to recognize current revenue attributable to deficiency payments received from customers who fail to ship or move more than minimum contracted volumes until the related credits expire or are used;</w:t>
      </w:r>
    </w:p>
    <w:p>
      <w:pPr>
        <w:spacing w:after="0" w:line="2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100330</wp:posOffset>
            </wp:positionV>
            <wp:extent cx="711517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55" w:lineRule="exact"/>
        <w:rPr>
          <w:sz w:val="20"/>
          <w:szCs w:val="20"/>
          <w:color w:val="auto"/>
        </w:rPr>
      </w:pPr>
    </w:p>
    <w:p>
      <w:pPr>
        <w:ind w:left="1660"/>
        <w:spacing w:after="0"/>
        <w:tabs>
          <w:tab w:leader="none" w:pos="4760" w:val="left"/>
          <w:tab w:leader="none" w:pos="74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220"/>
          </w:cols>
          <w:pgMar w:left="320" w:top="368" w:right="35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auto"/>
        </w:rPr>
        <w:t>Page 22</w:t>
      </w:r>
    </w:p>
    <w:p>
      <w:pPr>
        <w:spacing w:after="0" w:line="200" w:lineRule="exact"/>
        <w:rPr>
          <w:sz w:val="20"/>
          <w:szCs w:val="20"/>
          <w:color w:val="auto"/>
        </w:rPr>
      </w:pPr>
    </w:p>
    <w:p>
      <w:pPr>
        <w:spacing w:after="0" w:line="259"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22"/>
          <w:szCs w:val="22"/>
          <w:color w:val="auto"/>
        </w:rPr>
      </w:pPr>
      <w:r>
        <w:rPr>
          <w:rFonts w:ascii="Arial" w:cs="Arial" w:eastAsia="Arial" w:hAnsi="Arial"/>
          <w:sz w:val="18"/>
          <w:szCs w:val="18"/>
          <w:color w:val="auto"/>
        </w:rPr>
        <w:t>significant under-utilization of our assets and facilities;</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26"/>
        </w:numPr>
        <w:rPr>
          <w:rFonts w:ascii="Arial" w:cs="Arial" w:eastAsia="Arial" w:hAnsi="Arial"/>
          <w:sz w:val="22"/>
          <w:szCs w:val="22"/>
          <w:color w:val="auto"/>
        </w:rPr>
      </w:pPr>
      <w:r>
        <w:rPr>
          <w:rFonts w:ascii="Arial" w:cs="Arial" w:eastAsia="Arial" w:hAnsi="Arial"/>
          <w:sz w:val="18"/>
          <w:szCs w:val="18"/>
          <w:color w:val="auto"/>
        </w:rPr>
        <w:t>increased costs, or lack of availability, of insurance;</w:t>
      </w:r>
    </w:p>
    <w:p>
      <w:pPr>
        <w:spacing w:after="0" w:line="123" w:lineRule="exact"/>
        <w:rPr>
          <w:rFonts w:ascii="Arial" w:cs="Arial" w:eastAsia="Arial" w:hAnsi="Arial"/>
          <w:sz w:val="22"/>
          <w:szCs w:val="22"/>
          <w:color w:val="auto"/>
        </w:rPr>
      </w:pPr>
    </w:p>
    <w:p>
      <w:pPr>
        <w:ind w:left="660" w:hanging="328"/>
        <w:spacing w:after="0"/>
        <w:tabs>
          <w:tab w:leader="none" w:pos="660" w:val="left"/>
        </w:tabs>
        <w:numPr>
          <w:ilvl w:val="0"/>
          <w:numId w:val="26"/>
        </w:numPr>
        <w:rPr>
          <w:rFonts w:ascii="Arial" w:cs="Arial" w:eastAsia="Arial" w:hAnsi="Arial"/>
          <w:sz w:val="21"/>
          <w:szCs w:val="21"/>
          <w:color w:val="auto"/>
        </w:rPr>
      </w:pPr>
      <w:r>
        <w:rPr>
          <w:rFonts w:ascii="Arial" w:cs="Arial" w:eastAsia="Arial" w:hAnsi="Arial"/>
          <w:sz w:val="17"/>
          <w:szCs w:val="17"/>
          <w:color w:val="auto"/>
        </w:rPr>
        <w:t>fluctuations in the debt and equity markets, including the price of our units at the time of vesting under our long-term incentive plans;</w:t>
      </w:r>
    </w:p>
    <w:p>
      <w:pPr>
        <w:spacing w:after="0" w:line="125" w:lineRule="exact"/>
        <w:rPr>
          <w:rFonts w:ascii="Arial" w:cs="Arial" w:eastAsia="Arial" w:hAnsi="Arial"/>
          <w:sz w:val="21"/>
          <w:szCs w:val="21"/>
          <w:color w:val="auto"/>
        </w:rPr>
      </w:pPr>
    </w:p>
    <w:p>
      <w:pPr>
        <w:ind w:left="660" w:hanging="328"/>
        <w:spacing w:after="0"/>
        <w:tabs>
          <w:tab w:leader="none" w:pos="660" w:val="left"/>
        </w:tabs>
        <w:numPr>
          <w:ilvl w:val="0"/>
          <w:numId w:val="26"/>
        </w:numPr>
        <w:rPr>
          <w:rFonts w:ascii="Arial" w:cs="Arial" w:eastAsia="Arial" w:hAnsi="Arial"/>
          <w:sz w:val="22"/>
          <w:szCs w:val="22"/>
          <w:color w:val="auto"/>
        </w:rPr>
      </w:pPr>
      <w:r>
        <w:rPr>
          <w:rFonts w:ascii="Arial" w:cs="Arial" w:eastAsia="Arial" w:hAnsi="Arial"/>
          <w:sz w:val="18"/>
          <w:szCs w:val="18"/>
          <w:color w:val="auto"/>
        </w:rPr>
        <w:t>risks related to the development and operation of our assets; and</w:t>
      </w:r>
    </w:p>
    <w:p>
      <w:pPr>
        <w:spacing w:after="0" w:line="134" w:lineRule="exact"/>
        <w:rPr>
          <w:rFonts w:ascii="Arial" w:cs="Arial" w:eastAsia="Arial" w:hAnsi="Arial"/>
          <w:sz w:val="22"/>
          <w:szCs w:val="22"/>
          <w:color w:val="auto"/>
        </w:rPr>
      </w:pPr>
    </w:p>
    <w:p>
      <w:pPr>
        <w:ind w:left="660" w:right="460" w:hanging="328"/>
        <w:spacing w:after="0" w:line="238" w:lineRule="auto"/>
        <w:tabs>
          <w:tab w:leader="none" w:pos="655" w:val="left"/>
        </w:tabs>
        <w:numPr>
          <w:ilvl w:val="0"/>
          <w:numId w:val="26"/>
        </w:numPr>
        <w:rPr>
          <w:rFonts w:ascii="Arial" w:cs="Arial" w:eastAsia="Arial" w:hAnsi="Arial"/>
          <w:sz w:val="22"/>
          <w:szCs w:val="22"/>
          <w:color w:val="auto"/>
        </w:rPr>
      </w:pPr>
      <w:r>
        <w:rPr>
          <w:rFonts w:ascii="Arial" w:cs="Arial" w:eastAsia="Arial" w:hAnsi="Arial"/>
          <w:sz w:val="18"/>
          <w:szCs w:val="18"/>
          <w:color w:val="auto"/>
        </w:rPr>
        <w:t>other factors and uncertainties inherent in the transportation, storage, terminalling and marketing of crude oil, as well as in the processing, transportation, fractionation, storage and marketing of NGL as discussed in the Partnerships’ filings with the Securities and Exchange Commission.</w:t>
      </w: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About Plains:</w:t>
      </w:r>
    </w:p>
    <w:p>
      <w:pPr>
        <w:spacing w:after="0" w:line="306"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PAA is a publicly traded master limited partnership that owns and operates midstream energy infrastructure and provides logistics services for crude oil and natural gas liquids (“NGL”). PAA owns an extensive network of pipeline gathering and transportation systems, in addition to terminalling, storage, processing, fractionation and other infrastructure assets serving key producing basins, transportation corridors and major market hubs and export outlets in the United States and Canada. On average, PAA handles approximately 8 million barrels per day of crude oil and NGL.</w:t>
      </w:r>
    </w:p>
    <w:p>
      <w:pPr>
        <w:spacing w:after="0" w:line="184"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PAGP is a publicly traded entity that owns an indirect, non-economic controlling general partner interest in PAA and an indirect limited partner interest in PAA, one of the largest energy infrastructure and logistics companies in North America.</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PAA and PAGP are headquartered in Houston, Texas. For more information, please visit www.plains.com.</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Contacts</w:t>
      </w:r>
      <w:r>
        <w:rPr>
          <w:rFonts w:ascii="Arial" w:cs="Arial" w:eastAsia="Arial" w:hAnsi="Arial"/>
          <w:sz w:val="18"/>
          <w:szCs w:val="18"/>
          <w:color w:val="auto"/>
        </w:rPr>
        <w:t>:</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Blake Fernandez</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Vice President, Investor Relations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(866) 809-1291</w:t>
      </w:r>
    </w:p>
    <w:p>
      <w:pPr>
        <w:spacing w:after="0" w:line="292" w:lineRule="exact"/>
        <w:rPr>
          <w:sz w:val="20"/>
          <w:szCs w:val="20"/>
          <w:color w:val="auto"/>
        </w:rPr>
      </w:pPr>
    </w:p>
    <w:p>
      <w:pPr>
        <w:ind w:left="20"/>
        <w:spacing w:after="0"/>
        <w:rPr>
          <w:sz w:val="20"/>
          <w:szCs w:val="20"/>
          <w:color w:val="auto"/>
        </w:rPr>
      </w:pPr>
      <w:r>
        <w:rPr>
          <w:rFonts w:ascii="Arial" w:cs="Arial" w:eastAsia="Arial" w:hAnsi="Arial"/>
          <w:sz w:val="18"/>
          <w:szCs w:val="18"/>
          <w:color w:val="auto"/>
        </w:rPr>
        <w:t>Michael Gladstein</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Director, Investor Relations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(866) 809-1291</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31750</wp:posOffset>
            </wp:positionV>
            <wp:extent cx="711517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147" w:lineRule="exact"/>
        <w:rPr>
          <w:sz w:val="20"/>
          <w:szCs w:val="20"/>
          <w:color w:val="auto"/>
        </w:rPr>
      </w:pPr>
    </w:p>
    <w:p>
      <w:pPr>
        <w:ind w:left="1660"/>
        <w:spacing w:after="0"/>
        <w:tabs>
          <w:tab w:leader="none" w:pos="4760" w:val="left"/>
          <w:tab w:leader="none" w:pos="74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sectPr>
      <w:pgSz w:w="11900" w:h="16838" w:orient="portrait"/>
      <w:cols w:equalWidth="0" w:num="1">
        <w:col w:w="11040"/>
      </w:cols>
      <w:pgMar w:left="320" w:top="368"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abstractNum>
  <w:abstractNum w:abstractNumId="1">
    <w:nsid w:val="DED7263"/>
    <w:multiLevelType w:val="hybridMultilevel"/>
    <w:lvl w:ilvl="0">
      <w:lvlJc w:val="left"/>
      <w:lvlText w:val="%1"/>
      <w:numFmt w:val="decimal"/>
      <w:start w:val="104"/>
    </w:lvl>
  </w:abstractNum>
  <w:abstractNum w:abstractNumId="2">
    <w:nsid w:val="7FDCC233"/>
    <w:multiLevelType w:val="hybridMultilevel"/>
    <w:lvl w:ilvl="0">
      <w:lvlJc w:val="left"/>
      <w:lvlText w:val="•"/>
      <w:numFmt w:val="bullet"/>
      <w:start w:val="1"/>
    </w:lvl>
  </w:abstractNum>
  <w:abstractNum w:abstractNumId="3">
    <w:nsid w:val="1BEFD79F"/>
    <w:multiLevelType w:val="hybridMultilevel"/>
    <w:lvl w:ilvl="0">
      <w:lvlJc w:val="left"/>
      <w:lvlText w:val="•"/>
      <w:numFmt w:val="bullet"/>
      <w:start w:val="1"/>
    </w:lvl>
  </w:abstractNum>
  <w:abstractNum w:abstractNumId="4">
    <w:nsid w:val="41A7C4C9"/>
    <w:multiLevelType w:val="hybridMultilevel"/>
    <w:lvl w:ilvl="0">
      <w:lvlJc w:val="left"/>
      <w:lvlText w:val="•"/>
      <w:numFmt w:val="bullet"/>
      <w:start w:val="1"/>
    </w:lvl>
  </w:abstractNum>
  <w:abstractNum w:abstractNumId="5">
    <w:nsid w:val="6B68079A"/>
    <w:multiLevelType w:val="hybridMultilevel"/>
    <w:lvl w:ilvl="0">
      <w:lvlJc w:val="left"/>
      <w:lvlText w:val="•"/>
      <w:numFmt w:val="bullet"/>
      <w:start w:val="1"/>
    </w:lvl>
  </w:abstractNum>
  <w:abstractNum w:abstractNumId="6">
    <w:nsid w:val="4E6AFB66"/>
    <w:multiLevelType w:val="hybridMultilevel"/>
    <w:lvl w:ilvl="0">
      <w:lvlJc w:val="left"/>
      <w:lvlText w:val="(%1)"/>
      <w:numFmt w:val="decimal"/>
      <w:start w:val="1"/>
    </w:lvl>
  </w:abstractNum>
  <w:abstractNum w:abstractNumId="7">
    <w:nsid w:val="25E45D32"/>
    <w:multiLevelType w:val="hybridMultilevel"/>
    <w:lvl w:ilvl="0">
      <w:lvlJc w:val="left"/>
      <w:lvlText w:val="(%1)"/>
      <w:numFmt w:val="decimal"/>
      <w:start w:val="1"/>
    </w:lvl>
  </w:abstractNum>
  <w:abstractNum w:abstractNumId="8">
    <w:nsid w:val="519B500D"/>
    <w:multiLevelType w:val="hybridMultilevel"/>
    <w:lvl w:ilvl="0">
      <w:lvlJc w:val="left"/>
      <w:lvlText w:val="(%1)"/>
      <w:numFmt w:val="decimal"/>
      <w:start w:val="1"/>
    </w:lvl>
  </w:abstractNum>
  <w:abstractNum w:abstractNumId="9">
    <w:nsid w:val="431BD7B7"/>
    <w:multiLevelType w:val="hybridMultilevel"/>
    <w:lvl w:ilvl="0">
      <w:lvlJc w:val="left"/>
      <w:lvlText w:val="(%1)"/>
      <w:numFmt w:val="decimal"/>
      <w:start w:val="1"/>
    </w:lvl>
  </w:abstractNum>
  <w:abstractNum w:abstractNumId="10">
    <w:nsid w:val="3F2DBA31"/>
    <w:multiLevelType w:val="hybridMultilevel"/>
    <w:lvl w:ilvl="0">
      <w:lvlJc w:val="left"/>
      <w:lvlText w:val="(%1)"/>
      <w:numFmt w:val="decimal"/>
      <w:start w:val="1"/>
    </w:lvl>
    <w:lvl w:ilvl="1">
      <w:lvlJc w:val="left"/>
      <w:lvlText w:val="-"/>
      <w:numFmt w:val="bullet"/>
      <w:start w:val="1"/>
    </w:lvl>
  </w:abstractNum>
  <w:abstractNum w:abstractNumId="11">
    <w:nsid w:val="7C83E458"/>
    <w:multiLevelType w:val="hybridMultilevel"/>
    <w:lvl w:ilvl="0">
      <w:lvlJc w:val="left"/>
      <w:lvlText w:val="(%1)"/>
      <w:numFmt w:val="decimal"/>
      <w:start w:val="1"/>
    </w:lvl>
  </w:abstractNum>
  <w:abstractNum w:abstractNumId="12">
    <w:nsid w:val="257130A3"/>
    <w:multiLevelType w:val="hybridMultilevel"/>
    <w:lvl w:ilvl="0">
      <w:lvlJc w:val="left"/>
      <w:lvlText w:val="(%1)"/>
      <w:numFmt w:val="decimal"/>
      <w:start w:val="1"/>
    </w:lvl>
  </w:abstractNum>
  <w:abstractNum w:abstractNumId="13">
    <w:nsid w:val="62BBD95A"/>
    <w:multiLevelType w:val="hybridMultilevel"/>
    <w:lvl w:ilvl="0">
      <w:lvlJc w:val="left"/>
      <w:lvlText w:val="(%1)"/>
      <w:numFmt w:val="decimal"/>
      <w:start w:val="1"/>
    </w:lvl>
  </w:abstractNum>
  <w:abstractNum w:abstractNumId="14">
    <w:nsid w:val="436C6125"/>
    <w:multiLevelType w:val="hybridMultilevel"/>
    <w:lvl w:ilvl="0">
      <w:lvlJc w:val="left"/>
      <w:lvlText w:val="(%1)"/>
      <w:numFmt w:val="decimal"/>
      <w:start w:val="1"/>
    </w:lvl>
    <w:lvl w:ilvl="1">
      <w:lvlJc w:val="left"/>
      <w:lvlText w:val="-"/>
      <w:numFmt w:val="bullet"/>
      <w:start w:val="1"/>
    </w:lvl>
  </w:abstractNum>
  <w:abstractNum w:abstractNumId="15">
    <w:nsid w:val="628C895D"/>
    <w:multiLevelType w:val="hybridMultilevel"/>
    <w:lvl w:ilvl="0">
      <w:lvlJc w:val="left"/>
      <w:lvlText w:val="(%1)"/>
      <w:numFmt w:val="decimal"/>
      <w:start w:val="3"/>
    </w:lvl>
  </w:abstractNum>
  <w:abstractNum w:abstractNumId="16">
    <w:nsid w:val="333AB105"/>
    <w:multiLevelType w:val="hybridMultilevel"/>
    <w:lvl w:ilvl="0">
      <w:lvlJc w:val="left"/>
      <w:lvlText w:val="(%1)"/>
      <w:numFmt w:val="decimal"/>
      <w:start w:val="3"/>
    </w:lvl>
  </w:abstractNum>
  <w:abstractNum w:abstractNumId="17">
    <w:nsid w:val="721DA317"/>
    <w:multiLevelType w:val="hybridMultilevel"/>
    <w:lvl w:ilvl="0">
      <w:lvlJc w:val="left"/>
      <w:lvlText w:val="(%1)"/>
      <w:numFmt w:val="decimal"/>
      <w:start w:val="1"/>
    </w:lvl>
  </w:abstractNum>
  <w:abstractNum w:abstractNumId="18">
    <w:nsid w:val="2443A858"/>
    <w:multiLevelType w:val="hybridMultilevel"/>
    <w:lvl w:ilvl="0">
      <w:lvlJc w:val="left"/>
      <w:lvlText w:val="(%1)"/>
      <w:numFmt w:val="decimal"/>
      <w:start w:val="4"/>
    </w:lvl>
  </w:abstractNum>
  <w:abstractNum w:abstractNumId="19">
    <w:nsid w:val="2D1D5AE9"/>
    <w:multiLevelType w:val="hybridMultilevel"/>
    <w:lvl w:ilvl="0">
      <w:lvlJc w:val="left"/>
      <w:lvlText w:val="(%1)"/>
      <w:numFmt w:val="decimal"/>
      <w:start w:val="1"/>
    </w:lvl>
  </w:abstractNum>
  <w:abstractNum w:abstractNumId="20">
    <w:nsid w:val="6763845E"/>
    <w:multiLevelType w:val="hybridMultilevel"/>
    <w:lvl w:ilvl="0">
      <w:lvlJc w:val="left"/>
      <w:lvlText w:val="(%1)"/>
      <w:numFmt w:val="decimal"/>
      <w:start w:val="1"/>
    </w:lvl>
  </w:abstractNum>
  <w:abstractNum w:abstractNumId="21">
    <w:nsid w:val="75A2A8D4"/>
    <w:multiLevelType w:val="hybridMultilevel"/>
    <w:lvl w:ilvl="0">
      <w:lvlJc w:val="left"/>
      <w:lvlText w:val="(%1)"/>
      <w:numFmt w:val="decimal"/>
      <w:start w:val="1"/>
    </w:lvl>
  </w:abstractNum>
  <w:abstractNum w:abstractNumId="22">
    <w:nsid w:val="8EDBDAB"/>
    <w:multiLevelType w:val="hybridMultilevel"/>
    <w:lvl w:ilvl="0">
      <w:lvlJc w:val="left"/>
      <w:lvlText w:val="(%1)"/>
      <w:numFmt w:val="decimal"/>
      <w:start w:val="1"/>
    </w:lvl>
  </w:abstractNum>
  <w:abstractNum w:abstractNumId="23">
    <w:nsid w:val="79838CB2"/>
    <w:multiLevelType w:val="hybridMultilevel"/>
    <w:lvl w:ilvl="0">
      <w:lvlJc w:val="left"/>
      <w:lvlText w:val="•"/>
      <w:numFmt w:val="bullet"/>
      <w:start w:val="1"/>
    </w:lvl>
  </w:abstractNum>
  <w:abstractNum w:abstractNumId="24">
    <w:nsid w:val="4353D0CD"/>
    <w:multiLevelType w:val="hybridMultilevel"/>
    <w:lvl w:ilvl="0">
      <w:lvlJc w:val="left"/>
      <w:lvlText w:val="•"/>
      <w:numFmt w:val="bullet"/>
      <w:start w:val="1"/>
    </w:lvl>
  </w:abstractNum>
  <w:abstractNum w:abstractNumId="25">
    <w:nsid w:val="B03E0C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2023-11-03T07:37:21Z</dcterms:created>
  <dcterms:modified xsi:type="dcterms:W3CDTF">2023-11-03T07:37:21Z</dcterms:modified>
</cp:coreProperties>
</file>