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1" w:lineRule="exact"/>
        <w:rPr>
          <w:sz w:val="24"/>
          <w:szCs w:val="24"/>
          <w:color w:val="auto"/>
        </w:rPr>
      </w:pPr>
    </w:p>
    <w:p>
      <w:pPr>
        <w:ind w:left="284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________________________________________________________________________________________________________________________________</w:t>
      </w:r>
    </w:p>
    <w:p>
      <w:pPr>
        <w:spacing w:after="0" w:line="119"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43" w:lineRule="exact"/>
        <w:rPr>
          <w:sz w:val="24"/>
          <w:szCs w:val="24"/>
          <w:color w:val="auto"/>
        </w:rPr>
      </w:pPr>
    </w:p>
    <w:p>
      <w:pPr>
        <w:ind w:left="260" w:hanging="252"/>
        <w:spacing w:after="0"/>
        <w:tabs>
          <w:tab w:leader="none" w:pos="260" w:val="left"/>
        </w:tabs>
        <w:numPr>
          <w:ilvl w:val="0"/>
          <w:numId w:val="2"/>
        </w:numPr>
        <w:rPr>
          <w:rFonts w:ascii="Arial" w:cs="Arial" w:eastAsia="Arial" w:hAnsi="Arial"/>
          <w:sz w:val="22"/>
          <w:szCs w:val="22"/>
          <w:b w:val="1"/>
          <w:bCs w:val="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6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1-14569</w:t>
      </w:r>
    </w:p>
    <w:p>
      <w:pPr>
        <w:spacing w:after="0" w:line="27"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13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940" w:type="dxa"/>
        <w:tblCellMar>
          <w:top w:w="0" w:type="dxa"/>
          <w:left w:w="0" w:type="dxa"/>
          <w:bottom w:w="0" w:type="dxa"/>
          <w:right w:w="0" w:type="dxa"/>
        </w:tblCellMar>
      </w:tblPr>
      <w:tr>
        <w:trPr>
          <w:trHeight w:val="234"/>
        </w:trPr>
        <w:tc>
          <w:tcPr>
            <w:tcW w:w="6680" w:type="dxa"/>
            <w:vAlign w:val="bottom"/>
          </w:tcPr>
          <w:p>
            <w:pPr>
              <w:jc w:val="center"/>
              <w:ind w:right="3253"/>
              <w:spacing w:after="0"/>
              <w:rPr>
                <w:sz w:val="20"/>
                <w:szCs w:val="20"/>
                <w:color w:val="auto"/>
              </w:rPr>
            </w:pPr>
            <w:r>
              <w:rPr>
                <w:rFonts w:ascii="Arial" w:cs="Arial" w:eastAsia="Arial" w:hAnsi="Arial"/>
                <w:sz w:val="18"/>
                <w:szCs w:val="18"/>
                <w:b w:val="1"/>
                <w:bCs w:val="1"/>
                <w:color w:val="auto"/>
                <w:w w:val="93"/>
              </w:rPr>
              <w:t>Delaware</w:t>
            </w:r>
          </w:p>
        </w:tc>
        <w:tc>
          <w:tcPr>
            <w:tcW w:w="1220" w:type="dxa"/>
            <w:vAlign w:val="bottom"/>
          </w:tcPr>
          <w:p>
            <w:pPr>
              <w:jc w:val="right"/>
              <w:ind w:right="95"/>
              <w:spacing w:after="0"/>
              <w:rPr>
                <w:sz w:val="20"/>
                <w:szCs w:val="20"/>
                <w:color w:val="auto"/>
              </w:rPr>
            </w:pPr>
            <w:r>
              <w:rPr>
                <w:rFonts w:ascii="Arial" w:cs="Arial" w:eastAsia="Arial" w:hAnsi="Arial"/>
                <w:sz w:val="18"/>
                <w:szCs w:val="18"/>
                <w:b w:val="1"/>
                <w:bCs w:val="1"/>
                <w:color w:val="auto"/>
              </w:rPr>
              <w:t>76-0582150</w:t>
            </w:r>
          </w:p>
        </w:tc>
      </w:tr>
      <w:tr>
        <w:trPr>
          <w:trHeight w:val="251"/>
        </w:trPr>
        <w:tc>
          <w:tcPr>
            <w:tcW w:w="6680" w:type="dxa"/>
            <w:vAlign w:val="bottom"/>
          </w:tcPr>
          <w:p>
            <w:pPr>
              <w:jc w:val="center"/>
              <w:ind w:right="3273"/>
              <w:spacing w:after="0"/>
              <w:rPr>
                <w:sz w:val="20"/>
                <w:szCs w:val="20"/>
                <w:color w:val="auto"/>
              </w:rPr>
            </w:pPr>
            <w:r>
              <w:rPr>
                <w:rFonts w:ascii="Arial" w:cs="Arial" w:eastAsia="Arial" w:hAnsi="Arial"/>
                <w:sz w:val="16"/>
                <w:szCs w:val="16"/>
                <w:color w:val="auto"/>
                <w:w w:val="93"/>
              </w:rPr>
              <w:t>(State or other jurisdiction of</w:t>
            </w:r>
          </w:p>
        </w:tc>
        <w:tc>
          <w:tcPr>
            <w:tcW w:w="122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57"/>
        </w:trPr>
        <w:tc>
          <w:tcPr>
            <w:tcW w:w="6680" w:type="dxa"/>
            <w:vAlign w:val="bottom"/>
          </w:tcPr>
          <w:p>
            <w:pPr>
              <w:jc w:val="center"/>
              <w:ind w:right="3253"/>
              <w:spacing w:after="0"/>
              <w:rPr>
                <w:sz w:val="20"/>
                <w:szCs w:val="20"/>
                <w:color w:val="auto"/>
              </w:rPr>
            </w:pPr>
            <w:r>
              <w:rPr>
                <w:rFonts w:ascii="Arial" w:cs="Arial" w:eastAsia="Arial" w:hAnsi="Arial"/>
                <w:sz w:val="16"/>
                <w:szCs w:val="16"/>
                <w:color w:val="auto"/>
                <w:w w:val="93"/>
              </w:rPr>
              <w:t>incorporation or organization)</w:t>
            </w:r>
          </w:p>
        </w:tc>
        <w:tc>
          <w:tcPr>
            <w:tcW w:w="1220" w:type="dxa"/>
            <w:vAlign w:val="bottom"/>
          </w:tcPr>
          <w:p>
            <w:pPr>
              <w:jc w:val="center"/>
              <w:spacing w:after="0"/>
              <w:rPr>
                <w:sz w:val="20"/>
                <w:szCs w:val="20"/>
                <w:color w:val="auto"/>
              </w:rPr>
            </w:pPr>
            <w:r>
              <w:rPr>
                <w:rFonts w:ascii="Arial" w:cs="Arial" w:eastAsia="Arial" w:hAnsi="Arial"/>
                <w:sz w:val="16"/>
                <w:szCs w:val="16"/>
                <w:color w:val="auto"/>
                <w:w w:val="97"/>
              </w:rPr>
              <w:t>Identification No.)</w:t>
            </w:r>
          </w:p>
        </w:tc>
      </w:tr>
      <w:tr>
        <w:trPr>
          <w:trHeight w:val="411"/>
        </w:trPr>
        <w:tc>
          <w:tcPr>
            <w:tcW w:w="6680" w:type="dxa"/>
            <w:vAlign w:val="bottom"/>
          </w:tcPr>
          <w:p>
            <w:pPr>
              <w:jc w:val="center"/>
              <w:ind w:right="3253"/>
              <w:spacing w:after="0"/>
              <w:rPr>
                <w:sz w:val="20"/>
                <w:szCs w:val="20"/>
                <w:color w:val="auto"/>
              </w:rPr>
            </w:pPr>
            <w:r>
              <w:rPr>
                <w:rFonts w:ascii="Arial" w:cs="Arial" w:eastAsia="Arial" w:hAnsi="Arial"/>
                <w:sz w:val="18"/>
                <w:szCs w:val="18"/>
                <w:b w:val="1"/>
                <w:bCs w:val="1"/>
                <w:color w:val="auto"/>
                <w:w w:val="89"/>
              </w:rPr>
              <w:t>333 Clay Street, Suite 1600, Houston, Texas</w:t>
            </w:r>
          </w:p>
        </w:tc>
        <w:tc>
          <w:tcPr>
            <w:tcW w:w="1220" w:type="dxa"/>
            <w:vAlign w:val="bottom"/>
          </w:tcPr>
          <w:p>
            <w:pPr>
              <w:jc w:val="right"/>
              <w:ind w:right="295"/>
              <w:spacing w:after="0"/>
              <w:rPr>
                <w:sz w:val="20"/>
                <w:szCs w:val="20"/>
                <w:color w:val="auto"/>
              </w:rPr>
            </w:pPr>
            <w:r>
              <w:rPr>
                <w:rFonts w:ascii="Arial" w:cs="Arial" w:eastAsia="Arial" w:hAnsi="Arial"/>
                <w:sz w:val="18"/>
                <w:szCs w:val="18"/>
                <w:b w:val="1"/>
                <w:bCs w:val="1"/>
                <w:color w:val="auto"/>
              </w:rPr>
              <w:t>77002</w:t>
            </w:r>
          </w:p>
        </w:tc>
      </w:tr>
      <w:tr>
        <w:trPr>
          <w:trHeight w:val="251"/>
        </w:trPr>
        <w:tc>
          <w:tcPr>
            <w:tcW w:w="6680" w:type="dxa"/>
            <w:vAlign w:val="bottom"/>
          </w:tcPr>
          <w:p>
            <w:pPr>
              <w:jc w:val="center"/>
              <w:ind w:right="3253"/>
              <w:spacing w:after="0"/>
              <w:rPr>
                <w:sz w:val="20"/>
                <w:szCs w:val="20"/>
                <w:color w:val="auto"/>
              </w:rPr>
            </w:pPr>
            <w:r>
              <w:rPr>
                <w:rFonts w:ascii="Arial" w:cs="Arial" w:eastAsia="Arial" w:hAnsi="Arial"/>
                <w:sz w:val="16"/>
                <w:szCs w:val="16"/>
                <w:color w:val="auto"/>
                <w:w w:val="94"/>
              </w:rPr>
              <w:t>(Address of principal executive offices)</w:t>
            </w:r>
          </w:p>
        </w:tc>
        <w:tc>
          <w:tcPr>
            <w:tcW w:w="122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383"/>
        </w:trPr>
        <w:tc>
          <w:tcPr>
            <w:tcW w:w="6680" w:type="dxa"/>
            <w:vAlign w:val="bottom"/>
          </w:tcPr>
          <w:p>
            <w:pPr>
              <w:jc w:val="right"/>
              <w:ind w:right="1253"/>
              <w:spacing w:after="0"/>
              <w:rPr>
                <w:sz w:val="20"/>
                <w:szCs w:val="20"/>
                <w:color w:val="auto"/>
              </w:rPr>
            </w:pPr>
            <w:r>
              <w:rPr>
                <w:rFonts w:ascii="Arial" w:cs="Arial" w:eastAsia="Arial" w:hAnsi="Arial"/>
                <w:sz w:val="18"/>
                <w:szCs w:val="18"/>
                <w:b w:val="1"/>
                <w:bCs w:val="1"/>
                <w:color w:val="auto"/>
              </w:rPr>
              <w:t>(713) 646-4100</w:t>
            </w:r>
          </w:p>
        </w:tc>
        <w:tc>
          <w:tcPr>
            <w:tcW w:w="1220" w:type="dxa"/>
            <w:vAlign w:val="bottom"/>
          </w:tcPr>
          <w:p>
            <w:pPr>
              <w:spacing w:after="0"/>
              <w:rPr>
                <w:sz w:val="24"/>
                <w:szCs w:val="24"/>
                <w:color w:val="auto"/>
              </w:rPr>
            </w:pPr>
          </w:p>
        </w:tc>
      </w:tr>
      <w:tr>
        <w:trPr>
          <w:trHeight w:val="216"/>
        </w:trPr>
        <w:tc>
          <w:tcPr>
            <w:tcW w:w="6680" w:type="dxa"/>
            <w:vAlign w:val="bottom"/>
          </w:tcPr>
          <w:p>
            <w:pPr>
              <w:ind w:left="2860"/>
              <w:spacing w:after="0"/>
              <w:rPr>
                <w:sz w:val="20"/>
                <w:szCs w:val="20"/>
                <w:color w:val="auto"/>
              </w:rPr>
            </w:pPr>
            <w:r>
              <w:rPr>
                <w:rFonts w:ascii="Arial" w:cs="Arial" w:eastAsia="Arial" w:hAnsi="Arial"/>
                <w:sz w:val="18"/>
                <w:szCs w:val="18"/>
                <w:color w:val="auto"/>
                <w:w w:val="89"/>
              </w:rPr>
              <w:t>(Registrant’s telephone number, including area code)</w:t>
            </w:r>
          </w:p>
        </w:tc>
        <w:tc>
          <w:tcPr>
            <w:tcW w:w="1220" w:type="dxa"/>
            <w:vAlign w:val="bottom"/>
          </w:tcPr>
          <w:p>
            <w:pPr>
              <w:spacing w:after="0"/>
              <w:rPr>
                <w:sz w:val="18"/>
                <w:szCs w:val="18"/>
                <w:color w:val="auto"/>
              </w:rPr>
            </w:pPr>
          </w:p>
        </w:tc>
      </w:tr>
      <w:tr>
        <w:trPr>
          <w:trHeight w:val="230"/>
        </w:trPr>
        <w:tc>
          <w:tcPr>
            <w:tcW w:w="7900" w:type="dxa"/>
            <w:vAlign w:val="bottom"/>
            <w:gridSpan w:val="2"/>
          </w:tcPr>
          <w:p>
            <w:pPr>
              <w:jc w:val="right"/>
              <w:ind w:right="155"/>
              <w:spacing w:after="0"/>
              <w:rPr>
                <w:sz w:val="20"/>
                <w:szCs w:val="20"/>
                <w:color w:val="auto"/>
              </w:rPr>
            </w:pPr>
            <w:r>
              <w:rPr>
                <w:rFonts w:ascii="Arial" w:cs="Arial" w:eastAsia="Arial" w:hAnsi="Arial"/>
                <w:sz w:val="18"/>
                <w:szCs w:val="18"/>
                <w:color w:val="auto"/>
              </w:rPr>
              <w:t>________________________________________________________________</w:t>
            </w:r>
          </w:p>
        </w:tc>
      </w:tr>
    </w:tbl>
    <w:p>
      <w:pPr>
        <w:spacing w:after="0" w:line="107"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firstLine="36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tbl>
      <w:tblPr>
        <w:tblLayout w:type="fixed"/>
        <w:tblInd w:w="940" w:type="dxa"/>
        <w:tblCellMar>
          <w:top w:w="0" w:type="dxa"/>
          <w:left w:w="0" w:type="dxa"/>
          <w:bottom w:w="0" w:type="dxa"/>
          <w:right w:w="0" w:type="dxa"/>
        </w:tblCellMar>
      </w:tblPr>
      <w:tr>
        <w:trPr>
          <w:trHeight w:val="283"/>
        </w:trPr>
        <w:tc>
          <w:tcPr>
            <w:tcW w:w="4800" w:type="dxa"/>
            <w:vAlign w:val="bottom"/>
          </w:tcPr>
          <w:p>
            <w:pPr>
              <w:jc w:val="center"/>
              <w:ind w:right="1370"/>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2"/>
              </w:rPr>
              <w:t>Accelerated filer o</w:t>
            </w:r>
          </w:p>
        </w:tc>
      </w:tr>
      <w:tr>
        <w:trPr>
          <w:trHeight w:val="520"/>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Non-accelerated filer o</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Smaller reporting company o</w:t>
            </w:r>
          </w:p>
        </w:tc>
      </w:tr>
      <w:tr>
        <w:trPr>
          <w:trHeight w:val="392"/>
        </w:trPr>
        <w:tc>
          <w:tcPr>
            <w:tcW w:w="4800" w:type="dxa"/>
            <w:vAlign w:val="bottom"/>
          </w:tcPr>
          <w:p>
            <w:pPr>
              <w:jc w:val="center"/>
              <w:ind w:right="1370"/>
              <w:spacing w:after="0"/>
              <w:rPr>
                <w:sz w:val="20"/>
                <w:szCs w:val="20"/>
                <w:color w:val="auto"/>
              </w:rPr>
            </w:pPr>
            <w:r>
              <w:rPr>
                <w:rFonts w:ascii="Arial" w:cs="Arial" w:eastAsia="Arial" w:hAnsi="Arial"/>
                <w:sz w:val="18"/>
                <w:szCs w:val="18"/>
                <w:color w:val="auto"/>
                <w:w w:val="91"/>
              </w:rPr>
              <w:t>(Do not check if a smaller reporting company)</w:t>
            </w:r>
          </w:p>
        </w:tc>
        <w:tc>
          <w:tcPr>
            <w:tcW w:w="3540" w:type="dxa"/>
            <w:vAlign w:val="bottom"/>
          </w:tcPr>
          <w:p>
            <w:pPr>
              <w:jc w:val="center"/>
              <w:ind w:left="1350"/>
              <w:spacing w:after="0"/>
              <w:rPr>
                <w:sz w:val="20"/>
                <w:szCs w:val="20"/>
                <w:color w:val="auto"/>
              </w:rPr>
            </w:pPr>
            <w:r>
              <w:rPr>
                <w:rFonts w:ascii="Arial" w:cs="Arial" w:eastAsia="Arial" w:hAnsi="Arial"/>
                <w:sz w:val="18"/>
                <w:szCs w:val="18"/>
                <w:color w:val="auto"/>
                <w:w w:val="91"/>
              </w:rPr>
              <w:t>Emerging growth company o</w:t>
            </w:r>
          </w:p>
        </w:tc>
      </w:tr>
    </w:tbl>
    <w:p>
      <w:pPr>
        <w:spacing w:after="0" w:line="67" w:lineRule="exact"/>
        <w:rPr>
          <w:sz w:val="24"/>
          <w:szCs w:val="24"/>
          <w:color w:val="auto"/>
        </w:rPr>
      </w:pPr>
    </w:p>
    <w:p>
      <w:pPr>
        <w:ind w:right="300" w:firstLine="351"/>
        <w:spacing w:after="0" w:line="309"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 w:lineRule="exact"/>
        <w:rPr>
          <w:sz w:val="24"/>
          <w:szCs w:val="24"/>
          <w:color w:val="auto"/>
        </w:rPr>
      </w:pPr>
    </w:p>
    <w:p>
      <w:pPr>
        <w:ind w:left="340" w:right="188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May 1, 2018, there were 725,582,739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Page</w:t>
            </w:r>
          </w:p>
        </w:tc>
      </w:tr>
      <w:tr>
        <w:trPr>
          <w:trHeight w:val="189"/>
        </w:trPr>
        <w:tc>
          <w:tcPr>
            <w:tcW w:w="3060" w:type="dxa"/>
            <w:vAlign w:val="bottom"/>
            <w:tcBorders>
              <w:bottom w:val="single" w:sz="8" w:color="0000EE"/>
            </w:tcBorders>
            <w:gridSpan w:val="19"/>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300" w:type="dxa"/>
            <w:vAlign w:val="bottom"/>
            <w:gridSpan w:val="17"/>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0360" w:type="dxa"/>
            <w:vAlign w:val="bottom"/>
            <w:gridSpan w:val="3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CONDENSED CONSOLIDATED FINANCIAL STATEMENTS:</w:t>
              </w:r>
            </w:hyperlink>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3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2018 and December 31, 2017</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620" w:type="dxa"/>
            <w:vAlign w:val="bottom"/>
            <w:tcBorders>
              <w:bottom w:val="single" w:sz="8" w:color="0000EE"/>
            </w:tcBorders>
            <w:gridSpan w:val="2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March 31, 2018 and 2017</w:t>
              </w:r>
            </w:hyperlink>
          </w:p>
        </w:tc>
        <w:tc>
          <w:tcPr>
            <w:tcW w:w="2600" w:type="dxa"/>
            <w:vAlign w:val="bottom"/>
            <w:gridSpan w:val="6"/>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540" w:type="dxa"/>
            <w:vAlign w:val="bottom"/>
            <w:tcBorders>
              <w:bottom w:val="single" w:sz="8" w:color="0000EE"/>
            </w:tcBorders>
            <w:gridSpan w:val="3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months ended March 31, 2018 and 2017</w:t>
              </w:r>
            </w:hyperlink>
          </w:p>
        </w:tc>
        <w:tc>
          <w:tcPr>
            <w:tcW w:w="168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9980" w:type="dxa"/>
            <w:vAlign w:val="bottom"/>
            <w:tcBorders>
              <w:bottom w:val="single" w:sz="8" w:color="0000EE"/>
            </w:tcBorders>
            <w:gridSpan w:val="3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Accumulated Other Comprehensive Income/(Loss): For the three months ended March</w:t>
              </w:r>
            </w:hyperlink>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31, 2018 and 2017</w:t>
              </w:r>
            </w:hyperlink>
          </w:p>
        </w:tc>
        <w:tc>
          <w:tcPr>
            <w:tcW w:w="8720" w:type="dxa"/>
            <w:vAlign w:val="bottom"/>
            <w:gridSpan w:val="27"/>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10220" w:type="dxa"/>
            <w:vAlign w:val="bottom"/>
            <w:gridSpan w:val="3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2018 and 2017</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3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Changes in Partners’ Capital: For the three months ended March 31, 2018 and 2017</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50"/>
        </w:trPr>
        <w:tc>
          <w:tcPr>
            <w:tcW w:w="140" w:type="dxa"/>
            <w:vAlign w:val="bottom"/>
          </w:tcPr>
          <w:p>
            <w:pPr>
              <w:spacing w:after="0"/>
              <w:rPr>
                <w:sz w:val="21"/>
                <w:szCs w:val="21"/>
                <w:color w:val="auto"/>
              </w:rPr>
            </w:pPr>
          </w:p>
        </w:tc>
        <w:tc>
          <w:tcPr>
            <w:tcW w:w="430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4580" w:type="dxa"/>
            <w:vAlign w:val="bottom"/>
            <w:tcBorders>
              <w:top w:val="single" w:sz="8" w:color="0000EE"/>
            </w:tcBorders>
            <w:gridSpan w:val="10"/>
          </w:tcPr>
          <w:p>
            <w:pPr>
              <w:spacing w:after="0"/>
              <w:rPr>
                <w:sz w:val="21"/>
                <w:szCs w:val="21"/>
                <w:color w:val="auto"/>
              </w:rPr>
            </w:pPr>
          </w:p>
        </w:tc>
        <w:tc>
          <w:tcPr>
            <w:tcW w:w="1340" w:type="dxa"/>
            <w:vAlign w:val="bottom"/>
            <w:gridSpan w:val="3"/>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Borders>
              <w:bottom w:val="single" w:sz="8" w:color="0000EE"/>
            </w:tcBorders>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1.</w:t>
              </w:r>
            </w:hyperlink>
          </w:p>
        </w:tc>
        <w:tc>
          <w:tcPr>
            <w:tcW w:w="4200" w:type="dxa"/>
            <w:vAlign w:val="bottom"/>
            <w:tcBorders>
              <w:bottom w:val="single" w:sz="8" w:color="0000EE"/>
            </w:tcBorders>
            <w:gridSpan w:val="20"/>
          </w:tcPr>
          <w:p>
            <w:pPr>
              <w:ind w:left="20"/>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Organization and Basis of Consolidation and Presentation</w:t>
              </w:r>
            </w:hyperlink>
          </w:p>
        </w:tc>
        <w:tc>
          <w:tcPr>
            <w:tcW w:w="5660" w:type="dxa"/>
            <w:vAlign w:val="bottom"/>
            <w:gridSpan w:val="1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2.</w:t>
              </w:r>
            </w:hyperlink>
          </w:p>
        </w:tc>
        <w:tc>
          <w:tcPr>
            <w:tcW w:w="2680" w:type="dxa"/>
            <w:vAlign w:val="bottom"/>
            <w:gridSpan w:val="16"/>
          </w:tcPr>
          <w:p>
            <w:pPr>
              <w:ind w:left="20"/>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Recent Accounting Pronouncements</w:t>
              </w:r>
            </w:hyperlink>
          </w:p>
        </w:tc>
        <w:tc>
          <w:tcPr>
            <w:tcW w:w="7180" w:type="dxa"/>
            <w:vAlign w:val="bottom"/>
            <w:gridSpan w:val="1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3.</w:t>
              </w:r>
            </w:hyperlink>
          </w:p>
        </w:tc>
        <w:tc>
          <w:tcPr>
            <w:tcW w:w="2680" w:type="dxa"/>
            <w:vAlign w:val="bottom"/>
            <w:gridSpan w:val="16"/>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Revenues</w:t>
              </w:r>
            </w:hyperlink>
          </w:p>
        </w:tc>
        <w:tc>
          <w:tcPr>
            <w:tcW w:w="7180" w:type="dxa"/>
            <w:vAlign w:val="bottom"/>
            <w:gridSpan w:val="1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0" w:type="dxa"/>
            <w:vAlign w:val="bottom"/>
            <w:gridSpan w:val="13"/>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4. Net Income Per Common Unit</w:t>
              </w:r>
            </w:hyperlink>
          </w:p>
        </w:tc>
        <w:tc>
          <w:tcPr>
            <w:tcW w:w="7620" w:type="dxa"/>
            <w:vAlign w:val="bottom"/>
            <w:gridSpan w:val="20"/>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5.</w:t>
              </w:r>
            </w:hyperlink>
          </w:p>
        </w:tc>
        <w:tc>
          <w:tcPr>
            <w:tcW w:w="2240" w:type="dxa"/>
            <w:vAlign w:val="bottom"/>
            <w:gridSpan w:val="12"/>
          </w:tcPr>
          <w:p>
            <w:pPr>
              <w:ind w:left="20"/>
              <w:spacing w:after="0"/>
              <w:rPr>
                <w:rFonts w:ascii="Arial" w:cs="Arial" w:eastAsia="Arial" w:hAnsi="Arial"/>
                <w:sz w:val="18"/>
                <w:szCs w:val="18"/>
                <w:color w:val="0000EE"/>
              </w:rPr>
            </w:pPr>
            <w:hyperlink w:anchor="page16">
              <w:r>
                <w:rPr>
                  <w:rFonts w:ascii="Arial" w:cs="Arial" w:eastAsia="Arial" w:hAnsi="Arial"/>
                  <w:sz w:val="18"/>
                  <w:szCs w:val="18"/>
                  <w:color w:val="0000EE"/>
                </w:rPr>
                <w:t>Accounts Receivable, Net</w:t>
              </w:r>
            </w:hyperlink>
          </w:p>
        </w:tc>
        <w:tc>
          <w:tcPr>
            <w:tcW w:w="7620" w:type="dxa"/>
            <w:vAlign w:val="bottom"/>
            <w:gridSpan w:val="20"/>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6.</w:t>
              </w:r>
            </w:hyperlink>
          </w:p>
        </w:tc>
        <w:tc>
          <w:tcPr>
            <w:tcW w:w="4240" w:type="dxa"/>
            <w:vAlign w:val="bottom"/>
            <w:gridSpan w:val="21"/>
          </w:tcPr>
          <w:p>
            <w:pPr>
              <w:ind w:left="20"/>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Inventory, Linefill and Base Gas and Long-term Inventory</w:t>
              </w:r>
            </w:hyperlink>
          </w:p>
        </w:tc>
        <w:tc>
          <w:tcPr>
            <w:tcW w:w="56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7.</w:t>
              </w:r>
            </w:hyperlink>
          </w:p>
        </w:tc>
        <w:tc>
          <w:tcPr>
            <w:tcW w:w="860" w:type="dxa"/>
            <w:vAlign w:val="bottom"/>
            <w:gridSpan w:val="4"/>
          </w:tcPr>
          <w:p>
            <w:pPr>
              <w:ind w:left="20"/>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Divestitures</w:t>
              </w:r>
            </w:hyperlink>
          </w:p>
        </w:tc>
        <w:tc>
          <w:tcPr>
            <w:tcW w:w="3380" w:type="dxa"/>
            <w:vAlign w:val="bottom"/>
            <w:gridSpan w:val="17"/>
          </w:tcPr>
          <w:p>
            <w:pPr>
              <w:spacing w:after="0"/>
              <w:rPr>
                <w:sz w:val="21"/>
                <w:szCs w:val="21"/>
                <w:color w:val="auto"/>
              </w:rPr>
            </w:pPr>
          </w:p>
        </w:tc>
        <w:tc>
          <w:tcPr>
            <w:tcW w:w="5620" w:type="dxa"/>
            <w:vAlign w:val="bottom"/>
            <w:gridSpan w:val="11"/>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8.</w:t>
              </w:r>
            </w:hyperlink>
          </w:p>
        </w:tc>
        <w:tc>
          <w:tcPr>
            <w:tcW w:w="380" w:type="dxa"/>
            <w:vAlign w:val="bottom"/>
          </w:tcPr>
          <w:p>
            <w:pPr>
              <w:ind w:left="2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Debt</w:t>
              </w:r>
            </w:hyperlink>
          </w:p>
        </w:tc>
        <w:tc>
          <w:tcPr>
            <w:tcW w:w="480" w:type="dxa"/>
            <w:vAlign w:val="bottom"/>
            <w:gridSpan w:val="3"/>
          </w:tcPr>
          <w:p>
            <w:pPr>
              <w:spacing w:after="0"/>
              <w:rPr>
                <w:sz w:val="21"/>
                <w:szCs w:val="21"/>
                <w:color w:val="auto"/>
              </w:rPr>
            </w:pPr>
          </w:p>
        </w:tc>
        <w:tc>
          <w:tcPr>
            <w:tcW w:w="9000" w:type="dxa"/>
            <w:vAlign w:val="bottom"/>
            <w:gridSpan w:val="2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340" w:type="dxa"/>
            <w:vAlign w:val="bottom"/>
            <w:gridSpan w:val="3"/>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gridSpan w:val="3"/>
          </w:tcPr>
          <w:p>
            <w:pPr>
              <w:spacing w:after="0"/>
              <w:rPr>
                <w:sz w:val="21"/>
                <w:szCs w:val="21"/>
                <w:color w:val="auto"/>
              </w:rPr>
            </w:pPr>
          </w:p>
        </w:tc>
        <w:tc>
          <w:tcPr>
            <w:tcW w:w="160" w:type="dxa"/>
            <w:vAlign w:val="bottom"/>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9.</w:t>
              </w:r>
            </w:hyperlink>
          </w:p>
        </w:tc>
        <w:tc>
          <w:tcPr>
            <w:tcW w:w="2500" w:type="dxa"/>
            <w:vAlign w:val="bottom"/>
            <w:gridSpan w:val="14"/>
          </w:tcPr>
          <w:p>
            <w:pPr>
              <w:ind w:left="2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Partners’ Capital and Distributions</w:t>
              </w:r>
            </w:hyperlink>
          </w:p>
        </w:tc>
        <w:tc>
          <w:tcPr>
            <w:tcW w:w="7360" w:type="dxa"/>
            <w:vAlign w:val="bottom"/>
            <w:gridSpan w:val="1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20" w:type="dxa"/>
            <w:vAlign w:val="bottom"/>
            <w:gridSpan w:val="19"/>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10. Derivatives and Risk Management Activities</w:t>
              </w:r>
            </w:hyperlink>
          </w:p>
        </w:tc>
        <w:tc>
          <w:tcPr>
            <w:tcW w:w="650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2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11. Related Party Transactions</w:t>
              </w:r>
            </w:hyperlink>
          </w:p>
        </w:tc>
        <w:tc>
          <w:tcPr>
            <w:tcW w:w="650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5"/>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12. Commitments and Contingencies</w:t>
              </w:r>
            </w:hyperlink>
          </w:p>
        </w:tc>
        <w:tc>
          <w:tcPr>
            <w:tcW w:w="7360" w:type="dxa"/>
            <w:vAlign w:val="bottom"/>
            <w:gridSpan w:val="1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6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13. Operating Segments</w:t>
              </w:r>
            </w:hyperlink>
          </w:p>
        </w:tc>
        <w:tc>
          <w:tcPr>
            <w:tcW w:w="7360" w:type="dxa"/>
            <w:vAlign w:val="bottom"/>
            <w:gridSpan w:val="1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340" w:type="dxa"/>
            <w:vAlign w:val="bottom"/>
            <w:gridSpan w:val="3"/>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0360" w:type="dxa"/>
            <w:vAlign w:val="bottom"/>
            <w:gridSpan w:val="3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 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60" w:type="dxa"/>
            <w:vAlign w:val="bottom"/>
            <w:gridSpan w:val="5"/>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700" w:type="dxa"/>
            <w:vAlign w:val="bottom"/>
            <w:gridSpan w:val="29"/>
          </w:tcPr>
          <w:p>
            <w:pPr>
              <w:spacing w:after="0"/>
              <w:rPr>
                <w:rFonts w:ascii="Arial" w:cs="Arial" w:eastAsia="Arial" w:hAnsi="Arial"/>
                <w:sz w:val="18"/>
                <w:szCs w:val="18"/>
                <w:color w:val="0000EE"/>
                <w:w w:val="97"/>
              </w:rPr>
            </w:pPr>
            <w:hyperlink w:anchor="page55">
              <w:r>
                <w:rPr>
                  <w:rFonts w:ascii="Arial" w:cs="Arial" w:eastAsia="Arial" w:hAnsi="Arial"/>
                  <w:sz w:val="18"/>
                  <w:szCs w:val="18"/>
                  <w:color w:val="0000EE"/>
                  <w:w w:val="97"/>
                </w:rPr>
                <w:t>Item 3. QUANTITATIVE AND QUALITATIVE DISCLOSURES ABOUT MARKET RISK</w:t>
              </w:r>
            </w:hyperlink>
          </w:p>
        </w:tc>
        <w:tc>
          <w:tcPr>
            <w:tcW w:w="2760" w:type="dxa"/>
            <w:vAlign w:val="bottom"/>
            <w:gridSpan w:val="5"/>
          </w:tcPr>
          <w:p>
            <w:pPr>
              <w:spacing w:after="0"/>
              <w:rPr>
                <w:sz w:val="21"/>
                <w:szCs w:val="21"/>
                <w:color w:val="auto"/>
              </w:rPr>
            </w:pPr>
          </w:p>
        </w:tc>
        <w:tc>
          <w:tcPr>
            <w:tcW w:w="900" w:type="dxa"/>
            <w:vAlign w:val="bottom"/>
            <w:gridSpan w:val="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180" w:type="dxa"/>
            <w:vAlign w:val="bottom"/>
            <w:gridSpan w:val="20"/>
          </w:tcPr>
          <w:p>
            <w:pPr>
              <w:spacing w:after="0"/>
              <w:rPr>
                <w:rFonts w:ascii="Arial" w:cs="Arial" w:eastAsia="Arial" w:hAnsi="Arial"/>
                <w:sz w:val="18"/>
                <w:szCs w:val="18"/>
                <w:color w:val="0000EE"/>
                <w:w w:val="93"/>
              </w:rPr>
            </w:pPr>
            <w:hyperlink w:anchor="page56">
              <w:r>
                <w:rPr>
                  <w:rFonts w:ascii="Arial" w:cs="Arial" w:eastAsia="Arial" w:hAnsi="Arial"/>
                  <w:sz w:val="18"/>
                  <w:szCs w:val="18"/>
                  <w:color w:val="0000EE"/>
                  <w:w w:val="93"/>
                </w:rPr>
                <w:t>Item 4. CONTROLS AND PROCEDURES</w:t>
              </w:r>
            </w:hyperlink>
          </w:p>
        </w:tc>
        <w:tc>
          <w:tcPr>
            <w:tcW w:w="3520" w:type="dxa"/>
            <w:vAlign w:val="bottom"/>
            <w:gridSpan w:val="9"/>
          </w:tcPr>
          <w:p>
            <w:pPr>
              <w:spacing w:after="0"/>
              <w:rPr>
                <w:sz w:val="21"/>
                <w:szCs w:val="21"/>
                <w:color w:val="auto"/>
              </w:rPr>
            </w:pPr>
          </w:p>
        </w:tc>
        <w:tc>
          <w:tcPr>
            <w:tcW w:w="3660" w:type="dxa"/>
            <w:vAlign w:val="bottom"/>
            <w:gridSpan w:val="7"/>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r>
      <w:tr>
        <w:trPr>
          <w:trHeight w:val="520"/>
        </w:trPr>
        <w:tc>
          <w:tcPr>
            <w:tcW w:w="2760" w:type="dxa"/>
            <w:vAlign w:val="bottom"/>
            <w:tcBorders>
              <w:top w:val="single" w:sz="8" w:color="0000EE"/>
              <w:bottom w:val="single" w:sz="8" w:color="0000EE"/>
            </w:tcBorders>
            <w:gridSpan w:val="17"/>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 OTHER INFORMATION</w:t>
              </w:r>
            </w:hyperlink>
          </w:p>
        </w:tc>
        <w:tc>
          <w:tcPr>
            <w:tcW w:w="420" w:type="dxa"/>
            <w:vAlign w:val="bottom"/>
            <w:tcBorders>
              <w:top w:val="single" w:sz="8" w:color="0000EE"/>
            </w:tcBorders>
            <w:gridSpan w:val="3"/>
          </w:tcPr>
          <w:p>
            <w:pPr>
              <w:spacing w:after="0"/>
              <w:rPr>
                <w:sz w:val="24"/>
                <w:szCs w:val="24"/>
                <w:color w:val="auto"/>
              </w:rPr>
            </w:pPr>
          </w:p>
        </w:tc>
        <w:tc>
          <w:tcPr>
            <w:tcW w:w="7180" w:type="dxa"/>
            <w:vAlign w:val="bottom"/>
            <w:gridSpan w:val="16"/>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360" w:type="dxa"/>
            <w:vAlign w:val="bottom"/>
            <w:gridSpan w:val="3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1. LEGAL PROCEEDINGS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1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1A. RISK FACTORS</w:t>
              </w:r>
            </w:hyperlink>
          </w:p>
        </w:tc>
        <w:tc>
          <w:tcPr>
            <w:tcW w:w="7940" w:type="dxa"/>
            <w:vAlign w:val="bottom"/>
            <w:gridSpan w:val="23"/>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360" w:type="dxa"/>
            <w:vAlign w:val="bottom"/>
            <w:gridSpan w:val="3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2. UNREGISTERED SALES OF EQUITY SECURITIES AND USE OF PROCEEDS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3740" w:type="dxa"/>
            <w:vAlign w:val="bottom"/>
            <w:gridSpan w:val="8"/>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21"/>
          </w:tcPr>
          <w:p>
            <w:pPr>
              <w:spacing w:after="0"/>
              <w:rPr>
                <w:rFonts w:ascii="Arial" w:cs="Arial" w:eastAsia="Arial" w:hAnsi="Arial"/>
                <w:sz w:val="18"/>
                <w:szCs w:val="18"/>
                <w:color w:val="0000EE"/>
                <w:w w:val="93"/>
              </w:rPr>
            </w:pPr>
            <w:hyperlink w:anchor="page57">
              <w:r>
                <w:rPr>
                  <w:rFonts w:ascii="Arial" w:cs="Arial" w:eastAsia="Arial" w:hAnsi="Arial"/>
                  <w:sz w:val="18"/>
                  <w:szCs w:val="18"/>
                  <w:color w:val="0000EE"/>
                  <w:w w:val="93"/>
                </w:rPr>
                <w:t>Item 3. DEFAULTS UPON SENIOR SECURITIES</w:t>
              </w:r>
            </w:hyperlink>
          </w:p>
        </w:tc>
        <w:tc>
          <w:tcPr>
            <w:tcW w:w="2880" w:type="dxa"/>
            <w:vAlign w:val="bottom"/>
            <w:gridSpan w:val="7"/>
          </w:tcPr>
          <w:p>
            <w:pPr>
              <w:spacing w:after="0"/>
              <w:rPr>
                <w:sz w:val="21"/>
                <w:szCs w:val="21"/>
                <w:color w:val="auto"/>
              </w:rPr>
            </w:pPr>
          </w:p>
        </w:tc>
        <w:tc>
          <w:tcPr>
            <w:tcW w:w="3740" w:type="dxa"/>
            <w:vAlign w:val="bottom"/>
            <w:gridSpan w:val="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6620" w:type="dxa"/>
            <w:vAlign w:val="bottom"/>
            <w:gridSpan w:val="15"/>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000" w:type="dxa"/>
            <w:vAlign w:val="bottom"/>
            <w:gridSpan w:val="18"/>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Item 4. MINE SAFETY DISCLOSURES</w:t>
              </w:r>
            </w:hyperlink>
          </w:p>
        </w:tc>
        <w:tc>
          <w:tcPr>
            <w:tcW w:w="740" w:type="dxa"/>
            <w:vAlign w:val="bottom"/>
            <w:gridSpan w:val="3"/>
          </w:tcPr>
          <w:p>
            <w:pPr>
              <w:spacing w:after="0"/>
              <w:rPr>
                <w:sz w:val="21"/>
                <w:szCs w:val="21"/>
                <w:color w:val="auto"/>
              </w:rPr>
            </w:pPr>
          </w:p>
        </w:tc>
        <w:tc>
          <w:tcPr>
            <w:tcW w:w="662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7360" w:type="dxa"/>
            <w:vAlign w:val="bottom"/>
            <w:gridSpan w:val="18"/>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4"/>
          </w:tcPr>
          <w:p>
            <w:pPr>
              <w:spacing w:after="0"/>
              <w:rPr>
                <w:rFonts w:ascii="Arial" w:cs="Arial" w:eastAsia="Arial" w:hAnsi="Arial"/>
                <w:sz w:val="18"/>
                <w:szCs w:val="18"/>
                <w:color w:val="0000EE"/>
                <w:w w:val="95"/>
              </w:rPr>
            </w:pPr>
            <w:hyperlink w:anchor="page57">
              <w:r>
                <w:rPr>
                  <w:rFonts w:ascii="Arial" w:cs="Arial" w:eastAsia="Arial" w:hAnsi="Arial"/>
                  <w:sz w:val="18"/>
                  <w:szCs w:val="18"/>
                  <w:color w:val="0000EE"/>
                  <w:w w:val="95"/>
                </w:rPr>
                <w:t>Item 5. OTHER INFORMATION</w:t>
              </w:r>
            </w:hyperlink>
          </w:p>
        </w:tc>
        <w:tc>
          <w:tcPr>
            <w:tcW w:w="560" w:type="dxa"/>
            <w:vAlign w:val="bottom"/>
            <w:gridSpan w:val="4"/>
          </w:tcPr>
          <w:p>
            <w:pPr>
              <w:spacing w:after="0"/>
              <w:rPr>
                <w:sz w:val="21"/>
                <w:szCs w:val="21"/>
                <w:color w:val="auto"/>
              </w:rPr>
            </w:pPr>
          </w:p>
        </w:tc>
        <w:tc>
          <w:tcPr>
            <w:tcW w:w="7360" w:type="dxa"/>
            <w:vAlign w:val="bottom"/>
            <w:gridSpan w:val="1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6"/>
            <w:shd w:val="clear" w:color="auto" w:fill="0000EE"/>
          </w:tcPr>
          <w:p>
            <w:pPr>
              <w:spacing w:after="0" w:line="20" w:lineRule="exact"/>
              <w:rPr>
                <w:sz w:val="1"/>
                <w:szCs w:val="1"/>
                <w:color w:val="auto"/>
              </w:rPr>
            </w:pPr>
          </w:p>
        </w:tc>
        <w:tc>
          <w:tcPr>
            <w:tcW w:w="7920" w:type="dxa"/>
            <w:vAlign w:val="bottom"/>
            <w:gridSpan w:val="22"/>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6. EXHIBITS</w:t>
              </w:r>
            </w:hyperlink>
          </w:p>
        </w:tc>
        <w:tc>
          <w:tcPr>
            <w:tcW w:w="7920" w:type="dxa"/>
            <w:vAlign w:val="bottom"/>
            <w:gridSpan w:val="2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110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000" w:type="dxa"/>
            <w:vAlign w:val="bottom"/>
            <w:gridSpan w:val="28"/>
          </w:tcPr>
          <w:p>
            <w:pPr>
              <w:spacing w:after="0" w:line="20" w:lineRule="exact"/>
              <w:rPr>
                <w:sz w:val="1"/>
                <w:szCs w:val="1"/>
                <w:color w:val="auto"/>
              </w:rPr>
            </w:pPr>
          </w:p>
        </w:tc>
        <w:tc>
          <w:tcPr>
            <w:tcW w:w="84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6"/>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SIGNATURES</w:t>
              </w:r>
            </w:hyperlink>
          </w:p>
        </w:tc>
        <w:tc>
          <w:tcPr>
            <w:tcW w:w="260" w:type="dxa"/>
            <w:vAlign w:val="bottom"/>
            <w:gridSpan w:val="2"/>
          </w:tcPr>
          <w:p>
            <w:pPr>
              <w:spacing w:after="0"/>
              <w:rPr>
                <w:sz w:val="21"/>
                <w:szCs w:val="21"/>
                <w:color w:val="auto"/>
              </w:rPr>
            </w:pPr>
          </w:p>
        </w:tc>
        <w:tc>
          <w:tcPr>
            <w:tcW w:w="9000" w:type="dxa"/>
            <w:vAlign w:val="bottom"/>
            <w:gridSpan w:val="28"/>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61">
              <w:r>
                <w:rPr>
                  <w:rFonts w:ascii="Arial" w:cs="Arial" w:eastAsia="Arial" w:hAnsi="Arial"/>
                  <w:sz w:val="18"/>
                  <w:szCs w:val="18"/>
                  <w:color w:val="0000EE"/>
                </w:rPr>
                <w:t>61</w:t>
              </w:r>
            </w:hyperlink>
          </w:p>
        </w:tc>
      </w:tr>
      <w:tr>
        <w:trPr>
          <w:trHeight w:val="723"/>
        </w:trPr>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5300" w:type="dxa"/>
            <w:vAlign w:val="bottom"/>
            <w:gridSpan w:val="20"/>
          </w:tcPr>
          <w:p>
            <w:pPr>
              <w:jc w:val="right"/>
              <w:ind w:right="6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UNAUDITED CONDENSED CONSOLIDATED FINANCIAL STATEMENTS</w:t>
      </w:r>
    </w:p>
    <w:p>
      <w:pPr>
        <w:spacing w:after="0" w:line="1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unit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160" w:type="dxa"/>
            <w:vAlign w:val="bottom"/>
          </w:tcPr>
          <w:p>
            <w:pPr>
              <w:jc w:val="right"/>
              <w:ind w:right="231"/>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6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176"/>
        </w:trPr>
        <w:tc>
          <w:tcPr>
            <w:tcW w:w="8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713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4,000</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9"/>
        </w:trPr>
        <w:tc>
          <w:tcPr>
            <w:tcW w:w="8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16,937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16,862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(2,773)</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14,114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14,089</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9"/>
        </w:trPr>
        <w:tc>
          <w:tcPr>
            <w:tcW w:w="8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2,756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Linefill and base gas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w:t>
            </w:r>
          </w:p>
        </w:tc>
      </w:tr>
      <w:tr>
        <w:trPr>
          <w:trHeight w:val="297"/>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25,423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25,351</w:t>
            </w:r>
          </w:p>
        </w:tc>
      </w:tr>
      <w:tr>
        <w:trPr>
          <w:trHeight w:val="163"/>
        </w:trPr>
        <w:tc>
          <w:tcPr>
            <w:tcW w:w="8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76"/>
        </w:trPr>
        <w:tc>
          <w:tcPr>
            <w:tcW w:w="8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737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4,531</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9"/>
        </w:trPr>
        <w:tc>
          <w:tcPr>
            <w:tcW w:w="8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LONG-TERM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debt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9,786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9,862</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9"/>
        </w:trPr>
        <w:tc>
          <w:tcPr>
            <w:tcW w:w="8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(NOTE 12)</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76"/>
        </w:trPr>
        <w:tc>
          <w:tcPr>
            <w:tcW w:w="8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PARTNERS’ CAPITAL</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unitholders (71,090,468 and 69,696,542 units outstanding,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Series B preferred unitholders (800,000 and 800,000 units outstanding, respectively)</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788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unitholders (725,206,904 and 725,189,138 units outstanding, respectively)</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8,665</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partners’ capital</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11,036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10,958</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25,423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25,351</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per unit data)</w:t>
      </w:r>
    </w:p>
    <w:p>
      <w:pPr>
        <w:spacing w:after="0" w:line="148"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13335</wp:posOffset>
            </wp:positionV>
            <wp:extent cx="1646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196"/>
        </w:trPr>
        <w:tc>
          <w:tcPr>
            <w:tcW w:w="8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7"/>
                <w:szCs w:val="17"/>
                <w:color w:val="auto"/>
              </w:rPr>
            </w:pPr>
          </w:p>
        </w:tc>
      </w:tr>
      <w:tr>
        <w:trPr>
          <w:trHeight w:val="256"/>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Supply and Logistics segment revenues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8,111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6,395</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revenues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Facilities segment revenues</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134</w:t>
            </w:r>
          </w:p>
        </w:tc>
      </w:tr>
      <w:tr>
        <w:trPr>
          <w:trHeight w:val="27"/>
        </w:trPr>
        <w:tc>
          <w:tcPr>
            <w:tcW w:w="8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6,667</w:t>
            </w:r>
          </w:p>
        </w:tc>
      </w:tr>
      <w:tr>
        <w:trPr>
          <w:trHeight w:val="297"/>
        </w:trPr>
        <w:tc>
          <w:tcPr>
            <w:tcW w:w="8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7,519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5,593</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74</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r>
      <w:tr>
        <w:trPr>
          <w:trHeight w:val="237"/>
        </w:trPr>
        <w:tc>
          <w:tcPr>
            <w:tcW w:w="874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8,017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6,076</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324"/>
        </w:trPr>
        <w:tc>
          <w:tcPr>
            <w:tcW w:w="8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591</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324"/>
        </w:trPr>
        <w:tc>
          <w:tcPr>
            <w:tcW w:w="8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Interest expense (net of capitalized interest of $6 and $6, respectively)</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8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87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57"/>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r>
      <w:tr>
        <w:trPr>
          <w:trHeight w:val="20"/>
        </w:trPr>
        <w:tc>
          <w:tcPr>
            <w:tcW w:w="8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11"/>
        </w:trPr>
        <w:tc>
          <w:tcPr>
            <w:tcW w:w="8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8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UNIT (NOTE 4):</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740" w:type="dxa"/>
            <w:vAlign w:val="bottom"/>
          </w:tcPr>
          <w:p>
            <w:pPr>
              <w:ind w:left="180"/>
              <w:spacing w:after="0"/>
              <w:rPr>
                <w:sz w:val="20"/>
                <w:szCs w:val="20"/>
                <w:color w:val="auto"/>
              </w:rPr>
            </w:pPr>
            <w:r>
              <w:rPr>
                <w:rFonts w:ascii="Arial" w:cs="Arial" w:eastAsia="Arial" w:hAnsi="Arial"/>
                <w:sz w:val="18"/>
                <w:szCs w:val="18"/>
                <w:color w:val="auto"/>
              </w:rPr>
              <w:t>Net income allocated to common unitholders — 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406</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r>
      <w:tr>
        <w:trPr>
          <w:trHeight w:val="304"/>
        </w:trPr>
        <w:tc>
          <w:tcPr>
            <w:tcW w:w="8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net income per common unit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0.59</w:t>
            </w:r>
          </w:p>
        </w:tc>
      </w:tr>
      <w:tr>
        <w:trPr>
          <w:trHeight w:val="311"/>
        </w:trPr>
        <w:tc>
          <w:tcPr>
            <w:tcW w:w="8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8740" w:type="dxa"/>
            <w:vAlign w:val="bottom"/>
          </w:tcPr>
          <w:p>
            <w:pPr>
              <w:ind w:left="180"/>
              <w:spacing w:after="0"/>
              <w:rPr>
                <w:sz w:val="20"/>
                <w:szCs w:val="20"/>
                <w:color w:val="auto"/>
              </w:rPr>
            </w:pPr>
            <w:r>
              <w:rPr>
                <w:rFonts w:ascii="Arial" w:cs="Arial" w:eastAsia="Arial" w:hAnsi="Arial"/>
                <w:sz w:val="18"/>
                <w:szCs w:val="18"/>
                <w:color w:val="auto"/>
              </w:rPr>
              <w:t>Net income allocated to common unitholders —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443</w:t>
            </w:r>
          </w:p>
        </w:tc>
      </w:tr>
      <w:tr>
        <w:trPr>
          <w:trHeight w:val="27"/>
        </w:trPr>
        <w:tc>
          <w:tcPr>
            <w:tcW w:w="8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common units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r>
      <w:tr>
        <w:trPr>
          <w:trHeight w:val="264"/>
        </w:trPr>
        <w:tc>
          <w:tcPr>
            <w:tcW w:w="8740" w:type="dxa"/>
            <w:vAlign w:val="bottom"/>
          </w:tcPr>
          <w:p>
            <w:pPr>
              <w:ind w:left="180"/>
              <w:spacing w:after="0"/>
              <w:rPr>
                <w:sz w:val="20"/>
                <w:szCs w:val="20"/>
                <w:color w:val="auto"/>
              </w:rPr>
            </w:pPr>
            <w:r>
              <w:rPr>
                <w:rFonts w:ascii="Arial" w:cs="Arial" w:eastAsia="Arial" w:hAnsi="Arial"/>
                <w:sz w:val="18"/>
                <w:szCs w:val="18"/>
                <w:color w:val="auto"/>
              </w:rPr>
              <w:t>Diluted net income per common unit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0.58</w:t>
            </w:r>
          </w:p>
        </w:tc>
      </w:tr>
      <w:tr>
        <w:trPr>
          <w:trHeight w:val="20"/>
        </w:trPr>
        <w:tc>
          <w:tcPr>
            <w:tcW w:w="8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COMPREHENSIVE INCOME (in millions)</w:t>
      </w:r>
    </w:p>
    <w:p>
      <w:pPr>
        <w:spacing w:after="0" w:line="200" w:lineRule="exact"/>
        <w:rPr>
          <w:sz w:val="20"/>
          <w:szCs w:val="20"/>
          <w:color w:val="auto"/>
        </w:rPr>
      </w:pPr>
    </w:p>
    <w:p>
      <w:pPr>
        <w:spacing w:after="0" w:line="348"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196"/>
        </w:trPr>
        <w:tc>
          <w:tcPr>
            <w:tcW w:w="8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7"/>
                <w:szCs w:val="17"/>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288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comprehensive income/(loss)</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36</w:t>
            </w:r>
          </w:p>
        </w:tc>
      </w:tr>
      <w:tr>
        <w:trPr>
          <w:trHeight w:val="27"/>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480</w:t>
            </w:r>
          </w:p>
        </w:tc>
      </w:tr>
      <w:tr>
        <w:trPr>
          <w:trHeight w:val="20"/>
        </w:trPr>
        <w:tc>
          <w:tcPr>
            <w:tcW w:w="8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Translation</w:t>
            </w:r>
          </w:p>
        </w:tc>
        <w:tc>
          <w:tcPr>
            <w:tcW w:w="480" w:type="dxa"/>
            <w:vAlign w:val="bottom"/>
          </w:tcPr>
          <w:p>
            <w:pPr>
              <w:spacing w:after="0"/>
              <w:rPr>
                <w:sz w:val="14"/>
                <w:szCs w:val="14"/>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Adjustments</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gain on cash flow hedges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Translation</w:t>
            </w:r>
          </w:p>
        </w:tc>
        <w:tc>
          <w:tcPr>
            <w:tcW w:w="480" w:type="dxa"/>
            <w:vAlign w:val="bottom"/>
          </w:tcPr>
          <w:p>
            <w:pPr>
              <w:spacing w:after="0"/>
              <w:rPr>
                <w:sz w:val="24"/>
                <w:szCs w:val="24"/>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24"/>
                <w:szCs w:val="2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Deferred gain on cash flow hedges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Total period activity</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March 31, 2017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444</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121</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income tax expense</w:t>
            </w:r>
          </w:p>
        </w:tc>
        <w:tc>
          <w:tcPr>
            <w:tcW w:w="98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(Gain)/loss on foreign currency revaluation</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on earnings from unconsolidated entities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 net of acquisitions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816</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8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in connection with acquisitions, net of cash acquired</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 in unconsolidated entities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equipment and other</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sales of assets</w:t>
            </w:r>
          </w:p>
        </w:tc>
        <w:tc>
          <w:tcPr>
            <w:tcW w:w="98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161</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(1,491)</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8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borrowings/(repayments) under commercial paper program (Note 8)</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borrowings under senior unsecured revolving credit facility (Note 8)</w:t>
            </w:r>
          </w:p>
        </w:tc>
        <w:tc>
          <w:tcPr>
            <w:tcW w:w="98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repayments under senior secured hedged inventory facility (Note 8)</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Repayments of senior notes</w:t>
            </w:r>
          </w:p>
        </w:tc>
        <w:tc>
          <w:tcPr>
            <w:tcW w:w="98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sales of common units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Distributions paid to common unitholders (Note 9)</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provided by/(used in) financing activities</w:t>
            </w: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666</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8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translation adjustment on cash</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8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98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r>
      <w:tr>
        <w:trPr>
          <w:trHeight w:val="271"/>
        </w:trPr>
        <w:tc>
          <w:tcPr>
            <w:tcW w:w="83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for:</w:t>
            </w: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net of amounts capitalized</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net of amounts refunded</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080"/>
        <w:spacing w:after="0" w:line="275" w:lineRule="auto"/>
        <w:rPr>
          <w:sz w:val="20"/>
          <w:szCs w:val="20"/>
          <w:color w:val="auto"/>
        </w:rPr>
      </w:pPr>
      <w:r>
        <w:rPr>
          <w:rFonts w:ascii="Arial" w:cs="Arial" w:eastAsia="Arial" w:hAnsi="Arial"/>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Limited Partners</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6"/>
          </w:tcPr>
          <w:p>
            <w:pPr>
              <w:jc w:val="right"/>
              <w:ind w:right="579"/>
              <w:spacing w:after="0"/>
              <w:rPr>
                <w:sz w:val="20"/>
                <w:szCs w:val="20"/>
                <w:color w:val="auto"/>
              </w:rPr>
            </w:pPr>
            <w:r>
              <w:rPr>
                <w:rFonts w:ascii="Arial" w:cs="Arial" w:eastAsia="Arial" w:hAnsi="Arial"/>
                <w:sz w:val="14"/>
                <w:szCs w:val="14"/>
                <w:b w:val="1"/>
                <w:bCs w:val="1"/>
                <w:color w:val="auto"/>
              </w:rPr>
              <w:t>Preferred Unitholders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restart"/>
          </w:tcPr>
          <w:p>
            <w:pPr>
              <w:jc w:val="center"/>
              <w:ind w:left="517"/>
              <w:spacing w:after="0" w:line="139" w:lineRule="exact"/>
              <w:rPr>
                <w:sz w:val="20"/>
                <w:szCs w:val="20"/>
                <w:color w:val="auto"/>
              </w:rPr>
            </w:pPr>
            <w:r>
              <w:rPr>
                <w:rFonts w:ascii="Arial" w:cs="Arial" w:eastAsia="Arial" w:hAnsi="Arial"/>
                <w:sz w:val="14"/>
                <w:szCs w:val="14"/>
                <w:b w:val="1"/>
                <w:bCs w:val="1"/>
                <w:color w:val="auto"/>
                <w:w w:val="92"/>
              </w:rPr>
              <w:t>Common</w:t>
            </w: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80" w:type="dxa"/>
            <w:vAlign w:val="bottom"/>
            <w:gridSpan w:val="5"/>
            <w:vMerge w:val="restart"/>
          </w:tcPr>
          <w:p>
            <w:pPr>
              <w:jc w:val="center"/>
              <w:ind w:right="660"/>
              <w:spacing w:after="0" w:line="139" w:lineRule="exact"/>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vMerge w:val="restart"/>
          </w:tcPr>
          <w:p>
            <w:pPr>
              <w:jc w:val="right"/>
              <w:ind w:right="125"/>
              <w:spacing w:after="0"/>
              <w:rPr>
                <w:sz w:val="20"/>
                <w:szCs w:val="20"/>
                <w:color w:val="auto"/>
              </w:rPr>
            </w:pPr>
            <w:r>
              <w:rPr>
                <w:rFonts w:ascii="Arial" w:cs="Arial" w:eastAsia="Arial" w:hAnsi="Arial"/>
                <w:sz w:val="14"/>
                <w:szCs w:val="14"/>
                <w:b w:val="1"/>
                <w:bCs w:val="1"/>
                <w:color w:val="auto"/>
              </w:rPr>
              <w:t>Series A</w:t>
            </w: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Series B</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left="517"/>
              <w:spacing w:after="0"/>
              <w:rPr>
                <w:sz w:val="20"/>
                <w:szCs w:val="20"/>
                <w:color w:val="auto"/>
              </w:rPr>
            </w:pPr>
            <w:r>
              <w:rPr>
                <w:rFonts w:ascii="Arial" w:cs="Arial" w:eastAsia="Arial" w:hAnsi="Arial"/>
                <w:sz w:val="14"/>
                <w:szCs w:val="14"/>
                <w:b w:val="1"/>
                <w:bCs w:val="1"/>
                <w:color w:val="auto"/>
                <w:w w:val="92"/>
              </w:rPr>
              <w:t>Unitholders</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ind w:right="68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20" w:type="dxa"/>
            <w:vAlign w:val="bottom"/>
            <w:gridSpan w:val="6"/>
          </w:tcPr>
          <w:p>
            <w:pPr>
              <w:jc w:val="center"/>
              <w:ind w:right="720"/>
              <w:spacing w:after="0"/>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420" w:type="dxa"/>
            <w:vAlign w:val="bottom"/>
            <w:tcBorders>
              <w:bottom w:val="single" w:sz="8" w:color="auto"/>
            </w:tcBorders>
            <w:gridSpan w:val="2"/>
            <w:shd w:val="clear" w:color="auto" w:fill="CCEEFF"/>
          </w:tcPr>
          <w:p>
            <w:pPr>
              <w:jc w:val="right"/>
              <w:ind w:right="124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1,505</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788</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5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8,665</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vMerge w:val="restart"/>
          </w:tcPr>
          <w:p>
            <w:pPr>
              <w:ind w:left="160"/>
              <w:spacing w:after="0"/>
              <w:rPr>
                <w:sz w:val="20"/>
                <w:szCs w:val="20"/>
                <w:color w:val="auto"/>
              </w:rPr>
            </w:pPr>
            <w:r>
              <w:rPr>
                <w:rFonts w:ascii="Arial" w:cs="Arial" w:eastAsia="Arial" w:hAnsi="Arial"/>
                <w:sz w:val="18"/>
                <w:szCs w:val="18"/>
                <w:color w:val="auto"/>
                <w:w w:val="95"/>
              </w:rPr>
              <w:t>Impact of adoption of ASU 2017-05 (Note</w:t>
            </w: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jc w:val="right"/>
              <w:ind w:right="27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Distributions (Note 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comprehensive loss</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2018</w:t>
            </w:r>
          </w:p>
        </w:tc>
        <w:tc>
          <w:tcPr>
            <w:tcW w:w="1420" w:type="dxa"/>
            <w:vAlign w:val="bottom"/>
            <w:tcBorders>
              <w:bottom w:val="single" w:sz="8" w:color="auto"/>
            </w:tcBorders>
            <w:gridSpan w:val="2"/>
            <w:shd w:val="clear" w:color="auto" w:fill="CCEEFF"/>
          </w:tcPr>
          <w:p>
            <w:pPr>
              <w:jc w:val="right"/>
              <w:ind w:right="124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1,505</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787</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57"/>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8,744</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11,036</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right"/>
              <w:ind w:right="719"/>
              <w:spacing w:after="0"/>
              <w:rPr>
                <w:sz w:val="20"/>
                <w:szCs w:val="20"/>
                <w:color w:val="auto"/>
              </w:rPr>
            </w:pPr>
            <w:r>
              <w:rPr>
                <w:rFonts w:ascii="Arial" w:cs="Arial" w:eastAsia="Arial" w:hAnsi="Arial"/>
                <w:sz w:val="14"/>
                <w:szCs w:val="14"/>
                <w:b w:val="1"/>
                <w:bCs w:val="1"/>
                <w:color w:val="auto"/>
                <w:w w:val="99"/>
              </w:rPr>
              <w:t>Limited Partners</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Partners’ Capital</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left="465"/>
              <w:spacing w:after="0" w:line="153" w:lineRule="exact"/>
              <w:rPr>
                <w:sz w:val="20"/>
                <w:szCs w:val="20"/>
                <w:color w:val="auto"/>
              </w:rPr>
            </w:pPr>
            <w:r>
              <w:rPr>
                <w:rFonts w:ascii="Arial" w:cs="Arial" w:eastAsia="Arial" w:hAnsi="Arial"/>
                <w:sz w:val="14"/>
                <w:szCs w:val="14"/>
                <w:b w:val="1"/>
                <w:bCs w:val="1"/>
                <w:color w:val="auto"/>
                <w:w w:val="89"/>
              </w:rPr>
              <w:t>Series A</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Excluding</w:t>
            </w:r>
          </w:p>
        </w:tc>
        <w:tc>
          <w:tcPr>
            <w:tcW w:w="1340" w:type="dxa"/>
            <w:vAlign w:val="bottom"/>
            <w:gridSpan w:val="3"/>
            <w:vMerge w:val="restart"/>
          </w:tcPr>
          <w:p>
            <w:pPr>
              <w:jc w:val="right"/>
              <w:ind w:right="11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left="445"/>
              <w:spacing w:after="0" w:line="149" w:lineRule="exact"/>
              <w:rPr>
                <w:sz w:val="20"/>
                <w:szCs w:val="20"/>
                <w:color w:val="auto"/>
              </w:rPr>
            </w:pPr>
            <w:r>
              <w:rPr>
                <w:rFonts w:ascii="Arial" w:cs="Arial" w:eastAsia="Arial" w:hAnsi="Arial"/>
                <w:sz w:val="14"/>
                <w:szCs w:val="14"/>
                <w:b w:val="1"/>
                <w:bCs w:val="1"/>
                <w:color w:val="auto"/>
                <w:w w:val="96"/>
              </w:rPr>
              <w:t>Preferred</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Noncontrolling</w:t>
            </w:r>
          </w:p>
        </w:tc>
        <w:tc>
          <w:tcPr>
            <w:tcW w:w="13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Partners’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ind w:left="445"/>
              <w:spacing w:after="0"/>
              <w:rPr>
                <w:sz w:val="20"/>
                <w:szCs w:val="20"/>
                <w:color w:val="auto"/>
              </w:rPr>
            </w:pPr>
            <w:r>
              <w:rPr>
                <w:rFonts w:ascii="Arial" w:cs="Arial" w:eastAsia="Arial" w:hAnsi="Arial"/>
                <w:sz w:val="14"/>
                <w:szCs w:val="14"/>
                <w:b w:val="1"/>
                <w:bCs w:val="1"/>
                <w:color w:val="auto"/>
                <w:w w:val="92"/>
              </w:rPr>
              <w:t>Unitholders</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Unitholders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34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Interests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(unaudited)</w:t>
            </w: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2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1,508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7,251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8,759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Distributions</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Sales of common units</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1,664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2017</w:t>
            </w:r>
          </w:p>
        </w:tc>
        <w:tc>
          <w:tcPr>
            <w:tcW w:w="1420" w:type="dxa"/>
            <w:vAlign w:val="bottom"/>
            <w:gridSpan w:val="2"/>
            <w:shd w:val="clear" w:color="auto" w:fill="CCEEFF"/>
          </w:tcPr>
          <w:p>
            <w:pPr>
              <w:jc w:val="right"/>
              <w:ind w:right="1125"/>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8"/>
              </w:rPr>
              <w:t>1,507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3"/>
              </w:rPr>
              <w:t>9,027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10,534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00" w:right="2500"/>
        <w:spacing w:after="0" w:line="266" w:lineRule="auto"/>
        <w:rPr>
          <w:sz w:val="20"/>
          <w:szCs w:val="20"/>
          <w:color w:val="auto"/>
        </w:rPr>
      </w:pPr>
      <w:r>
        <w:rPr>
          <w:rFonts w:ascii="Arial" w:cs="Arial" w:eastAsia="Arial" w:hAnsi="Arial"/>
          <w:sz w:val="18"/>
          <w:szCs w:val="18"/>
          <w:b w:val="1"/>
          <w:bCs w:val="1"/>
          <w:color w:val="auto"/>
        </w:rPr>
        <w:t>PLAINS ALL AMERICAN PIPELINE, L.P. AND SUBSIDIARIES NOTES TO THE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own and operate midstream energy infrastructure and provide logistics services primarily for crude oil, natural gas liquids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Supply and Logistics, Transportation and Facilities. See Note 13 for further discussion of our operating segments.</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non-economic general partner interest is held by PAA GP LLC (“PAA GP”), a Delaware limited liability company, whose sole member is Plains AAP, L.P. (“AAP”), a Delaware limited partnership. In addition to its ownership of PAA GP, as of March 31, 2018, AAP also owned a limited partner interest in us through its ownership of approximately 283.9 million of our common units (approximately 36% of our total outstanding common units and Series A preferred units combined). Plains All American GP LLC (“GP LLC”), a Delaware limited liability company, is AAP’s general partner. Plains GP Holdings, L.P. (“PAGP”) is the sole and managing member of GP LLC, and, at March 31, 2018, owned an approximate 55% limited partner interest in AAP. PAA GP Holdings LLC (“PAGP GP”) is the general partner of PAGP.</w:t>
      </w:r>
    </w:p>
    <w:p>
      <w:pPr>
        <w:spacing w:after="0" w:line="19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our “general partner,” as the context requires, include any or all of PAGP GP, PAGP, GP LLC, AAP and PAA GP.</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AOCI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ASU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Btu</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CAD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CODM</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Chief Operating Decision Maker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DERs</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Distribution equivalent rights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Earnings before interest, taxes, depreciation and amortization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EPA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FASB</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GAAP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89"/>
              </w:rPr>
              <w:t>Generally accepted accounting principles in the United States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ICE</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ISDA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International Swaps and Derivatives Association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LIBOR</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LTIP</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Mcf</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NGL</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w w:val="95"/>
              </w:rPr>
              <w:t>Natural gas liquids, including ethane, propane and butane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NYMEX</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Oxy</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PLA</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SEC</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USD</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WTI</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58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accompanying unaudited condensed consolidated interim financial statements and related notes thereto should be read in conjunction with our 2017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 condensed consolidated balance sheet data as of December 31, 2017 was derived from audited financial statements, but does not include all disclosures required by GAAP. The results of operations for the three months ended March 31, 2018 should not be taken as indicative of results to be expected for the entire year.</w:t>
      </w:r>
    </w:p>
    <w:p>
      <w:pPr>
        <w:spacing w:after="0" w:line="17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2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Except as discussed below and in our 2017 Annual Report on Form 10-K, there have been no new accounting pronouncements that have become effective or have been issued during the three months ended March 31, 2018 that are of significance or potential significance to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Adopted During the Period</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In February 2017, the FASB issued ASU 2017-05, </w:t>
      </w:r>
      <w:r>
        <w:rPr>
          <w:rFonts w:ascii="Arial" w:cs="Arial" w:eastAsia="Arial" w:hAnsi="Arial"/>
          <w:sz w:val="18"/>
          <w:szCs w:val="18"/>
          <w:i w:val="1"/>
          <w:iCs w:val="1"/>
          <w:color w:val="auto"/>
        </w:rPr>
        <w:t>Other Income—Gains and Losses from the Derecognition of Nonfinancial Assets (Subtopic 610-20): Clarifying the Scope of Asset Derecognition Guidance and Accounting for Partial Sales of Nonfinancial Assets</w:t>
      </w:r>
      <w:r>
        <w:rPr>
          <w:rFonts w:ascii="Arial" w:cs="Arial" w:eastAsia="Arial" w:hAnsi="Arial"/>
          <w:sz w:val="18"/>
          <w:szCs w:val="18"/>
          <w:color w:val="auto"/>
        </w:rPr>
        <w:t>. The ASU clarifies what type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involving nonfinancial assets are covered by the scope of the standard and provides guidance on how to account for those transactions, including partial sales of real estate. Within this guidance, all sales and partial sales of businesses, which may have previously been accounted for using the in-substance real estate guidance, should follow the consolidation guidance. This guidance is effective for interim and annual periods beginning after December 15, 2017, and must be adopted at the same time as Topic 606. We adopted this ASU on January 1, 2018, using the modified retrospective approach. The cumulative effect of our adoption resulted in increases in both the carrying value of investments in unconsolidated entities and retained earnings of $113 million related to the retained noncontrolling interest in those entities from partial sales of businesses accounted for under in-substance real estate guidance during 2016 and 2017.</w:t>
      </w:r>
    </w:p>
    <w:p>
      <w:pPr>
        <w:spacing w:after="0" w:line="19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 (a consensus of the FASB Emerging</w:t>
      </w:r>
      <w:r>
        <w:rPr>
          <w:rFonts w:ascii="Arial" w:cs="Arial" w:eastAsia="Arial" w:hAnsi="Arial"/>
          <w:sz w:val="18"/>
          <w:szCs w:val="18"/>
          <w:color w:val="auto"/>
        </w:rPr>
        <w:t xml:space="preserve"> </w:t>
      </w:r>
      <w:r>
        <w:rPr>
          <w:rFonts w:ascii="Arial" w:cs="Arial" w:eastAsia="Arial" w:hAnsi="Arial"/>
          <w:sz w:val="18"/>
          <w:szCs w:val="18"/>
          <w:i w:val="1"/>
          <w:iCs w:val="1"/>
          <w:color w:val="auto"/>
        </w:rPr>
        <w:t>Issues Task Force)</w:t>
      </w:r>
      <w:r>
        <w:rPr>
          <w:rFonts w:ascii="Arial" w:cs="Arial" w:eastAsia="Arial" w:hAnsi="Arial"/>
          <w:sz w:val="18"/>
          <w:szCs w:val="18"/>
          <w:color w:val="auto"/>
        </w:rPr>
        <w:t>, requiring that a statement of cash flows explain the change in total cash, cash equivalents, and amounts generally described as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cash or restricted cash equivalents during the period. Therefore, amounts generally described as restricted cash and restricted cash equivalents should be included with cash and cash equivalents when reconciling the beginning-of-period total amounts shown on the statement of cash flows. This guidance is effective for interim and annual periods beginning after December 31, 2017. We adopted this ASU on January 1, 2018. Our adoption did not have an impact on our statement of cash flows.</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followed by a series of related accounting standard updates (collectively referred to as “Topic 606”) with the underlying principle that an entity will recognize revenue to reflect amounts expected to be received in exchange for the provision of goods and services to customers upon the transfer of control of those goods or services. We adopted Topic 606 on January 1, 2018, and applied the modified retrospective approach. See Note 3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Accounting Standards Updates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that revises the current accounting model for leases. The most significant changes are the clarification of the definition of a lease and required lessee recognition on the balance sheet of lease assets and liabilities with lease terms of more than 12 months (with the election of the practical expedient to exclude short-term leases on the balance sheet), including extensive quantitative and qualitative disclosures. This guidance will become effective for interim and annual periods beginning after December 15, 2018, with a modified retrospective application required. Early adoption is permitted, including adoption in an interim period. We expect to adopt this guidance on January 1, 2019 and are assessing the use of optional practical expedients. We are currently evaluating the effect that adopting this guidance will have on our financial position, results of operations and cash flows. Although our evaluation is ongoing, we do expect that the adoption will impact our financial statements as the standard requires the recognition on the balance sheet of a right of use asset and corresponding lease liability. We are currently analyzing our contracts to determine whether they contain a lease under the revised guidance and have not quantified the amount of the asset and liability that will be recognized on our consolidated balance sheet.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January 1, 2018, we adopted Topic 606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our historic accounting under ASC Topic 605, Revenue Recognition.</w:t>
      </w:r>
    </w:p>
    <w:p>
      <w:pPr>
        <w:spacing w:after="0" w:line="16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There was no material impact to opening retained earnings as of January 1, 2018 due to the adoption of Topic 606. There also was no material impact to revenues, or any other financial statement line items, for the three months ended March 31, 2018 as a result of applying Topic 606.</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Under Topic 606, we disaggregate our revenues by segment and type of activity. These categories depict how the nature, amount, timing and uncertainty of revenues and cash flows are affected by economic factors. Our business activities are conducted through three operating segments: Supply and Logistics, Transportation and Facilities. See Note 13 for further discussion of our operating segments.</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Supply and Logistics Segment Revenues from Contracts with Customers. </w:t>
      </w:r>
      <w:r>
        <w:rPr>
          <w:rFonts w:ascii="Arial" w:cs="Arial" w:eastAsia="Arial" w:hAnsi="Arial"/>
          <w:sz w:val="18"/>
          <w:szCs w:val="18"/>
          <w:color w:val="auto"/>
        </w:rPr>
        <w:t>The following table presents our Supply and Logistics segment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contracts with customers disaggregated by segment and type of activity (in millions):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Three Months Ended</w:t>
            </w:r>
          </w:p>
        </w:tc>
      </w:tr>
      <w:tr>
        <w:trPr>
          <w:trHeight w:val="192"/>
        </w:trPr>
        <w:tc>
          <w:tcPr>
            <w:tcW w:w="9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Supply and Logistics revenues from contracts with customers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9540" w:type="dxa"/>
            <w:vAlign w:val="bottom"/>
          </w:tcPr>
          <w:p>
            <w:pPr>
              <w:ind w:left="160"/>
              <w:spacing w:after="0"/>
              <w:rPr>
                <w:sz w:val="20"/>
                <w:szCs w:val="20"/>
                <w:color w:val="auto"/>
              </w:rPr>
            </w:pPr>
            <w:r>
              <w:rPr>
                <w:rFonts w:ascii="Arial" w:cs="Arial" w:eastAsia="Arial" w:hAnsi="Arial"/>
                <w:sz w:val="18"/>
                <w:szCs w:val="18"/>
                <w:color w:val="auto"/>
              </w:rPr>
              <w:t>Crude oil transactions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7"/>
              <w:spacing w:after="0"/>
              <w:rPr>
                <w:sz w:val="20"/>
                <w:szCs w:val="20"/>
                <w:color w:val="auto"/>
              </w:rPr>
            </w:pPr>
            <w:r>
              <w:rPr>
                <w:rFonts w:ascii="Arial" w:cs="Arial" w:eastAsia="Arial" w:hAnsi="Arial"/>
                <w:sz w:val="18"/>
                <w:szCs w:val="18"/>
                <w:color w:val="auto"/>
              </w:rPr>
              <w:t>7,023</w:t>
            </w:r>
          </w:p>
        </w:tc>
      </w:tr>
      <w:tr>
        <w:trPr>
          <w:trHeight w:val="27"/>
        </w:trPr>
        <w:tc>
          <w:tcPr>
            <w:tcW w:w="9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NGL and other transactions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1,151</w:t>
            </w:r>
          </w:p>
        </w:tc>
      </w:tr>
      <w:tr>
        <w:trPr>
          <w:trHeight w:val="257"/>
        </w:trPr>
        <w:tc>
          <w:tcPr>
            <w:tcW w:w="9540" w:type="dxa"/>
            <w:vAlign w:val="bottom"/>
          </w:tcPr>
          <w:p>
            <w:pPr>
              <w:ind w:left="20"/>
              <w:spacing w:after="0"/>
              <w:rPr>
                <w:sz w:val="20"/>
                <w:szCs w:val="20"/>
                <w:color w:val="auto"/>
              </w:rPr>
            </w:pPr>
            <w:r>
              <w:rPr>
                <w:rFonts w:ascii="Arial" w:cs="Arial" w:eastAsia="Arial" w:hAnsi="Arial"/>
                <w:sz w:val="18"/>
                <w:szCs w:val="18"/>
                <w:color w:val="auto"/>
              </w:rPr>
              <w:t>Total Supply and Logistics revenues from contracts with customers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8,174</w:t>
            </w:r>
          </w:p>
        </w:tc>
      </w:tr>
      <w:tr>
        <w:trPr>
          <w:trHeight w:val="20"/>
        </w:trPr>
        <w:tc>
          <w:tcPr>
            <w:tcW w:w="9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Revenues from sales of crude oil, NGL and natural gas are recognized at the time title to the product sold transfers to the purchaser, which occurs upon delivery of the product to the purchaser or its designee. Sales of crude oil and NGL consist of outright sales contracts. The consideration received under these contracts is variable based on commodity prices. Inventory purchases and sales under buy/sell transactions are treated as inventory exchanges which are excluded from Supply and Logistics segment revenues in our Condensed Consolidated Statements of Operations. Revenues recognized by our Supply and Logistics segment primarily represent margin based activities.</w:t>
      </w:r>
    </w:p>
    <w:p>
      <w:pPr>
        <w:spacing w:after="0" w:line="173"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Additionally, we may utilize derivatives in connection with the transactions described above. Derivative revenue is not included as a component of revenue from contracts with customers, but is included in other items in revenue. The change in the fair value of derivatives that are not designated or do not qualify for hedge accounting is recognized in revenues each period along with the ineffective portion of the change in fair value of derivatives that are designated as cash flow hedges. For commodity derivatives that are designated as cash flow hedges, derivative gains and losses are deferred in AOCI and recognized in revenues in the periods during which the underlying physical hedged transaction impacts earnings.</w:t>
      </w:r>
    </w:p>
    <w:p>
      <w:pPr>
        <w:spacing w:after="0" w:line="17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Transportation Segment Revenues from Contracts with Customers. </w:t>
      </w:r>
      <w:r>
        <w:rPr>
          <w:rFonts w:ascii="Arial" w:cs="Arial" w:eastAsia="Arial" w:hAnsi="Arial"/>
          <w:sz w:val="18"/>
          <w:szCs w:val="18"/>
          <w:color w:val="auto"/>
        </w:rPr>
        <w:t>The following table presents our Transportation segment revenues from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customers disaggregated by segment and type of activity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CCEEFF"/>
            </w:tcBorders>
          </w:tcPr>
          <w:p>
            <w:pPr>
              <w:spacing w:after="0"/>
              <w:rPr>
                <w:sz w:val="16"/>
                <w:szCs w:val="16"/>
                <w:color w:val="auto"/>
              </w:rPr>
            </w:pPr>
          </w:p>
        </w:tc>
        <w:tc>
          <w:tcPr>
            <w:tcW w:w="4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March 31, 2018</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Transportation revenues from contracts with customers</w:t>
            </w:r>
          </w:p>
        </w:tc>
        <w:tc>
          <w:tcPr>
            <w:tcW w:w="4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Tariff activities:</w:t>
            </w:r>
          </w:p>
        </w:tc>
        <w:tc>
          <w:tcPr>
            <w:tcW w:w="4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Crude oil pipelines</w:t>
            </w:r>
          </w:p>
        </w:tc>
        <w:tc>
          <w:tcPr>
            <w:tcW w:w="4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3"/>
        </w:trPr>
        <w:tc>
          <w:tcPr>
            <w:tcW w:w="5020" w:type="dxa"/>
            <w:vAlign w:val="bottom"/>
          </w:tcPr>
          <w:p>
            <w:pPr>
              <w:ind w:left="280"/>
              <w:spacing w:after="0"/>
              <w:rPr>
                <w:sz w:val="20"/>
                <w:szCs w:val="20"/>
                <w:color w:val="auto"/>
              </w:rPr>
            </w:pPr>
            <w:r>
              <w:rPr>
                <w:rFonts w:ascii="Arial" w:cs="Arial" w:eastAsia="Arial" w:hAnsi="Arial"/>
                <w:sz w:val="18"/>
                <w:szCs w:val="18"/>
                <w:color w:val="auto"/>
              </w:rPr>
              <w:t>NGL pipelines</w:t>
            </w:r>
          </w:p>
        </w:tc>
        <w:tc>
          <w:tcPr>
            <w:tcW w:w="4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tariff activities</w:t>
            </w:r>
          </w:p>
        </w:tc>
        <w:tc>
          <w:tcPr>
            <w:tcW w:w="4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Trucking</w:t>
            </w:r>
          </w:p>
        </w:tc>
        <w:tc>
          <w:tcPr>
            <w:tcW w:w="4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Transportation revenues from contracts with customers</w:t>
            </w:r>
          </w:p>
        </w:tc>
        <w:tc>
          <w:tcPr>
            <w:tcW w:w="4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bottom w:val="single" w:sz="8" w:color="CCEEFF"/>
            </w:tcBorders>
            <w:vMerge w:val="restart"/>
          </w:tcPr>
          <w:p>
            <w:pPr>
              <w:jc w:val="right"/>
              <w:ind w:right="3710"/>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2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Our Transportation segment operations generally consist of fee-based activities associated with transporting crude oil and NGL on pipelines, gathering systems and trucks. Revenues from 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173"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Facilities Segment Revenues from Contracts with Customers. </w:t>
      </w:r>
      <w:r>
        <w:rPr>
          <w:rFonts w:ascii="Arial" w:cs="Arial" w:eastAsia="Arial" w:hAnsi="Arial"/>
          <w:sz w:val="18"/>
          <w:szCs w:val="18"/>
          <w:color w:val="auto"/>
        </w:rPr>
        <w:t>The following table presents our Facilities segment revenues from contracts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disaggregated by segment and type of activity (in millions):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Three Months Ended</w:t>
            </w:r>
          </w:p>
        </w:tc>
      </w:tr>
      <w:tr>
        <w:trPr>
          <w:trHeight w:val="192"/>
        </w:trPr>
        <w:tc>
          <w:tcPr>
            <w:tcW w:w="9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March 31, 2018</w:t>
            </w: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revenues from contracts with customers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9540" w:type="dxa"/>
            <w:vAlign w:val="bottom"/>
          </w:tcPr>
          <w:p>
            <w:pPr>
              <w:ind w:left="160"/>
              <w:spacing w:after="0"/>
              <w:rPr>
                <w:sz w:val="20"/>
                <w:szCs w:val="20"/>
                <w:color w:val="auto"/>
              </w:rPr>
            </w:pPr>
            <w:r>
              <w:rPr>
                <w:rFonts w:ascii="Arial" w:cs="Arial" w:eastAsia="Arial" w:hAnsi="Arial"/>
                <w:sz w:val="18"/>
                <w:szCs w:val="18"/>
                <w:color w:val="auto"/>
              </w:rPr>
              <w:t>Crude oil, NGL and other terminalling and storage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166</w:t>
            </w:r>
          </w:p>
        </w:tc>
      </w:tr>
      <w:tr>
        <w:trPr>
          <w:trHeight w:val="27"/>
        </w:trPr>
        <w:tc>
          <w:tcPr>
            <w:tcW w:w="9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NGL and natural gas processing and fractionation</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w:t>
            </w:r>
          </w:p>
        </w:tc>
      </w:tr>
      <w:tr>
        <w:trPr>
          <w:trHeight w:val="243"/>
        </w:trPr>
        <w:tc>
          <w:tcPr>
            <w:tcW w:w="9540" w:type="dxa"/>
            <w:vAlign w:val="bottom"/>
          </w:tcPr>
          <w:p>
            <w:pPr>
              <w:ind w:left="160"/>
              <w:spacing w:after="0"/>
              <w:rPr>
                <w:sz w:val="20"/>
                <w:szCs w:val="20"/>
                <w:color w:val="auto"/>
              </w:rPr>
            </w:pPr>
            <w:r>
              <w:rPr>
                <w:rFonts w:ascii="Arial" w:cs="Arial" w:eastAsia="Arial" w:hAnsi="Arial"/>
                <w:sz w:val="18"/>
                <w:szCs w:val="18"/>
                <w:color w:val="auto"/>
              </w:rPr>
              <w:t>Rail load / unload</w:t>
            </w:r>
          </w:p>
        </w:tc>
        <w:tc>
          <w:tcPr>
            <w:tcW w:w="180" w:type="dxa"/>
            <w:vAlign w:val="bottom"/>
          </w:tcPr>
          <w:p>
            <w:pPr>
              <w:spacing w:after="0"/>
              <w:rPr>
                <w:sz w:val="21"/>
                <w:szCs w:val="21"/>
                <w:color w:val="auto"/>
              </w:rPr>
            </w:pPr>
          </w:p>
        </w:tc>
        <w:tc>
          <w:tcPr>
            <w:tcW w:w="1640" w:type="dxa"/>
            <w:vAlign w:val="bottom"/>
          </w:tcPr>
          <w:p>
            <w:pPr>
              <w:jc w:val="right"/>
              <w:ind w:right="36"/>
              <w:spacing w:after="0"/>
              <w:rPr>
                <w:sz w:val="20"/>
                <w:szCs w:val="20"/>
                <w:color w:val="auto"/>
              </w:rPr>
            </w:pPr>
            <w:r>
              <w:rPr>
                <w:rFonts w:ascii="Arial" w:cs="Arial" w:eastAsia="Arial" w:hAnsi="Arial"/>
                <w:sz w:val="18"/>
                <w:szCs w:val="18"/>
                <w:color w:val="auto"/>
              </w:rPr>
              <w:t>16</w:t>
            </w:r>
          </w:p>
        </w:tc>
      </w:tr>
      <w:tr>
        <w:trPr>
          <w:trHeight w:val="27"/>
        </w:trPr>
        <w:tc>
          <w:tcPr>
            <w:tcW w:w="9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revenues from contracts with customers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282</w:t>
            </w:r>
          </w:p>
        </w:tc>
      </w:tr>
      <w:tr>
        <w:trPr>
          <w:trHeight w:val="20"/>
        </w:trPr>
        <w:tc>
          <w:tcPr>
            <w:tcW w:w="9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Revenues generated in this segment include (i) fees that are generated from storage capacity agreements, (ii) terminal throughput fees that are generated when we receive liquids from one connecting source and deliver the applicable product to another connecting carrier, (iii) fees from NGL fractionation and isomerization services, (iv) fees from natural gas and condensate processing services, (v) fees associated with natural gas park and loan activities, interruptible storage services and wheeling and balancing services (“natural gas storage related activities”) and (vi) loading and unloading fees at our rail terminals.</w:t>
      </w:r>
    </w:p>
    <w:p>
      <w:pPr>
        <w:spacing w:after="0" w:line="18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rail fees) are recognized as the liquids enter or exit the terminal and are received from or delivered to the connecting carrier or third-party terminal, as applicable. Fees from NGL fractionation and isomerization services and gas processing services are recognized in the period when the services are performed. Natural gas storage related activities fees are recognized in the period the natural gas moves across our header system. We recognize rail loading and unloading fees when the volumes are delivered or received.</w:t>
      </w:r>
    </w:p>
    <w:p>
      <w:pPr>
        <w:spacing w:after="0" w:line="16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Topic 606 requires us to provide information about the relationship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disaggregated revenues presented above and segment revenues. These disclosures only include information regarding revenues associated with consolidated entities, and revenues from entities accounted for by the equity method are not included in the disclosures. The following table presents the reconciliation of our revenues from contracts with customers (as described above for each segment) to segment revenues and total revenues as disclosed in our Condensed Consolidated Statement of Operations (in millions):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2018</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Facilities</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Supply and</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 from contracts with customers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8,906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items in revenues</w:t>
            </w:r>
          </w:p>
        </w:tc>
        <w:tc>
          <w:tcPr>
            <w:tcW w:w="2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Intersegment revenues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w w:val="89"/>
              </w:rPr>
              <w:t>12</w:t>
            </w: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agreed upon period. These contracts are within the scope of Topic 606. In addition, we have certain buy/sell agreements that require customers to deliver a minimum volume over an agreed upon period that are within the scope of ASC Topic 845, </w:t>
      </w:r>
      <w:r>
        <w:rPr>
          <w:rFonts w:ascii="Arial" w:cs="Arial" w:eastAsia="Arial" w:hAnsi="Arial"/>
          <w:sz w:val="17"/>
          <w:szCs w:val="17"/>
          <w:i w:val="1"/>
          <w:iCs w:val="1"/>
          <w:color w:val="auto"/>
        </w:rPr>
        <w:t>Nonmonetary Transactions</w:t>
      </w:r>
      <w:r>
        <w:rPr>
          <w:rFonts w:ascii="Arial" w:cs="Arial" w:eastAsia="Arial" w:hAnsi="Arial"/>
          <w:sz w:val="17"/>
          <w:szCs w:val="17"/>
          <w:color w:val="auto"/>
        </w:rPr>
        <w:t>, (“Topic 845”).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pacing w:after="0" w:line="179"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At March 31, 2018 and December 31, 2017, counterparty deficiencies associated with agreements (under Topic 606 and Topic 845) that include minimum volume commitments totaled $59 million and $57 million, respectively, of which $44 million and $37 million, respectively, was recorded as a contract liability, which we refer to as deferred revenue. The remaining balance of $15 million and $20 million at March 31, 2018 and December 31, 2017, respectively, was related to deficiencies for which the counterparties had not met their contractual minimum commitments and were not reflected in our Condensed Consolidated Financial Statements as we had not yet billed or collected such amounts.</w:t>
      </w:r>
    </w:p>
    <w:p>
      <w:pPr>
        <w:spacing w:after="0" w:line="173"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i w:val="1"/>
          <w:iCs w:val="1"/>
          <w:color w:val="auto"/>
        </w:rPr>
        <w:t>Contract Balances</w:t>
      </w:r>
      <w:r>
        <w:rPr>
          <w:rFonts w:ascii="Arial" w:cs="Arial" w:eastAsia="Arial" w:hAnsi="Arial"/>
          <w:sz w:val="17"/>
          <w:szCs w:val="17"/>
          <w:color w:val="auto"/>
        </w:rPr>
        <w:t>. Our contract balances primarily consist of trade accounts receivable and liabilities. Our liabilities primarily consist of deferred</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and advance cash payments. We invoice customers in the month following that in which products or services were provided and generally require payment within 30 days of the invoice date. See Note 5 for further discussion of trade accounts receivable and advance cash payments. Included in these deferred revenues are amounts recognized under minimum volume commitments, as discussed above.</w:t>
      </w:r>
    </w:p>
    <w:p>
      <w:pPr>
        <w:spacing w:after="0" w:line="17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Condensed Consolidated Balance Sheet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3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due to contractual rights of offset with counterparties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Trade accounts receivable and other receivables,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4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The balance is comprised primarily of accounts receivable associated with buy/sell arrangements that are not within the scope of Topic 606.</w:t>
      </w:r>
    </w:p>
    <w:p>
      <w:pPr>
        <w:spacing w:after="0" w:line="20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Our contract liabilities primarily consist of amounts received under minimum volume commitments for which revenues are yet to be recognized and customer pre-payments and deposits. The following table presents the change in the contract liability balance during the three months ended March 31, 2018 (in millions):</w:t>
      </w: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Minimum Volume Commitments</w:t>
            </w:r>
          </w:p>
        </w:tc>
        <w:tc>
          <w:tcPr>
            <w:tcW w:w="140" w:type="dxa"/>
            <w:vAlign w:val="bottom"/>
          </w:tcPr>
          <w:p>
            <w:pPr>
              <w:spacing w:after="0"/>
              <w:rPr>
                <w:sz w:val="14"/>
                <w:szCs w:val="14"/>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Customer Prepayments and</w:t>
            </w:r>
          </w:p>
        </w:tc>
        <w:tc>
          <w:tcPr>
            <w:tcW w:w="200" w:type="dxa"/>
            <w:vAlign w:val="bottom"/>
          </w:tcPr>
          <w:p>
            <w:pPr>
              <w:spacing w:after="0"/>
              <w:rPr>
                <w:sz w:val="14"/>
                <w:szCs w:val="14"/>
                <w:color w:val="auto"/>
              </w:rPr>
            </w:pPr>
          </w:p>
        </w:tc>
        <w:tc>
          <w:tcPr>
            <w:tcW w:w="18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4"/>
              </w:rPr>
              <w:t>Total Deferred Revenues</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21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tcPr>
          <w:p>
            <w:pPr>
              <w:ind w:left="160"/>
              <w:spacing w:after="0"/>
              <w:rPr>
                <w:sz w:val="20"/>
                <w:szCs w:val="20"/>
                <w:color w:val="auto"/>
              </w:rPr>
            </w:pPr>
            <w:r>
              <w:rPr>
                <w:rFonts w:ascii="Arial" w:cs="Arial" w:eastAsia="Arial" w:hAnsi="Arial"/>
                <w:sz w:val="18"/>
                <w:szCs w:val="18"/>
                <w:color w:val="auto"/>
              </w:rPr>
              <w:t>Amounts recognized as revenue</w:t>
            </w:r>
          </w:p>
        </w:tc>
        <w:tc>
          <w:tcPr>
            <w:tcW w:w="3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020" w:type="dxa"/>
            <w:vAlign w:val="bottom"/>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2018</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jc w:val="right"/>
              <w:ind w:right="12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March 31, 2018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Remainder of</w:t>
            </w:r>
          </w:p>
        </w:tc>
        <w:tc>
          <w:tcPr>
            <w:tcW w:w="280" w:type="dxa"/>
            <w:vAlign w:val="bottom"/>
          </w:tcPr>
          <w:p>
            <w:pPr>
              <w:spacing w:after="0"/>
              <w:rPr>
                <w:sz w:val="14"/>
                <w:szCs w:val="14"/>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97"/>
              <w:spacing w:after="0"/>
              <w:rPr>
                <w:sz w:val="20"/>
                <w:szCs w:val="20"/>
                <w:color w:val="auto"/>
              </w:rPr>
            </w:pPr>
            <w:r>
              <w:rPr>
                <w:rFonts w:ascii="Arial" w:cs="Arial" w:eastAsia="Arial" w:hAnsi="Arial"/>
                <w:sz w:val="14"/>
                <w:szCs w:val="14"/>
                <w:b w:val="1"/>
                <w:bCs w:val="1"/>
                <w:color w:val="auto"/>
              </w:rPr>
              <w:t>2023 and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5"/>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Pipeline revenues supported by minimum volume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commitments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Long-term storage, terminalling and throughput</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8"/>
                <w:szCs w:val="18"/>
                <w:color w:val="auto"/>
              </w:rPr>
              <w:t>agreements revenues</w:t>
            </w:r>
          </w:p>
        </w:tc>
        <w:tc>
          <w:tcPr>
            <w:tcW w:w="140" w:type="dxa"/>
            <w:vAlign w:val="bottom"/>
          </w:tcPr>
          <w:p>
            <w:pPr>
              <w:spacing w:after="0"/>
              <w:rPr>
                <w:sz w:val="20"/>
                <w:szCs w:val="20"/>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640" w:hanging="652"/>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revenues from certain contracts for which the amount and timing of revenue is subject to the completion of underlying construction projects.</w:t>
      </w:r>
    </w:p>
    <w:p>
      <w:pPr>
        <w:spacing w:after="0" w:line="203"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58" w:lineRule="exact"/>
        <w:rPr>
          <w:sz w:val="20"/>
          <w:szCs w:val="20"/>
          <w:color w:val="auto"/>
        </w:rPr>
      </w:pPr>
    </w:p>
    <w:p>
      <w:pPr>
        <w:ind w:left="820" w:right="200" w:hanging="164"/>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Minimum volume commitments related to the assets of equity method investees — contracts include those related to the Eagle Ford, BridgeTex, STACK, Caddo, Saddlehorn, White Cliffs, Cheyenne and Diamond pipeline systems;</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Acreage dedications — Contracts include those related to the Permian Basin, Eagle Ford, Central, Rocky Mountain and Canada regions;</w:t>
      </w:r>
    </w:p>
    <w:p>
      <w:pPr>
        <w:spacing w:after="0" w:line="128" w:lineRule="exact"/>
        <w:rPr>
          <w:rFonts w:ascii="Arial" w:cs="Arial" w:eastAsia="Arial" w:hAnsi="Arial"/>
          <w:sz w:val="17"/>
          <w:szCs w:val="17"/>
          <w:color w:val="auto"/>
        </w:rPr>
      </w:pPr>
    </w:p>
    <w:p>
      <w:pPr>
        <w:ind w:left="820" w:right="560" w:hanging="164"/>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Supply and Logistics contracts within the scope of Topic 845 — including buy/sell arrangements with future committed volumes on certain Permian Basin, Eagle Ford, Central and Canada region systems;</w:t>
      </w:r>
    </w:p>
    <w:p>
      <w:pPr>
        <w:spacing w:after="0" w:line="62" w:lineRule="exact"/>
        <w:rPr>
          <w:rFonts w:ascii="Arial" w:cs="Arial" w:eastAsia="Arial" w:hAnsi="Arial"/>
          <w:sz w:val="18"/>
          <w:szCs w:val="18"/>
          <w:color w:val="auto"/>
        </w:rPr>
      </w:pPr>
    </w:p>
    <w:p>
      <w:pPr>
        <w:ind w:left="820" w:right="220" w:hanging="164"/>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other Supply and Logistics contracts, due to the election of practical expedients related to variable consideration and short-term contracts, as discussed below;</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 as discussed below;</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Contracts within the scope of ASC Topic 840, Leases;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Contracts within the scope of ASC Topic 815, Derivatives and Hedging.</w:t>
      </w:r>
    </w:p>
    <w:p>
      <w:pPr>
        <w:spacing w:after="0" w:line="33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under Topic 606 due to variability in amount of performance obligation remaining, variability in the timing of recognition or variability in consideration. Acreage dedications do require us to perform future services but do not contain a minimum level of services and are therefore excluded from this presentation. Long-term supply and logistics arrangements contain variable timing, volumes and/or consideration and are excluded from this presentation. The duration of these contracts varies across the periods presented above.</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Additionally, we have elected practical expedients to exclude contracts with terms of one year or less, which excludes the presentation of remaining performance obligations for short-term transportation, storage and processing services, supply and logistics arrangements, including the non-cancelable period of evergreen arrangements, and any other types of arrangements with terms of one year or less.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 Per Common Unit</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calculate basic and diluted net income per common unit by dividing net income (after deducting amounts allocated to the preferred unitholders and participating securities) by the basic and diluted weighted average number of common units outstanding during the period. Participating securities include LTIP awards that have vested DERs, which entitle the grantee to a cash payment equal to the cash distribution paid on our outstanding common units.</w:t>
      </w:r>
    </w:p>
    <w:p>
      <w:pPr>
        <w:spacing w:after="0" w:line="14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(which include LTIP awards and AAP Management Units). When applying the if-converted method prescribed by FASB guidance, the possible conversion of our Series A preferred units was excluded from the calculation of diluted net income per common unit for the three months ended March 31, 2018 as the effect was antidilutive. Our LTIP awards that contemplate the issuance of common units and certain AAP Management Units that contemplate the issuance of common units to AAP when such AAP Management Units become earned are considered dilutive unless (i) they become vested or earned only upon the satisfaction of a performance condition and (ii) that performance condition has yet to be satisfied. LTIP awards and AAP Management Units that were deemed to be dilutive during the three months ended March 31, 2018 and 2017 were reduced by a hypothetical common unit repurchase based on the remaining unamortized fair value, as prescribed by the treasury stock method in guidance issued by the FASB. See Note 16 to our Consolidated Financial Statements included in Part IV of our 2017 Annual Report on Form 10-K for a complete discussion of our LTIP awards and the AAP Management Units.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per common unit (in millions, except per unit data):</w:t>
      </w:r>
    </w:p>
    <w:p>
      <w:pPr>
        <w:spacing w:after="0" w:line="163"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4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Common Unit</w:t>
            </w:r>
          </w:p>
        </w:tc>
        <w:tc>
          <w:tcPr>
            <w:tcW w:w="39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7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Distributions to Series A preferred unitholders</w:t>
            </w:r>
          </w:p>
        </w:tc>
        <w:tc>
          <w:tcPr>
            <w:tcW w:w="3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820" w:type="dxa"/>
            <w:vAlign w:val="bottom"/>
          </w:tcPr>
          <w:p>
            <w:pPr>
              <w:ind w:left="360"/>
              <w:spacing w:after="0"/>
              <w:rPr>
                <w:sz w:val="20"/>
                <w:szCs w:val="20"/>
                <w:color w:val="auto"/>
              </w:rPr>
            </w:pPr>
            <w:r>
              <w:rPr>
                <w:rFonts w:ascii="Arial" w:cs="Arial" w:eastAsia="Arial" w:hAnsi="Arial"/>
                <w:sz w:val="18"/>
                <w:szCs w:val="18"/>
                <w:color w:val="auto"/>
              </w:rPr>
              <w:t>Distributions to Series B preferred unitholders</w:t>
            </w:r>
          </w:p>
        </w:tc>
        <w:tc>
          <w:tcPr>
            <w:tcW w:w="3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Distributions to participating securities</w:t>
            </w:r>
          </w:p>
        </w:tc>
        <w:tc>
          <w:tcPr>
            <w:tcW w:w="3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820" w:type="dxa"/>
            <w:vAlign w:val="bottom"/>
          </w:tcPr>
          <w:p>
            <w:pPr>
              <w:ind w:left="360"/>
              <w:spacing w:after="0"/>
              <w:rPr>
                <w:sz w:val="20"/>
                <w:szCs w:val="20"/>
                <w:color w:val="auto"/>
              </w:rPr>
            </w:pPr>
            <w:r>
              <w:rPr>
                <w:rFonts w:ascii="Arial" w:cs="Arial" w:eastAsia="Arial" w:hAnsi="Arial"/>
                <w:sz w:val="18"/>
                <w:szCs w:val="18"/>
                <w:color w:val="auto"/>
              </w:rPr>
              <w:t>Other</w:t>
            </w:r>
          </w:p>
        </w:tc>
        <w:tc>
          <w:tcPr>
            <w:tcW w:w="3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shd w:val="clear" w:color="auto" w:fill="CCEEFF"/>
          </w:tcPr>
          <w:p>
            <w:pPr>
              <w:ind w:left="200"/>
              <w:spacing w:after="0" w:line="264" w:lineRule="exact"/>
              <w:rPr>
                <w:sz w:val="20"/>
                <w:szCs w:val="20"/>
                <w:color w:val="auto"/>
              </w:rPr>
            </w:pPr>
            <w:r>
              <w:rPr>
                <w:rFonts w:ascii="Arial" w:cs="Arial" w:eastAsia="Arial" w:hAnsi="Arial"/>
                <w:sz w:val="18"/>
                <w:szCs w:val="18"/>
                <w:color w:val="auto"/>
              </w:rPr>
              <w:t xml:space="preserve">Net income allocated to common unitholders </w:t>
            </w:r>
            <w:r>
              <w:rPr>
                <w:rFonts w:ascii="Arial" w:cs="Arial" w:eastAsia="Arial" w:hAnsi="Arial"/>
                <w:sz w:val="25"/>
                <w:szCs w:val="25"/>
                <w:color w:val="auto"/>
                <w:vertAlign w:val="superscript"/>
              </w:rPr>
              <w:t>(1)</w:t>
            </w:r>
          </w:p>
        </w:tc>
        <w:tc>
          <w:tcPr>
            <w:tcW w:w="4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3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97"/>
        </w:trPr>
        <w:tc>
          <w:tcPr>
            <w:tcW w:w="4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 per common unit</w:t>
            </w:r>
          </w:p>
        </w:tc>
        <w:tc>
          <w:tcPr>
            <w:tcW w:w="4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0.33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Common Unit</w:t>
            </w:r>
          </w:p>
        </w:tc>
        <w:tc>
          <w:tcPr>
            <w:tcW w:w="3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7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Series A preferred unitholders</w:t>
            </w:r>
          </w:p>
        </w:tc>
        <w:tc>
          <w:tcPr>
            <w:tcW w:w="3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Distributions to Series B preferred unitholders</w:t>
            </w:r>
          </w:p>
        </w:tc>
        <w:tc>
          <w:tcPr>
            <w:tcW w:w="3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participating securities</w:t>
            </w:r>
          </w:p>
        </w:tc>
        <w:tc>
          <w:tcPr>
            <w:tcW w:w="3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Other</w:t>
            </w:r>
          </w:p>
        </w:tc>
        <w:tc>
          <w:tcPr>
            <w:tcW w:w="3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shd w:val="clear" w:color="auto" w:fill="CCEEFF"/>
          </w:tcPr>
          <w:p>
            <w:pPr>
              <w:ind w:left="200"/>
              <w:spacing w:after="0" w:line="264" w:lineRule="exact"/>
              <w:rPr>
                <w:sz w:val="20"/>
                <w:szCs w:val="20"/>
                <w:color w:val="auto"/>
              </w:rPr>
            </w:pPr>
            <w:r>
              <w:rPr>
                <w:rFonts w:ascii="Arial" w:cs="Arial" w:eastAsia="Arial" w:hAnsi="Arial"/>
                <w:sz w:val="18"/>
                <w:szCs w:val="18"/>
                <w:color w:val="auto"/>
              </w:rPr>
              <w:t xml:space="preserve">Net income allocated to common unitholders </w:t>
            </w:r>
            <w:r>
              <w:rPr>
                <w:rFonts w:ascii="Arial" w:cs="Arial" w:eastAsia="Arial" w:hAnsi="Arial"/>
                <w:sz w:val="25"/>
                <w:szCs w:val="25"/>
                <w:color w:val="auto"/>
                <w:vertAlign w:val="superscript"/>
              </w:rPr>
              <w:t>(1)</w:t>
            </w:r>
          </w:p>
        </w:tc>
        <w:tc>
          <w:tcPr>
            <w:tcW w:w="4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3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43"/>
        </w:trPr>
        <w:tc>
          <w:tcPr>
            <w:tcW w:w="482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3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Series A preferred units</w:t>
            </w:r>
          </w:p>
        </w:tc>
        <w:tc>
          <w:tcPr>
            <w:tcW w:w="3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Equity-indexed compensation plan awards</w:t>
            </w:r>
          </w:p>
        </w:tc>
        <w:tc>
          <w:tcPr>
            <w:tcW w:w="3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39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8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 per common unit</w:t>
            </w:r>
          </w:p>
        </w:tc>
        <w:tc>
          <w:tcPr>
            <w:tcW w:w="4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0.33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bottom w:val="single" w:sz="8" w:color="CCEEFF"/>
            </w:tcBorders>
            <w:vMerge w:val="restart"/>
          </w:tcPr>
          <w:p>
            <w:pPr>
              <w:jc w:val="right"/>
              <w:ind w:right="2912"/>
              <w:spacing w:after="0"/>
              <w:rPr>
                <w:sz w:val="20"/>
                <w:szCs w:val="20"/>
                <w:color w:val="auto"/>
              </w:rPr>
            </w:pPr>
            <w:r>
              <w:rPr>
                <w:rFonts w:ascii="Arial" w:cs="Arial" w:eastAsia="Arial" w:hAnsi="Arial"/>
                <w:sz w:val="18"/>
                <w:szCs w:val="18"/>
                <w:color w:val="auto"/>
              </w:rPr>
              <w:t>15</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2504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60" w:right="40" w:hanging="652"/>
        <w:spacing w:after="0" w:line="232"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5—Accounts Receivable, Net</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As of March 31, 2018 and December 31, 2017, we had received $132 million and $117 million, respectively, of advance cash payments from third parties to mitigate credit risk. We also received $44 million and $54 million as of March 31, 2018 and December 31, 2017, respectively, of standby letters of credit to support obligations due from third parties, a portion of which applies to future business.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the majority of our net-cash arrangements.</w:t>
      </w:r>
    </w:p>
    <w:p>
      <w:pPr>
        <w:spacing w:after="0" w:line="178"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March 31, 2018 and December 31, 2017, substantially all of our trade accounts receivable (net of allowance for doubtful accounts) were less than 30 days past their scheduled invoice date. Our allowance for doubtful accounts receivable totaled $3 million at both March 31, 2018 and December 31, 2017. Although we consider our allowance for doubtful accounts receivable to be adequate, actual amounts could vary significantly from estimated amounts.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6—Inventory, Linefill and Base Gas and Long-term Inventory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40" w:type="dxa"/>
            <w:vAlign w:val="bottom"/>
          </w:tcPr>
          <w:p>
            <w:pPr>
              <w:spacing w:after="0"/>
              <w:rPr>
                <w:sz w:val="13"/>
                <w:szCs w:val="13"/>
                <w:color w:val="auto"/>
              </w:rPr>
            </w:pPr>
          </w:p>
        </w:tc>
        <w:tc>
          <w:tcPr>
            <w:tcW w:w="11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4"/>
              </w:rPr>
              <w:t>Unit of</w:t>
            </w:r>
          </w:p>
        </w:tc>
        <w:tc>
          <w:tcPr>
            <w:tcW w:w="140" w:type="dxa"/>
            <w:vAlign w:val="bottom"/>
          </w:tcPr>
          <w:p>
            <w:pPr>
              <w:spacing w:after="0"/>
              <w:rPr>
                <w:sz w:val="13"/>
                <w:szCs w:val="13"/>
                <w:color w:val="auto"/>
              </w:rPr>
            </w:pPr>
          </w:p>
        </w:tc>
        <w:tc>
          <w:tcPr>
            <w:tcW w:w="780" w:type="dxa"/>
            <w:vAlign w:val="bottom"/>
          </w:tcPr>
          <w:p>
            <w:pPr>
              <w:jc w:val="right"/>
              <w:ind w:right="93"/>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Price/</w:t>
            </w:r>
          </w:p>
        </w:tc>
        <w:tc>
          <w:tcPr>
            <w:tcW w:w="100" w:type="dxa"/>
            <w:vAlign w:val="bottom"/>
          </w:tcPr>
          <w:p>
            <w:pPr>
              <w:spacing w:after="0"/>
              <w:rPr>
                <w:sz w:val="13"/>
                <w:szCs w:val="13"/>
                <w:color w:val="auto"/>
              </w:rPr>
            </w:pP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Volumes</w:t>
            </w:r>
          </w:p>
        </w:tc>
        <w:tc>
          <w:tcPr>
            <w:tcW w:w="114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3"/>
                <w:szCs w:val="13"/>
                <w:color w:val="auto"/>
              </w:rPr>
            </w:pPr>
          </w:p>
        </w:tc>
        <w:tc>
          <w:tcPr>
            <w:tcW w:w="760" w:type="dxa"/>
            <w:vAlign w:val="bottom"/>
          </w:tcPr>
          <w:p>
            <w:pPr>
              <w:jc w:val="right"/>
              <w:ind w:right="73"/>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Measure</w:t>
            </w:r>
          </w:p>
        </w:tc>
        <w:tc>
          <w:tcPr>
            <w:tcW w:w="140" w:type="dxa"/>
            <w:vAlign w:val="bottom"/>
          </w:tcPr>
          <w:p>
            <w:pPr>
              <w:spacing w:after="0"/>
              <w:rPr>
                <w:sz w:val="16"/>
                <w:szCs w:val="16"/>
                <w:color w:val="auto"/>
              </w:rPr>
            </w:pPr>
          </w:p>
        </w:tc>
        <w:tc>
          <w:tcPr>
            <w:tcW w:w="78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5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6"/>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Inventory</w:t>
            </w: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9,171</w:t>
            </w:r>
          </w:p>
        </w:tc>
        <w:tc>
          <w:tcPr>
            <w:tcW w:w="140" w:type="dxa"/>
            <w:vAlign w:val="bottom"/>
          </w:tcPr>
          <w:p>
            <w:pPr>
              <w:spacing w:after="0"/>
              <w:rPr>
                <w:sz w:val="21"/>
                <w:szCs w:val="21"/>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494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53.87</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402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4,144</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10,774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Other</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ind w:left="3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1"/>
                <w:szCs w:val="21"/>
                <w:color w:val="auto"/>
              </w:rPr>
            </w:pP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Linefill and base gas</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12,428</w:t>
            </w:r>
          </w:p>
        </w:tc>
        <w:tc>
          <w:tcPr>
            <w:tcW w:w="140" w:type="dxa"/>
            <w:vAlign w:val="bottom"/>
          </w:tcPr>
          <w:p>
            <w:pPr>
              <w:spacing w:after="0"/>
              <w:rPr>
                <w:sz w:val="21"/>
                <w:szCs w:val="21"/>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719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57.85</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12,340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719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58.27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1,596</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24,976</w:t>
            </w:r>
          </w:p>
        </w:tc>
        <w:tc>
          <w:tcPr>
            <w:tcW w:w="140" w:type="dxa"/>
            <w:vAlign w:val="bottom"/>
          </w:tcPr>
          <w:p>
            <w:pPr>
              <w:spacing w:after="0"/>
              <w:rPr>
                <w:sz w:val="21"/>
                <w:szCs w:val="21"/>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4.32</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Linefill and base gas subtotal</w:t>
            </w: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inventory</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Crude oil</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1,823</w:t>
            </w:r>
          </w:p>
        </w:tc>
        <w:tc>
          <w:tcPr>
            <w:tcW w:w="140" w:type="dxa"/>
            <w:vAlign w:val="bottom"/>
          </w:tcPr>
          <w:p>
            <w:pPr>
              <w:spacing w:after="0"/>
              <w:rPr>
                <w:sz w:val="21"/>
                <w:szCs w:val="21"/>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59.24</w:t>
            </w:r>
          </w:p>
        </w:tc>
        <w:tc>
          <w:tcPr>
            <w:tcW w:w="120" w:type="dxa"/>
            <w:vAlign w:val="bottom"/>
            <w:tcBorders>
              <w:right w:val="single" w:sz="8" w:color="auto"/>
            </w:tcBorders>
          </w:tcPr>
          <w:p>
            <w:pPr>
              <w:spacing w:after="0"/>
              <w:rPr>
                <w:sz w:val="21"/>
                <w:szCs w:val="21"/>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1,989</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25.64</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37"/>
        </w:trPr>
        <w:tc>
          <w:tcPr>
            <w:tcW w:w="2740" w:type="dxa"/>
            <w:vAlign w:val="bottom"/>
          </w:tcPr>
          <w:p>
            <w:pPr>
              <w:ind w:left="180"/>
              <w:spacing w:after="0"/>
              <w:rPr>
                <w:sz w:val="20"/>
                <w:szCs w:val="20"/>
                <w:color w:val="auto"/>
              </w:rPr>
            </w:pPr>
            <w:r>
              <w:rPr>
                <w:rFonts w:ascii="Arial" w:cs="Arial" w:eastAsia="Arial" w:hAnsi="Arial"/>
                <w:sz w:val="18"/>
                <w:szCs w:val="18"/>
                <w:color w:val="auto"/>
              </w:rPr>
              <w:t>Long-term inventory subtotal</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7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right="160" w:hanging="652"/>
        <w:spacing w:after="0" w:line="216"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7—Divestitures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first quarter of 2018, we received proceeds from asset sales of $83 million, and we received an additional approximately $255 million from sales completed subsequent to quarter end through May 1, 2018. The assets sold primarily included non-core property and equipment previously reported in our Facilities and Transportation segments. As of March 31, 2018, we had classified approximately $150 million of assets as held for sale on our Condensed Consolidated Balance Sheet (in “Other current assets”) related to these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DEBT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324"/>
        </w:trPr>
        <w:tc>
          <w:tcPr>
            <w:tcW w:w="8580" w:type="dxa"/>
            <w:vAlign w:val="bottom"/>
          </w:tcPr>
          <w:p>
            <w:pPr>
              <w:ind w:left="40"/>
              <w:spacing w:after="0"/>
              <w:rPr>
                <w:sz w:val="20"/>
                <w:szCs w:val="20"/>
                <w:color w:val="auto"/>
              </w:rPr>
            </w:pPr>
            <w:r>
              <w:rPr>
                <w:rFonts w:ascii="Arial" w:cs="Arial" w:eastAsia="Arial" w:hAnsi="Arial"/>
                <w:sz w:val="18"/>
                <w:szCs w:val="18"/>
                <w:color w:val="auto"/>
              </w:rPr>
              <w:t xml:space="preserve">Commercial paper notes, bearing a weighted-average interest rate of 2.8% and 2.4%, respectively </w:t>
            </w:r>
            <w:r>
              <w:rPr>
                <w:rFonts w:ascii="Arial" w:cs="Arial" w:eastAsia="Arial" w:hAnsi="Arial"/>
                <w:sz w:val="25"/>
                <w:szCs w:val="25"/>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1"/>
              </w:rPr>
              <w:t xml:space="preserve">Senior secured hedged inventory facility, bearing a weighted-average interest rate of 2.9% and 2.6%, respectively </w:t>
            </w:r>
            <w:r>
              <w:rPr>
                <w:rFonts w:ascii="Arial" w:cs="Arial" w:eastAsia="Arial" w:hAnsi="Arial"/>
                <w:sz w:val="25"/>
                <w:szCs w:val="25"/>
                <w:color w:val="auto"/>
                <w:w w:val="91"/>
                <w:vertAlign w:val="superscript"/>
              </w:rPr>
              <w:t>(1)</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664</w:t>
            </w:r>
          </w:p>
        </w:tc>
      </w:tr>
      <w:tr>
        <w:trPr>
          <w:trHeight w:val="324"/>
        </w:trPr>
        <w:tc>
          <w:tcPr>
            <w:tcW w:w="8580" w:type="dxa"/>
            <w:vAlign w:val="bottom"/>
          </w:tcPr>
          <w:p>
            <w:pPr>
              <w:ind w:left="40"/>
              <w:spacing w:after="0"/>
              <w:rPr>
                <w:sz w:val="20"/>
                <w:szCs w:val="20"/>
                <w:color w:val="auto"/>
              </w:rPr>
            </w:pPr>
            <w:r>
              <w:rPr>
                <w:rFonts w:ascii="Arial" w:cs="Arial" w:eastAsia="Arial" w:hAnsi="Arial"/>
                <w:sz w:val="18"/>
                <w:szCs w:val="18"/>
                <w:color w:val="auto"/>
              </w:rPr>
              <w:t xml:space="preserve">Senior unsecured revolving credit facility, bearing a weighted-average interest rate of 3.0% </w:t>
            </w:r>
            <w:r>
              <w:rPr>
                <w:rFonts w:ascii="Arial" w:cs="Arial" w:eastAsia="Arial" w:hAnsi="Arial"/>
                <w:sz w:val="25"/>
                <w:szCs w:val="25"/>
                <w:color w:val="auto"/>
                <w:vertAlign w:val="superscript"/>
              </w:rPr>
              <w:t>(1)</w:t>
            </w:r>
          </w:p>
        </w:tc>
        <w:tc>
          <w:tcPr>
            <w:tcW w:w="22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r>
      <w:tr>
        <w:trPr>
          <w:trHeight w:val="264"/>
        </w:trPr>
        <w:tc>
          <w:tcPr>
            <w:tcW w:w="8580" w:type="dxa"/>
            <w:vAlign w:val="bottom"/>
          </w:tcPr>
          <w:p>
            <w:pPr>
              <w:ind w:left="380"/>
              <w:spacing w:after="0" w:line="264" w:lineRule="exact"/>
              <w:rPr>
                <w:sz w:val="20"/>
                <w:szCs w:val="20"/>
                <w:color w:val="auto"/>
              </w:rPr>
            </w:pPr>
            <w:r>
              <w:rPr>
                <w:rFonts w:ascii="Arial" w:cs="Arial" w:eastAsia="Arial" w:hAnsi="Arial"/>
                <w:sz w:val="18"/>
                <w:szCs w:val="18"/>
                <w:color w:val="auto"/>
              </w:rPr>
              <w:t xml:space="preserve">Total short-term debt </w:t>
            </w:r>
            <w:r>
              <w:rPr>
                <w:rFonts w:ascii="Arial" w:cs="Arial" w:eastAsia="Arial" w:hAnsi="Arial"/>
                <w:sz w:val="25"/>
                <w:szCs w:val="25"/>
                <w:color w:val="auto"/>
                <w:vertAlign w:val="superscript"/>
              </w:rPr>
              <w:t>(2)</w:t>
            </w:r>
          </w:p>
        </w:tc>
        <w:tc>
          <w:tcPr>
            <w:tcW w:w="2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737</w:t>
            </w:r>
          </w:p>
        </w:tc>
      </w:tr>
      <w:tr>
        <w:trPr>
          <w:trHeight w:val="284"/>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net of unamortized discounts and debt issuance costs of $65 and $67, respectively </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8,935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8,933</w:t>
            </w: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Commercial paper notes and senior secured hedged inventory facility borrowings </w:t>
            </w:r>
            <w:r>
              <w:rPr>
                <w:rFonts w:ascii="Arial" w:cs="Arial" w:eastAsia="Arial" w:hAnsi="Arial"/>
                <w:sz w:val="25"/>
                <w:szCs w:val="25"/>
                <w:color w:val="auto"/>
                <w:vertAlign w:val="superscript"/>
              </w:rPr>
              <w:t>(3)</w:t>
            </w: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247</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unsecured revolving credit facility </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9,183</w:t>
            </w:r>
          </w:p>
        </w:tc>
      </w:tr>
      <w:tr>
        <w:trPr>
          <w:trHeight w:val="264"/>
        </w:trPr>
        <w:tc>
          <w:tcPr>
            <w:tcW w:w="8580" w:type="dxa"/>
            <w:vAlign w:val="bottom"/>
          </w:tcPr>
          <w:p>
            <w:pPr>
              <w:ind w:left="580"/>
              <w:spacing w:after="0" w:line="264"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(4)</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9,824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9,920</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40" w:hanging="652"/>
        <w:spacing w:after="0" w:line="22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We classified these commercial paper notes and credit facility borrowings as short-term as of March 31, 2018 and December 31, 2017, as these notes and borrowings were primarily designated as working capital borrowings, were required to be repaid within one year and were primarily for hedged NGL and crude oil inventory and NYMEX and ICE margin deposits.</w:t>
      </w:r>
    </w:p>
    <w:p>
      <w:pPr>
        <w:spacing w:after="0" w:line="95" w:lineRule="exact"/>
        <w:rPr>
          <w:rFonts w:ascii="Arial" w:cs="Arial" w:eastAsia="Arial" w:hAnsi="Arial"/>
          <w:sz w:val="25"/>
          <w:szCs w:val="25"/>
          <w:color w:val="auto"/>
          <w:vertAlign w:val="superscript"/>
        </w:rPr>
      </w:pPr>
    </w:p>
    <w:p>
      <w:pPr>
        <w:ind w:left="660" w:right="20" w:hanging="652"/>
        <w:spacing w:after="0" w:line="21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As of March 31, 2018 and December 31, 2017, balance includes borrowings of $217 million and $212 million, respectively, for cash margin deposits with NYMEX and ICE, which are associated with financial derivatives used for hedging purposes.</w:t>
      </w:r>
    </w:p>
    <w:p>
      <w:pPr>
        <w:spacing w:after="0" w:line="95" w:lineRule="exact"/>
        <w:rPr>
          <w:rFonts w:ascii="Arial" w:cs="Arial" w:eastAsia="Arial" w:hAnsi="Arial"/>
          <w:sz w:val="25"/>
          <w:szCs w:val="25"/>
          <w:color w:val="auto"/>
          <w:vertAlign w:val="superscript"/>
        </w:rPr>
      </w:pPr>
    </w:p>
    <w:p>
      <w:pPr>
        <w:ind w:left="660" w:right="320" w:hanging="652"/>
        <w:spacing w:after="0" w:line="21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As of March 31, 2018 and December 31, 2017, we classified a portion of our commercial paper notes and credit facility borrowings as long-term based on our ability and intent to refinance such amounts on a long-term basis.</w:t>
      </w:r>
    </w:p>
    <w:p>
      <w:pPr>
        <w:spacing w:after="0" w:line="95" w:lineRule="exact"/>
        <w:rPr>
          <w:rFonts w:ascii="Arial" w:cs="Arial" w:eastAsia="Arial" w:hAnsi="Arial"/>
          <w:sz w:val="25"/>
          <w:szCs w:val="25"/>
          <w:color w:val="auto"/>
          <w:vertAlign w:val="superscript"/>
        </w:rPr>
      </w:pPr>
    </w:p>
    <w:p>
      <w:pPr>
        <w:ind w:left="660" w:right="100" w:hanging="652"/>
        <w:spacing w:after="0" w:line="239"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Our fixed-rate senior notes had a face value of approximately $9.0 billion at both March 31, 2018 and December 31, 2017. We estimated the aggregate fair value of these notes as of March 31, 2018 and December 31, 2017 to be approximately $8.8 billion and $9.1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and commercial paper program approximates fair value as interest rates reflect current market rates. The fair value estimates for our senior notes, credit facilities and commercial paper program are based upon observable market data and are classified in Level 2 of the fair value hierarchy.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Total borrowings under our credit facilities and commercial paper program for the three months ended March 31, 2018 and 2017 were approximately $10.5 billion and $18.8 billion, respectively. Total repayments under our credit facilities and commercial paper program were approximately $10.7 billion and $19.2 billion for the three months ended March 31, 2018 and 2017, respectively. The variance in total gross borrowings and repayments is impacted by various business and financial factors including, but not limited to, the timing, average term and method of general partnership borrowing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and construction activities. At March 31, 2018 and December 31, 2017, we had outstanding letters of credit of $102 million and $166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9—Partners’ Capital and Distributions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Outstanding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activity for our preferred and common units: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Limited Partners</w:t>
            </w: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Series A Preferred Units</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Series B Preferred Units</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Common Units</w:t>
            </w:r>
          </w:p>
        </w:tc>
        <w:tc>
          <w:tcPr>
            <w:tcW w:w="0" w:type="dxa"/>
            <w:vAlign w:val="bottom"/>
          </w:tcPr>
          <w:p>
            <w:pPr>
              <w:spacing w:after="0"/>
              <w:rPr>
                <w:sz w:val="1"/>
                <w:szCs w:val="1"/>
                <w:color w:val="auto"/>
              </w:rPr>
            </w:pPr>
          </w:p>
        </w:tc>
      </w:tr>
      <w:tr>
        <w:trPr>
          <w:trHeight w:val="26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69,696,542</w:t>
            </w:r>
          </w:p>
        </w:tc>
        <w:tc>
          <w:tcPr>
            <w:tcW w:w="1760" w:type="dxa"/>
            <w:vAlign w:val="bottom"/>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800,000</w:t>
            </w:r>
          </w:p>
        </w:tc>
        <w:tc>
          <w:tcPr>
            <w:tcW w:w="168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725,189,138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Issuance of Series A preferred units in connection with in-kind distribution</w:t>
            </w:r>
          </w:p>
        </w:tc>
        <w:tc>
          <w:tcPr>
            <w:tcW w:w="1580" w:type="dxa"/>
            <w:vAlign w:val="bottom"/>
            <w:gridSpan w:val="2"/>
          </w:tcPr>
          <w:p>
            <w:pPr>
              <w:jc w:val="right"/>
              <w:ind w:right="2"/>
              <w:spacing w:after="0"/>
              <w:rPr>
                <w:sz w:val="20"/>
                <w:szCs w:val="20"/>
                <w:color w:val="auto"/>
              </w:rPr>
            </w:pPr>
            <w:r>
              <w:rPr>
                <w:rFonts w:ascii="Arial" w:cs="Arial" w:eastAsia="Arial" w:hAnsi="Arial"/>
                <w:sz w:val="18"/>
                <w:szCs w:val="18"/>
                <w:color w:val="auto"/>
              </w:rPr>
              <w:t>1,393,926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Issuances of common units under LTIP</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17,766</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Outstanding at March 31, 2018</w:t>
            </w:r>
          </w:p>
        </w:tc>
        <w:tc>
          <w:tcPr>
            <w:tcW w:w="158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rPr>
              <w:t>71,090,468</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725,206,904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Limited Partners</w:t>
            </w: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Series A</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80" w:type="dxa"/>
            <w:vAlign w:val="bottom"/>
            <w:gridSpan w:val="2"/>
            <w:vMerge w:val="restart"/>
          </w:tcPr>
          <w:p>
            <w:pPr>
              <w:jc w:val="right"/>
              <w:ind w:right="634"/>
              <w:spacing w:after="0"/>
              <w:rPr>
                <w:sz w:val="20"/>
                <w:szCs w:val="20"/>
                <w:color w:val="auto"/>
              </w:rPr>
            </w:pPr>
            <w:r>
              <w:rPr>
                <w:rFonts w:ascii="Arial" w:cs="Arial" w:eastAsia="Arial" w:hAnsi="Arial"/>
                <w:sz w:val="14"/>
                <w:szCs w:val="14"/>
                <w:b w:val="1"/>
                <w:bCs w:val="1"/>
                <w:color w:val="auto"/>
                <w:w w:val="94"/>
              </w:rPr>
              <w:t>Common Units</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6"/>
          </w:tcPr>
          <w:p>
            <w:pPr>
              <w:jc w:val="right"/>
              <w:ind w:right="1450"/>
              <w:spacing w:after="0"/>
              <w:rPr>
                <w:sz w:val="20"/>
                <w:szCs w:val="20"/>
                <w:color w:val="auto"/>
              </w:rPr>
            </w:pPr>
            <w:r>
              <w:rPr>
                <w:rFonts w:ascii="Arial" w:cs="Arial" w:eastAsia="Arial" w:hAnsi="Arial"/>
                <w:sz w:val="14"/>
                <w:szCs w:val="14"/>
                <w:b w:val="1"/>
                <w:bCs w:val="1"/>
                <w:color w:val="auto"/>
              </w:rPr>
              <w:t>Preferred Units</w:t>
            </w: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90"/>
              </w:rPr>
              <w:t>64,388,853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spacing w:after="0"/>
              <w:rPr>
                <w:sz w:val="22"/>
                <w:szCs w:val="22"/>
                <w:color w:val="auto"/>
              </w:rPr>
            </w:pPr>
          </w:p>
        </w:tc>
        <w:tc>
          <w:tcPr>
            <w:tcW w:w="1680" w:type="dxa"/>
            <w:vAlign w:val="bottom"/>
            <w:tcBorders>
              <w:top w:val="single" w:sz="8" w:color="auto"/>
              <w:bottom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669,194,419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Issuance of Series A preferred units in connection with in-kind distribution</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gridSpan w:val="3"/>
          </w:tcPr>
          <w:p>
            <w:pPr>
              <w:jc w:val="right"/>
              <w:ind w:right="19"/>
              <w:spacing w:after="0"/>
              <w:rPr>
                <w:sz w:val="20"/>
                <w:szCs w:val="20"/>
                <w:color w:val="auto"/>
              </w:rPr>
            </w:pPr>
            <w:r>
              <w:rPr>
                <w:rFonts w:ascii="Arial" w:cs="Arial" w:eastAsia="Arial" w:hAnsi="Arial"/>
                <w:sz w:val="18"/>
                <w:szCs w:val="18"/>
                <w:color w:val="auto"/>
              </w:rPr>
              <w:t>1,287,773</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of common units</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54,119,893</w:t>
            </w:r>
          </w:p>
        </w:tc>
        <w:tc>
          <w:tcPr>
            <w:tcW w:w="0" w:type="dxa"/>
            <w:vAlign w:val="bottom"/>
          </w:tcPr>
          <w:p>
            <w:pPr>
              <w:spacing w:after="0"/>
              <w:rPr>
                <w:sz w:val="1"/>
                <w:szCs w:val="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Issuances of common units under LTIP</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3"/>
          </w:tcPr>
          <w:p>
            <w:pPr>
              <w:jc w:val="right"/>
              <w:ind w:right="83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4"/>
              <w:spacing w:after="0"/>
              <w:rPr>
                <w:sz w:val="20"/>
                <w:szCs w:val="20"/>
                <w:color w:val="auto"/>
              </w:rPr>
            </w:pPr>
            <w:r>
              <w:rPr>
                <w:rFonts w:ascii="Arial" w:cs="Arial" w:eastAsia="Arial" w:hAnsi="Arial"/>
                <w:sz w:val="18"/>
                <w:szCs w:val="18"/>
                <w:color w:val="auto"/>
              </w:rPr>
              <w:t>90,682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2017</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90"/>
              </w:rPr>
              <w:t>65,676,626</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723,404,994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Common Unit Distributions</w:t>
      </w:r>
      <w:r>
        <w:rPr>
          <w:rFonts w:ascii="Arial" w:cs="Arial" w:eastAsia="Arial" w:hAnsi="Arial"/>
          <w:sz w:val="18"/>
          <w:szCs w:val="18"/>
          <w:color w:val="auto"/>
        </w:rPr>
        <w:t>. The following table details distributions paid during or pertaining to the first three months of 2018 (in millions,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w w:val="92"/>
              </w:rPr>
              <w:t>Common Unitholders</w:t>
            </w:r>
          </w:p>
        </w:tc>
        <w:tc>
          <w:tcPr>
            <w:tcW w:w="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4"/>
              </w:rPr>
              <w:t>Cash Distribution per</w:t>
            </w:r>
          </w:p>
        </w:tc>
        <w:tc>
          <w:tcPr>
            <w:tcW w:w="0" w:type="dxa"/>
            <w:vAlign w:val="bottom"/>
          </w:tcPr>
          <w:p>
            <w:pPr>
              <w:spacing w:after="0"/>
              <w:rPr>
                <w:sz w:val="1"/>
                <w:szCs w:val="1"/>
                <w:color w:val="auto"/>
              </w:rPr>
            </w:pPr>
          </w:p>
        </w:tc>
      </w:tr>
      <w:tr>
        <w:trPr>
          <w:trHeight w:val="7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Distribution Payment Date</w:t>
            </w:r>
          </w:p>
        </w:tc>
        <w:tc>
          <w:tcPr>
            <w:tcW w:w="120" w:type="dxa"/>
            <w:vAlign w:val="bottom"/>
            <w:vMerge w:val="restart"/>
          </w:tcPr>
          <w:p>
            <w:pPr>
              <w:spacing w:after="0"/>
              <w:rPr>
                <w:sz w:val="6"/>
                <w:szCs w:val="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Public</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AAP</w:t>
            </w: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Cash Distribution</w:t>
            </w:r>
          </w:p>
        </w:tc>
        <w:tc>
          <w:tcPr>
            <w:tcW w:w="1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Common Unit</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May 15, 2018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85</w:t>
            </w:r>
          </w:p>
        </w:tc>
        <w:tc>
          <w:tcPr>
            <w:tcW w:w="7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tcBorders>
              <w:right w:val="single" w:sz="8" w:color="auto"/>
            </w:tcBorders>
            <w:shd w:val="clear" w:color="auto" w:fill="CCEEFF"/>
          </w:tcPr>
          <w:p>
            <w:pPr>
              <w:spacing w:after="0"/>
              <w:rPr>
                <w:sz w:val="23"/>
                <w:szCs w:val="23"/>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February 14, 2018</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260" w:type="dxa"/>
            <w:vAlign w:val="bottom"/>
          </w:tcPr>
          <w:p>
            <w:pPr>
              <w:jc w:val="right"/>
              <w:ind w:right="1059"/>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85</w:t>
            </w:r>
          </w:p>
        </w:tc>
        <w:tc>
          <w:tcPr>
            <w:tcW w:w="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20" w:type="dxa"/>
            <w:vAlign w:val="bottom"/>
            <w:tcBorders>
              <w:right w:val="single" w:sz="8" w:color="auto"/>
            </w:tcBorders>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jc w:val="center"/>
        <w:ind w:left="5620" w:right="1120" w:hanging="5612"/>
        <w:spacing w:after="0" w:line="716" w:lineRule="auto"/>
        <w:tabs>
          <w:tab w:leader="none" w:pos="652"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Payable to unitholders of record at the close of business on May 1, 2018 for the period from January 1, 2018 through March 31, 2018. 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i w:val="1"/>
          <w:iCs w:val="1"/>
          <w:color w:val="auto"/>
        </w:rPr>
        <w:t>Series A Preferred Unit Distributions</w:t>
      </w:r>
      <w:r>
        <w:rPr>
          <w:rFonts w:ascii="Arial" w:cs="Arial" w:eastAsia="Arial" w:hAnsi="Arial"/>
          <w:sz w:val="18"/>
          <w:szCs w:val="18"/>
          <w:color w:val="auto"/>
        </w:rPr>
        <w:t>. With respect to any quarter ending on or prior to December 31, 2017 (the “Initial Distribution Period”), we</w:t>
      </w:r>
      <w:r>
        <w:rPr>
          <w:rFonts w:ascii="Arial" w:cs="Arial" w:eastAsia="Arial" w:hAnsi="Arial"/>
          <w:sz w:val="18"/>
          <w:szCs w:val="18"/>
          <w:i w:val="1"/>
          <w:iCs w:val="1"/>
          <w:color w:val="auto"/>
        </w:rPr>
        <w:t xml:space="preserve"> </w:t>
      </w:r>
      <w:r>
        <w:rPr>
          <w:rFonts w:ascii="Arial" w:cs="Arial" w:eastAsia="Arial" w:hAnsi="Arial"/>
          <w:sz w:val="18"/>
          <w:szCs w:val="18"/>
          <w:color w:val="auto"/>
        </w:rPr>
        <w:t>were able to elect to pay distributions on our Series A preferred units in additional preferred units, in cash or a combination of both. On February 14, 2018, we issued 1,393,926 Series A preferred units in lieu of a cash distribution of $37 million on our Series A preferred units outstanding as of January 31, 2018, the record date for such distribution.</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Initial Distribution Period ended with the February 2018 distribution; as such, with respect to any quarter ending after the Initial Distribution Period, we must pay distributions on our Series A preferred units in cash. On May 15, 2018, we will pay a cash distribution of $37 million ($0.525 per unit) on our Series A preferred units outstanding as of May 1, 2018, the record date for such distribution, for the period from January 1, 2018 through March 31, 2018. At March 31, 2018, such amount was accrued to distributions payable (in “Accounts payable and accrued liabilities” on our Condensed Consolidated Balance Sheet).</w:t>
      </w:r>
    </w:p>
    <w:p>
      <w:pPr>
        <w:spacing w:after="0" w:line="18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purchasers may convert their Series A preferred units into common units, generally on a one-for-one basis and subject to customary anti-dilution adjustments, at any time, in whole or in part, subject to certain minimum conversion amounts (and not more often than once per quarter).</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Series B Preferred Unit Distributions</w:t>
      </w:r>
      <w:r>
        <w:rPr>
          <w:rFonts w:ascii="Arial" w:cs="Arial" w:eastAsia="Arial" w:hAnsi="Arial"/>
          <w:sz w:val="18"/>
          <w:szCs w:val="18"/>
          <w:color w:val="auto"/>
        </w:rPr>
        <w:t>. On May 15, 2018, we will pay the semi-annual cash distribution of $24.5 million ($30.625 per unit) on our</w:t>
      </w:r>
      <w:r>
        <w:rPr>
          <w:rFonts w:ascii="Arial" w:cs="Arial" w:eastAsia="Arial" w:hAnsi="Arial"/>
          <w:sz w:val="18"/>
          <w:szCs w:val="18"/>
          <w:i w:val="1"/>
          <w:iCs w:val="1"/>
          <w:color w:val="auto"/>
        </w:rPr>
        <w:t xml:space="preserve"> </w:t>
      </w:r>
      <w:r>
        <w:rPr>
          <w:rFonts w:ascii="Arial" w:cs="Arial" w:eastAsia="Arial" w:hAnsi="Arial"/>
          <w:sz w:val="18"/>
          <w:szCs w:val="18"/>
          <w:color w:val="auto"/>
        </w:rPr>
        <w:t>Series B preferred units to holders of record at the close of business on May 1, 2018, for the period from November 15, 2017 through May 14, 2018. As of March 31, 2018, we had accrued approximately $18 million of distributions payable to our Series B preferred unitholders (in “Accounts payable and accrued liabilities” on our Condensed Consolidated Balance Sheet).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10—Derivatives and Risk Management Activities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throughout the hedging relationship, we assess whether the derivatives employed are highly effective in offsetting changes in cash flows of anticipated hedged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54"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March 31, 2018, net derivative positions related to these activities included:</w:t>
      </w:r>
    </w:p>
    <w:p>
      <w:pPr>
        <w:spacing w:after="0" w:line="147" w:lineRule="exact"/>
        <w:rPr>
          <w:sz w:val="20"/>
          <w:szCs w:val="20"/>
          <w:color w:val="auto"/>
        </w:rPr>
      </w:pPr>
    </w:p>
    <w:p>
      <w:pPr>
        <w:ind w:left="980" w:right="4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long position of 3.3 million barrels associated with our crude oil purchases, which was unwound ratably during April 2018 to match monthly average pricing.</w:t>
      </w:r>
    </w:p>
    <w:p>
      <w:pPr>
        <w:spacing w:after="0" w:line="116"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short time spread position of 6.7 million barrels, which hedges a portion of our anticipated crude oil lease gathering purchases through June 2019.</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crude oil grade basis position of 36.4 million barrels through December 2019. These derivatives allow us to lock in grade basis differentials.</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net short position of 14.9 million barrels through February 2020 related to anticipated net sales of our crude oil and NGL inventory.</w:t>
      </w:r>
    </w:p>
    <w:p>
      <w:pPr>
        <w:spacing w:after="0" w:line="23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Pipeline Loss Allowance Oil </w:t>
      </w:r>
      <w:r>
        <w:rPr>
          <w:rFonts w:ascii="Arial" w:cs="Arial" w:eastAsia="Arial" w:hAnsi="Arial"/>
          <w:sz w:val="18"/>
          <w:szCs w:val="18"/>
          <w:color w:val="auto"/>
        </w:rPr>
        <w:t>— As is common in the pipeline transportation industry, our tariffs incorporate a loss allowance factor. We utilize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to hedge a portion of the anticipated sales of the loss allowance oil that is to be collected under our tariffs. As of March 31, 2018, our PLA hedges included a short position consisting of crude oil futures of 1.1 million barrels and a long call option position of 0.7 million barrels through December 2019.</w:t>
      </w:r>
    </w:p>
    <w:p>
      <w:pPr>
        <w:spacing w:after="0" w:line="18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 Additionally, we purchase NGL mix</w:t>
      </w:r>
      <w:r>
        <w:rPr>
          <w:rFonts w:ascii="Arial" w:cs="Arial" w:eastAsia="Arial" w:hAnsi="Arial"/>
          <w:sz w:val="16"/>
          <w:szCs w:val="16"/>
          <w:i w:val="1"/>
          <w:iCs w:val="1"/>
          <w:color w:val="auto"/>
        </w:rPr>
        <w:t xml:space="preserve"> </w:t>
      </w:r>
      <w:r>
        <w:rPr>
          <w:rFonts w:ascii="Arial" w:cs="Arial" w:eastAsia="Arial" w:hAnsi="Arial"/>
          <w:sz w:val="16"/>
          <w:szCs w:val="16"/>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March 31, 2018, we had a long natural gas position of 51.3 Bcf which hedges our natural gas processing and operational needs through December 2020. We also had a short propane position of 7.9 million barrels through December 2019, a short butane position of 2.4 million barrels through December 2019 and a short WTI position of 0.8 million barrels through December 2019. In addition, we had a long power position of 0.3 million megawatt hours, which hedges a portion of our power supply requirements at our Canadian natural gas processing and fractionation plants through December 2019.</w:t>
      </w:r>
    </w:p>
    <w:p>
      <w:pPr>
        <w:spacing w:after="0" w:line="16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March 31, 2018 (notional amounts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Hedged Transaction</w:t>
            </w:r>
          </w:p>
        </w:tc>
        <w:tc>
          <w:tcPr>
            <w:tcW w:w="120" w:type="dxa"/>
            <w:vAlign w:val="bottom"/>
            <w:vMerge w:val="restart"/>
          </w:tcPr>
          <w:p>
            <w:pPr>
              <w:spacing w:after="0"/>
              <w:rPr>
                <w:sz w:val="14"/>
                <w:szCs w:val="1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and Types of</w:t>
            </w:r>
          </w:p>
        </w:tc>
        <w:tc>
          <w:tcPr>
            <w:tcW w:w="16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Expected</w:t>
            </w:r>
          </w:p>
        </w:tc>
        <w:tc>
          <w:tcPr>
            <w:tcW w:w="1540" w:type="dxa"/>
            <w:vAlign w:val="bottom"/>
            <w:gridSpan w:val="2"/>
          </w:tcPr>
          <w:p>
            <w:pPr>
              <w:ind w:left="300"/>
              <w:spacing w:after="0"/>
              <w:rPr>
                <w:sz w:val="20"/>
                <w:szCs w:val="20"/>
                <w:color w:val="auto"/>
              </w:rPr>
            </w:pPr>
            <w:r>
              <w:rPr>
                <w:rFonts w:ascii="Arial" w:cs="Arial" w:eastAsia="Arial" w:hAnsi="Arial"/>
                <w:sz w:val="14"/>
                <w:szCs w:val="14"/>
                <w:b w:val="1"/>
                <w:bCs w:val="1"/>
                <w:color w:val="auto"/>
              </w:rPr>
              <w:t>Average Rate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Termination Date</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Locked</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228"/>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16 forward starting swaps (30-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6/15/2018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year)</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Anticipated interest payments</w:t>
            </w: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 forward starting swaps (30-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6/14/2019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Cash flow hedge</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year)</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170"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As of March 31, 2018, our outstanding foreign currency derivatives include derivatives we use to hedge currency exchange risk (i) associated with USD-denominated commodity purchases and sales in Canada and (ii) created by the use of USD-denominated commodity derivatives to hedge commodity price risk associated with CAD-denominated commodity purchases and sales.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March 31, 2018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jc w:val="right"/>
              <w:ind w:right="227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$1.00 - $1.29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 exchange contracts that exchange USD for CAD: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2018</w:t>
            </w:r>
          </w:p>
        </w:tc>
        <w:tc>
          <w:tcPr>
            <w:tcW w:w="6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491</w:t>
            </w:r>
          </w:p>
        </w:tc>
        <w:tc>
          <w:tcPr>
            <w:tcW w:w="20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$1.00 - $1.29</w:t>
            </w:r>
          </w:p>
        </w:tc>
      </w:tr>
      <w:tr>
        <w:trPr>
          <w:trHeight w:val="243"/>
        </w:trPr>
        <w:tc>
          <w:tcPr>
            <w:tcW w:w="6660" w:type="dxa"/>
            <w:vAlign w:val="bottom"/>
          </w:tcPr>
          <w:p>
            <w:pPr>
              <w:jc w:val="right"/>
              <w:ind w:right="150"/>
              <w:spacing w:after="0"/>
              <w:rPr>
                <w:sz w:val="20"/>
                <w:szCs w:val="20"/>
                <w:color w:val="auto"/>
              </w:rPr>
            </w:pPr>
            <w:r>
              <w:rPr>
                <w:rFonts w:ascii="Arial" w:cs="Arial" w:eastAsia="Arial" w:hAnsi="Arial"/>
                <w:sz w:val="18"/>
                <w:szCs w:val="18"/>
                <w:color w:val="auto"/>
              </w:rPr>
              <w:t>2019</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27</w:t>
            </w: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$1.00 - $1.28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Corresponding changes in fair value are recognized in “Other expense, net” in our Condensed Consolidated Statement of Operations. At March 31, 2018 and December 31, 2017, the fair value of this embedded derivative was a liability of approximately $26 million and $22 million, respectively. We recognized losses of approximately $4 million during both the three months ended March 31, 2018 and 2017. See Note 11 to our Consolidated Financial Statements included in Part IV of our 2017 Annual Report on Form 10-K for additional information regarding our Series A preferred units and Preferred Distribution Rate Reset Option.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derivatives recognized in earnings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2018</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 2017</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Derivatives in</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Derivatives</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60" w:type="dxa"/>
            <w:vAlign w:val="bottom"/>
          </w:tcPr>
          <w:p>
            <w:pPr>
              <w:spacing w:after="0"/>
              <w:rPr>
                <w:sz w:val="12"/>
                <w:szCs w:val="12"/>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Not Designated</w:t>
            </w:r>
          </w:p>
        </w:tc>
        <w:tc>
          <w:tcPr>
            <w:tcW w:w="280" w:type="dxa"/>
            <w:vAlign w:val="bottom"/>
          </w:tcPr>
          <w:p>
            <w:pPr>
              <w:spacing w:after="0"/>
              <w:rPr>
                <w:sz w:val="12"/>
                <w:szCs w:val="12"/>
                <w:color w:val="auto"/>
              </w:rPr>
            </w:pPr>
          </w:p>
        </w:tc>
        <w:tc>
          <w:tcPr>
            <w:tcW w:w="7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Relationships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Relationships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as a Hedge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Commodity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4"/>
              </w:rPr>
              <w:t>Supply and Logistics segment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Preferred Distribution Rate Reset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Option</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3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22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Total Gain/(Loss) on Derivatives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1"/>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Recognized in Net Income</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 on a gross basis as of March 31, 2018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1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Asset Derivatives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3100" w:type="dxa"/>
            <w:vAlign w:val="bottom"/>
            <w:gridSpan w:val="2"/>
          </w:tcPr>
          <w:p>
            <w:pPr>
              <w:ind w:left="1060"/>
              <w:spacing w:after="0" w:line="153" w:lineRule="exact"/>
              <w:rPr>
                <w:sz w:val="20"/>
                <w:szCs w:val="20"/>
                <w:color w:val="auto"/>
              </w:rPr>
            </w:pPr>
            <w:r>
              <w:rPr>
                <w:rFonts w:ascii="Arial" w:cs="Arial" w:eastAsia="Arial" w:hAnsi="Arial"/>
                <w:sz w:val="14"/>
                <w:szCs w:val="14"/>
                <w:b w:val="1"/>
                <w:bCs w:val="1"/>
                <w:color w:val="auto"/>
              </w:rPr>
              <w:t>Balance Sheet</w:t>
            </w:r>
          </w:p>
        </w:tc>
        <w:tc>
          <w:tcPr>
            <w:tcW w:w="16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2"/>
          </w:tcPr>
          <w:p>
            <w:pPr>
              <w:ind w:left="1040"/>
              <w:spacing w:after="0" w:line="153" w:lineRule="exact"/>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3100" w:type="dxa"/>
            <w:vAlign w:val="bottom"/>
            <w:gridSpan w:val="2"/>
          </w:tcPr>
          <w:p>
            <w:pPr>
              <w:ind w:left="122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ind w:left="120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2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w:t>
            </w:r>
          </w:p>
        </w:tc>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hedging 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260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Other long-term liabilities and deferred</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3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2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Total derivatives not designated as hedging</w:t>
            </w:r>
          </w:p>
        </w:tc>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279</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293</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vMerge w:val="restart"/>
          </w:tcPr>
          <w:p>
            <w:pPr>
              <w:ind w:left="218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derivative assets and liabilities on our Condensed Consolidated Balance Sheet on a gross basis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10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Asset Derivatives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b w:val="1"/>
                <w:bCs w:val="1"/>
                <w:color w:val="auto"/>
              </w:rPr>
              <w:t>Liability Derivatives</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3100" w:type="dxa"/>
            <w:vAlign w:val="bottom"/>
            <w:gridSpan w:val="2"/>
          </w:tcPr>
          <w:p>
            <w:pPr>
              <w:ind w:left="1060"/>
              <w:spacing w:after="0" w:line="153" w:lineRule="exact"/>
              <w:rPr>
                <w:sz w:val="20"/>
                <w:szCs w:val="20"/>
                <w:color w:val="auto"/>
              </w:rPr>
            </w:pPr>
            <w:r>
              <w:rPr>
                <w:rFonts w:ascii="Arial" w:cs="Arial" w:eastAsia="Arial" w:hAnsi="Arial"/>
                <w:sz w:val="14"/>
                <w:szCs w:val="14"/>
                <w:b w:val="1"/>
                <w:bCs w:val="1"/>
                <w:color w:val="auto"/>
              </w:rPr>
              <w:t>Balance Sheet</w:t>
            </w:r>
          </w:p>
        </w:tc>
        <w:tc>
          <w:tcPr>
            <w:tcW w:w="16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2"/>
          </w:tcPr>
          <w:p>
            <w:pPr>
              <w:ind w:left="1040"/>
              <w:spacing w:after="0" w:line="153" w:lineRule="exact"/>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3"/>
                <w:szCs w:val="13"/>
                <w:color w:val="auto"/>
              </w:rPr>
            </w:pPr>
          </w:p>
        </w:tc>
        <w:tc>
          <w:tcPr>
            <w:tcW w:w="620" w:type="dxa"/>
            <w:vAlign w:val="bottom"/>
          </w:tcPr>
          <w:p>
            <w:pPr>
              <w:jc w:val="right"/>
              <w:ind w:right="173"/>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3100" w:type="dxa"/>
            <w:vAlign w:val="bottom"/>
            <w:gridSpan w:val="2"/>
          </w:tcPr>
          <w:p>
            <w:pPr>
              <w:ind w:left="1220"/>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2"/>
          </w:tcPr>
          <w:p>
            <w:pPr>
              <w:ind w:left="120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6"/>
                <w:szCs w:val="16"/>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w:t>
            </w:r>
          </w:p>
        </w:tc>
        <w:tc>
          <w:tcPr>
            <w:tcW w:w="2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Interest rate derivatives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3440" w:type="dxa"/>
            <w:vAlign w:val="bottom"/>
          </w:tcPr>
          <w:p>
            <w:pPr>
              <w:ind w:left="40"/>
              <w:spacing w:after="0"/>
              <w:rPr>
                <w:sz w:val="20"/>
                <w:szCs w:val="20"/>
                <w:color w:val="auto"/>
              </w:rPr>
            </w:pPr>
            <w:r>
              <w:rPr>
                <w:rFonts w:ascii="Arial" w:cs="Arial" w:eastAsia="Arial" w:hAnsi="Arial"/>
                <w:sz w:val="18"/>
                <w:szCs w:val="18"/>
                <w:color w:val="auto"/>
              </w:rPr>
              <w:t>Total derivatives designated as</w:t>
            </w:r>
          </w:p>
        </w:tc>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7"/>
        </w:trPr>
        <w:tc>
          <w:tcPr>
            <w:tcW w:w="3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hedging instruments</w:t>
            </w:r>
          </w:p>
        </w:tc>
        <w:tc>
          <w:tcPr>
            <w:tcW w:w="2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w:t>
            </w: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200"/>
              <w:spacing w:after="0"/>
              <w:rPr>
                <w:sz w:val="20"/>
                <w:szCs w:val="20"/>
                <w:color w:val="auto"/>
              </w:rPr>
            </w:pPr>
            <w:r>
              <w:rPr>
                <w:rFonts w:ascii="Arial" w:cs="Arial" w:eastAsia="Arial" w:hAnsi="Arial"/>
                <w:sz w:val="18"/>
                <w:szCs w:val="18"/>
                <w:b w:val="1"/>
                <w:bCs w:val="1"/>
                <w:color w:val="auto"/>
              </w:rPr>
              <w:t>hedging instruments:</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long-term assets, net</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w w:val="99"/>
              </w:rPr>
              <w:t>Other long-term liabilities and deferred</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310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16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w w:val="98"/>
              </w:rPr>
              <w:t>Other long-term liabilities and deferred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rPr>
              <w:t>credits</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Total derivatives not designated as hedging</w:t>
            </w:r>
          </w:p>
        </w:tc>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2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2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Our derivative transactions (other than the Preferred Distribution Rate Reset Option)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4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CCEEFF"/>
            </w:tcBorders>
          </w:tcPr>
          <w:p>
            <w:pPr>
              <w:spacing w:after="0"/>
              <w:rPr>
                <w:sz w:val="16"/>
                <w:szCs w:val="16"/>
                <w:color w:val="auto"/>
              </w:rPr>
            </w:pPr>
          </w:p>
        </w:tc>
        <w:tc>
          <w:tcPr>
            <w:tcW w:w="46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5700" w:type="dxa"/>
            <w:vAlign w:val="bottom"/>
            <w:tcBorders>
              <w:bottom w:val="single" w:sz="8" w:color="CCEEFF"/>
            </w:tcBorders>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97"/>
        </w:trPr>
        <w:tc>
          <w:tcPr>
            <w:tcW w:w="3660" w:type="dxa"/>
            <w:vAlign w:val="bottom"/>
          </w:tcPr>
          <w:p>
            <w:pPr>
              <w:ind w:left="20"/>
              <w:spacing w:after="0"/>
              <w:rPr>
                <w:sz w:val="20"/>
                <w:szCs w:val="20"/>
                <w:color w:val="auto"/>
              </w:rPr>
            </w:pPr>
            <w:r>
              <w:rPr>
                <w:rFonts w:ascii="Arial" w:cs="Arial" w:eastAsia="Arial" w:hAnsi="Arial"/>
                <w:sz w:val="18"/>
                <w:szCs w:val="18"/>
                <w:color w:val="auto"/>
              </w:rPr>
              <w:t>Variation margin posted</w:t>
            </w:r>
          </w:p>
        </w:tc>
        <w:tc>
          <w:tcPr>
            <w:tcW w:w="4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176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broker receivable</w:t>
            </w:r>
          </w:p>
        </w:tc>
        <w:tc>
          <w:tcPr>
            <w:tcW w:w="570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217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24</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66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2017</w:t>
            </w:r>
          </w:p>
        </w:tc>
      </w:tr>
      <w:tr>
        <w:trPr>
          <w:trHeight w:val="152"/>
        </w:trPr>
        <w:tc>
          <w:tcPr>
            <w:tcW w:w="5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54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320" w:type="dxa"/>
            <w:vAlign w:val="bottom"/>
          </w:tcPr>
          <w:p>
            <w:pPr>
              <w:jc w:val="right"/>
              <w:ind w:right="33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Asset Positions</w:t>
            </w:r>
          </w:p>
        </w:tc>
        <w:tc>
          <w:tcPr>
            <w:tcW w:w="160" w:type="dxa"/>
            <w:vAlign w:val="bottom"/>
          </w:tcPr>
          <w:p>
            <w:pPr>
              <w:spacing w:after="0"/>
              <w:rPr>
                <w:sz w:val="16"/>
                <w:szCs w:val="16"/>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Liability Positions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 Positions</w:t>
            </w:r>
          </w:p>
        </w:tc>
        <w:tc>
          <w:tcPr>
            <w:tcW w:w="160" w:type="dxa"/>
            <w:vAlign w:val="bottom"/>
          </w:tcPr>
          <w:p>
            <w:pPr>
              <w:spacing w:after="0"/>
              <w:rPr>
                <w:sz w:val="16"/>
                <w:szCs w:val="16"/>
                <w:color w:val="auto"/>
              </w:rPr>
            </w:pPr>
          </w:p>
        </w:tc>
        <w:tc>
          <w:tcPr>
            <w:tcW w:w="132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Liability Positions</w:t>
            </w:r>
          </w:p>
        </w:tc>
      </w:tr>
      <w:tr>
        <w:trPr>
          <w:trHeight w:val="236"/>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Netting Adjustments: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Gross position - asset/(liability)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Netting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collateral paid</w:t>
            </w:r>
          </w:p>
        </w:tc>
        <w:tc>
          <w:tcPr>
            <w:tcW w:w="20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position - asset/(liability)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50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5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March 31, 2018, there was a net loss of $190 million deferred in AOCI.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March 31, 2018, we expect to reclassify a net loss of $8 million to earnings in the next twelve months. The remaining deferred loss of $182 million is expected to be reclassified to earnings through 2049. A portion of these amounts is based on market prices as of March 31, 2018; thus, actual amounts to be reclassified will differ and could vary materially as a result of changes in market conditions.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deferred gain recognized in AOCI for derivatives (in millions):</w:t>
      </w:r>
    </w:p>
    <w:p>
      <w:pPr>
        <w:spacing w:after="0" w:line="163"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p>
      <w:pPr>
        <w:ind w:left="9120"/>
        <w:spacing w:after="0"/>
        <w:tabs>
          <w:tab w:leader="none" w:pos="105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580" w:val="left"/>
          <w:tab w:leader="none" w:pos="9640" w:val="left"/>
          <w:tab w:leader="none" w:pos="10060" w:val="left"/>
          <w:tab w:leader="none" w:pos="11200" w:val="left"/>
        </w:tabs>
        <w:rPr>
          <w:sz w:val="20"/>
          <w:szCs w:val="20"/>
          <w:color w:val="auto"/>
        </w:rPr>
      </w:pPr>
      <w:r>
        <w:rPr>
          <w:rFonts w:ascii="Arial" w:cs="Arial" w:eastAsia="Arial" w:hAnsi="Arial"/>
          <w:sz w:val="18"/>
          <w:szCs w:val="18"/>
          <w:color w:val="auto"/>
        </w:rPr>
        <w:t>Interest rate derivatives,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31</w:t>
        <w:tab/>
        <w:t>$</w:t>
      </w:r>
      <w:r>
        <w:rPr>
          <w:sz w:val="20"/>
          <w:szCs w:val="20"/>
          <w:color w:val="auto"/>
        </w:rPr>
        <w:tab/>
      </w:r>
      <w:r>
        <w:rPr>
          <w:rFonts w:ascii="Arial" w:cs="Arial" w:eastAsia="Arial" w:hAnsi="Arial"/>
          <w:sz w:val="17"/>
          <w:szCs w:val="17"/>
          <w:color w:val="auto"/>
        </w:rPr>
        <w:t>7</w:t>
      </w:r>
    </w:p>
    <w:p>
      <w:pPr>
        <w:spacing w:after="0" w:line="266" w:lineRule="exact"/>
        <w:rPr>
          <w:sz w:val="20"/>
          <w:szCs w:val="20"/>
          <w:color w:val="auto"/>
        </w:rPr>
      </w:pPr>
    </w:p>
    <w:p>
      <w:pPr>
        <w:ind w:right="120" w:firstLine="594"/>
        <w:spacing w:after="0" w:line="264" w:lineRule="auto"/>
        <w:rPr>
          <w:sz w:val="20"/>
          <w:szCs w:val="20"/>
          <w:color w:val="auto"/>
        </w:rPr>
      </w:pPr>
      <w:r>
        <w:rPr>
          <w:rFonts w:ascii="Arial" w:cs="Arial" w:eastAsia="Arial" w:hAnsi="Arial"/>
          <w:sz w:val="18"/>
          <w:szCs w:val="18"/>
          <w:color w:val="auto"/>
        </w:rPr>
        <w:t>At March 31, 2018 and December 31, 2017,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w w:val="94"/>
              </w:rPr>
              <w:t>Fair Value as of March 31, 2018</w:t>
            </w: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1"/>
              </w:rPr>
              <w:t>Fair Value as of December 31, 2017</w:t>
            </w:r>
          </w:p>
        </w:tc>
        <w:tc>
          <w:tcPr>
            <w:tcW w:w="60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2"/>
                <w:szCs w:val="12"/>
                <w:b w:val="1"/>
                <w:bCs w:val="1"/>
                <w:color w:val="auto"/>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Level 1</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Level 1</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Level 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Level 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Preferred Distribution Rate Reset Option</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derivative asset/(liability)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25"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2</w:t>
      </w:r>
    </w:p>
    <w:p>
      <w:pPr>
        <w:spacing w:after="0" w:line="225" w:lineRule="exact"/>
        <w:rPr>
          <w:sz w:val="20"/>
          <w:szCs w:val="20"/>
          <w:color w:val="auto"/>
        </w:rPr>
      </w:pPr>
    </w:p>
    <w:p>
      <w:pPr>
        <w:ind w:left="660" w:right="460"/>
        <w:spacing w:after="0" w:line="286" w:lineRule="auto"/>
        <w:rPr>
          <w:sz w:val="20"/>
          <w:szCs w:val="20"/>
          <w:color w:val="auto"/>
        </w:rPr>
      </w:pPr>
      <w:r>
        <w:rPr>
          <w:rFonts w:ascii="Arial" w:cs="Arial" w:eastAsia="Arial" w:hAnsi="Arial"/>
          <w:sz w:val="17"/>
          <w:szCs w:val="17"/>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25"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Level 3 of the fair value hierarchy includes certain physical commodity contracts, over-the-counter financial commodity contracts, and the Preferred Distribution Rate Reset Option contained in our partnership agreement which is classified as an embedded derivative.</w:t>
      </w:r>
    </w:p>
    <w:p>
      <w:pPr>
        <w:spacing w:after="0" w:line="170"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The fair value of our Level 3 physical commodity contracts and over-the-counter financial commodity contracts are based on valuation models utilizing significant unobservable pricing inputs and timing estimates, which involve management judgment. Significant deviations from these inputs and estimates could result in a material change in fair value to our physical commodity contracts and over-the-counter financial commodity contracts. We report unrealized gains and losses associated with these physical commodity contracts in our Condensed Consolidated Statements of Operations as Supply and Logistics segment revenues. Unrealized gains and losses associated with the over-the counter financial commodity contracts are reported in our Condensed Consolidated Statements of Operations as Field operating costs.</w:t>
      </w:r>
    </w:p>
    <w:p>
      <w:pPr>
        <w:spacing w:after="0" w:line="178" w:lineRule="exact"/>
        <w:rPr>
          <w:sz w:val="20"/>
          <w:szCs w:val="20"/>
          <w:color w:val="auto"/>
        </w:rPr>
      </w:pPr>
    </w:p>
    <w:p>
      <w:pPr>
        <w:ind w:left="660" w:right="140"/>
        <w:spacing w:after="0" w:line="297" w:lineRule="auto"/>
        <w:rPr>
          <w:sz w:val="20"/>
          <w:szCs w:val="20"/>
          <w:color w:val="auto"/>
        </w:rPr>
      </w:pPr>
      <w:r>
        <w:rPr>
          <w:rFonts w:ascii="Arial" w:cs="Arial" w:eastAsia="Arial" w:hAnsi="Arial"/>
          <w:sz w:val="16"/>
          <w:szCs w:val="16"/>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which involve management judgment. A significant increase or decrease in the value of these inputs could result in a material change in fair value to this embedded derivative feature. We report unrealized gains and losses associated with this embedded derivative in our Condensed Consolidated Statements of Operations in “Other expense, net.”</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108"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losses for the period included in earnings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8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67"/>
        </w:trPr>
        <w:tc>
          <w:tcPr>
            <w:tcW w:w="880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305"/>
        </w:trPr>
        <w:tc>
          <w:tcPr>
            <w:tcW w:w="88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2"/>
              </w:rPr>
              <w:t>Change in unrealized gains/(losses) included in earnings relating to Level 3 derivatives still held at the end of the period</w:t>
            </w:r>
          </w:p>
        </w:tc>
        <w:tc>
          <w:tcPr>
            <w:tcW w:w="840" w:type="dxa"/>
            <w:vAlign w:val="bottom"/>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702"/>
        </w:trPr>
        <w:tc>
          <w:tcPr>
            <w:tcW w:w="8800" w:type="dxa"/>
            <w:vAlign w:val="bottom"/>
          </w:tcPr>
          <w:p>
            <w:pPr>
              <w:ind w:left="5620"/>
              <w:spacing w:after="0"/>
              <w:rPr>
                <w:sz w:val="20"/>
                <w:szCs w:val="20"/>
                <w:color w:val="auto"/>
              </w:rPr>
            </w:pPr>
            <w:r>
              <w:rPr>
                <w:rFonts w:ascii="Arial" w:cs="Arial" w:eastAsia="Arial" w:hAnsi="Arial"/>
                <w:sz w:val="18"/>
                <w:szCs w:val="18"/>
                <w:color w:val="auto"/>
              </w:rPr>
              <w:t>26</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 Party Transactions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See Note 15 to our Consolidated Financial Statements included in Part IV of our 2017 Annual Report on Form 10-K for a complete discussion of our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Ownership of PAGP Class C Shares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of March 31, 2018 and December 31, 2017, we owned 512,376,348 and 510,925,432, respectively, Class C shares of PAGP. The Class C shares represent a non-economic limited partner interest in PAGP that provides us, as the sole holder, a “pass-through” voting right through which our common unitholders and Series A preferred unitholders have the effective right to vote, pro rata with the holders of Class A and Class B shares of PAGP, for the election of eligible PAGP GP directors, commencing in May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March 31, 2018, Oxy had a representative on the board of directors of PAGP GP and owned approximately 11% of the limited partner interests in AAP. During the three months ended March 31, 2018 and 2017, we recognized sales and transportation revenues and purchased petroleum products from Oxy.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those transactions is included below (in millions):</w:t>
      </w:r>
    </w:p>
    <w:p>
      <w:pPr>
        <w:spacing w:after="0" w:line="12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234</w:t>
            </w:r>
          </w:p>
        </w:tc>
      </w:tr>
      <w:tr>
        <w:trPr>
          <w:trHeight w:val="297"/>
        </w:trPr>
        <w:tc>
          <w:tcPr>
            <w:tcW w:w="8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(1)</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40" w:hanging="652"/>
        <w:spacing w:after="0" w:line="216"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Condensed Consolidated Statements of Operations.</w:t>
      </w:r>
    </w:p>
    <w:p>
      <w:pPr>
        <w:spacing w:after="0" w:line="203"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color w:val="auto"/>
        </w:rPr>
        <w:t>We currently have a netting arrangement with Oxy. Our gross receivable and payable amounts with Oxy were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and other receivables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1,075</w:t>
            </w:r>
          </w:p>
        </w:tc>
      </w:tr>
      <w:tr>
        <w:trPr>
          <w:trHeight w:val="297"/>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990</w:t>
            </w:r>
          </w:p>
        </w:tc>
      </w:tr>
      <w:tr>
        <w:trPr>
          <w:trHeight w:val="27"/>
        </w:trPr>
        <w:tc>
          <w:tcPr>
            <w:tcW w:w="8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Equity Method Investees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also have transactions with companies in which we hold an investment accounted for under the equity method of accounting. We recorded revenues of $3 million and $1 million during the three months ended March 31, 2018 and 2017, respectively. In addition, we utilized transportation services and purchased petroleum products provided by these companies. Costs related to these services totaled $130 million and $86 million for the three months ended March 31, 2018 and 2017, respectively. These transactions were conducted at posted tariff rates or contracted rates or prices that we believe approximate market.</w:t>
      </w:r>
    </w:p>
    <w:p>
      <w:pPr>
        <w:spacing w:after="0" w:line="188"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Receivables from our equity method investees totaled $38 million and $26 million at March 31, 2018 and December 31, 2017, respectively, and primarily included amounts related to transportation services. Accounts payable to our equity method investees were $50 million and $41 million at March 31, 2018 and December 31, 2017, respectively, and primarily included amounts related to transportation services.</w:t>
      </w:r>
    </w:p>
    <w:p>
      <w:pPr>
        <w:spacing w:after="0" w:line="16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addition, we have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2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6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15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81" w:lineRule="exact"/>
        <w:rPr>
          <w:sz w:val="20"/>
          <w:szCs w:val="20"/>
          <w:color w:val="auto"/>
        </w:rPr>
      </w:pPr>
    </w:p>
    <w:p>
      <w:pPr>
        <w:ind w:right="340" w:firstLine="648"/>
        <w:spacing w:after="0" w:line="272" w:lineRule="auto"/>
        <w:rPr>
          <w:sz w:val="20"/>
          <w:szCs w:val="20"/>
          <w:color w:val="auto"/>
        </w:rPr>
      </w:pPr>
      <w:r>
        <w:rPr>
          <w:rFonts w:ascii="Arial" w:cs="Arial" w:eastAsia="Arial" w:hAnsi="Arial"/>
          <w:sz w:val="17"/>
          <w:szCs w:val="17"/>
          <w:color w:val="auto"/>
        </w:rPr>
        <w:t>At March 31, 2018, our estimated undiscounted reserve for environmental liabilities (including liabilities related to the Line 901 incident, as discussed further below) totaled $153 million, of which $64 million was classified as short-term and $89 million was classified as long-term. At December 31, 2017, our estimated undiscounted reserve for environmental liabilities (including liabilities related to the Line 901 incident) totaled $162 million, of which $72 million was classified as short-term and $90 million was classified as long-term. The short- and long-term environmental liabilities referenced above are reflected in “Accounts payable and accrued liabilities” and “Other long-term liabilities and deferred credits,” respectively, on our Condensed Consolidated Balance Sheets. At March 31, 2018, we had recorded receivables totaling $54 million for amounts probable of recovery under insurance and from third parties under indemnification agreements, of which $28 million was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reflected in “Trade accounts receivable and other receivables, net” and $26 million was reflected in “Other long-term assets, net” on our Condensed Consolidated Balance Sheet. At December 31, 2017, we had recorded $55 million of such receivables, of which $29 million was reflected in “Trade accounts receivable and other receivables, net” and $26 million was reflected in “Other long-term assets, net” on our Condensed Consolidated Balance Sheet.</w:t>
      </w:r>
    </w:p>
    <w:p>
      <w:pPr>
        <w:spacing w:after="0" w:line="14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i w:val="1"/>
          <w:iCs w:val="1"/>
          <w:color w:val="auto"/>
        </w:rPr>
        <w:t>Line 901 Incident</w:t>
      </w:r>
      <w:r>
        <w:rPr>
          <w:rFonts w:ascii="Arial" w:cs="Arial" w:eastAsia="Arial" w:hAnsi="Arial"/>
          <w:sz w:val="17"/>
          <w:szCs w:val="17"/>
          <w:color w:val="auto"/>
        </w:rPr>
        <w:t>. In May 2015, we experienced a crude oil release from our Las Flores to Gaviota Pipeline (Line 901) in Santa Barbara County,</w:t>
      </w:r>
      <w:r>
        <w:rPr>
          <w:rFonts w:ascii="Arial" w:cs="Arial" w:eastAsia="Arial" w:hAnsi="Arial"/>
          <w:sz w:val="17"/>
          <w:szCs w:val="17"/>
          <w:i w:val="1"/>
          <w:iCs w:val="1"/>
          <w:color w:val="auto"/>
        </w:rPr>
        <w:t xml:space="preserve"> </w:t>
      </w:r>
      <w:r>
        <w:rPr>
          <w:rFonts w:ascii="Arial" w:cs="Arial" w:eastAsia="Arial" w:hAnsi="Arial"/>
          <w:sz w:val="17"/>
          <w:szCs w:val="17"/>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200"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under a pressure restriction. No timeline has been established for the restart of Line 901 or Line 903.</w:t>
      </w:r>
    </w:p>
    <w:p>
      <w:pPr>
        <w:spacing w:after="0" w:line="17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any such civil or criminal charges with respect to the Line 901 release, their investigation is still open and we may have fines or penalties imposed upon us, or civil or criminal charges brought against us, in the future.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late May of 2015, the California Attorney General’s Office and the District Attorney’s office for the County of Santa Barbara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On July 28, 2016, at an arraignment hearing held in California Superior Court in Santa Barbara County, PAA pled not guilty to all counts. Since May of 2016, 31 of the criminal charges against PAA (including one felony charge) and all of the criminal charges against our employee, have been dismissed. Nine of the remaining 15 charges are misdemeanor charges relating to wildlife allegedly taken as a result of the accidental release. The remaining six counts relate to the release of crude oil or reporting of the release. PAA believes that the criminal charges (including the three felony charges) are unwarranted and that neither PAA nor any of its employees engaged in any criminal behavior at any time in connection with this accident. PAA continues to vigorously defend itself against the charges.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late May of 2015, the United States Attorney for the Department of Justice, Central District of California, Environmental Crimes</w:t>
      </w:r>
    </w:p>
    <w:p>
      <w:pPr>
        <w:spacing w:after="0" w:line="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already spoken to several of our employees and has expressed an interest in talking to other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 901. We have provided various responsive materials to date and we will continue to do so in the future in cooperation with the EPA. While to date no civil actions or criminal charges with respect to the Line 901 release, other than those brought pursuant to the May 2016 Indictment, have been brought against PAA or any of its affiliates, officers or employees by PHMSA, DOJ, EPA, the California Attorney General, the Santa Barbara District Attorney or the California Department of Fish and Wildlife, and no fines or penalties have been imposed by such governmental agencies, the investigations being conducted by such agencies are still open and we may have fines or penalties imposed upon us, our officers or our employees, or civil actions or criminal charges brought against us, our officers or our employees in the future, whether by those or other governmental agencies.</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for payment as we receive them.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To date, the court has certified three sub-classes of claimants and denied certification of the other proposed sub-class. The sub-classes that have been certified include (i) commercial fishermen who landed fish in certain specified fishing blocks in the waters adjacent to Santa Barbara County or persons or businesses who resold commercial seafood landed in such areas; (ii) individuals or businesses who were employed by or had contracts with certain designated oil platforms and related onshore processing facilities in the vicinity of the release as of the date of the release and (iii) beachfront property and easement owners whose properties were oiled. We are petitioning for leave to appeal the oil industry and property class certifications.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There have also been two securities law class action lawsuits filed on behalf of certain purported investors in the Partnership and/or PAGP against the Partnership, PAGP and/or certain of their respective officers, directors and underwriters. Both of these lawsuits have been consolidated into a single proceeding in the United States District Court for the Southern District of Texas. In general, these lawsuits allege that the various defendants violated securities laws by misleading investors regarding the integrity of the Partnership’s pipelines and related facilities through false and misleading statements, omission of material facts and concealing of the true extent of the spill. The plaintiffs claim unspecified damages as a result of the reduction in value of their investments in the Partnership and PAGP, which they attribute to the alleged wrongful acts of the defendants. The Partnership and PAGP, and the other defendants, denied the allegations in, and moved to dismiss these lawsuits. On March 29, 2017, the Court ruled in our favor dismissing all claims against all defendants. Plaintiffs refiled their complaint. On April 2, 2018, the Court dismissed all of the refiled claims against all defendants with prejudice. Plaintiffs have filed notice of intent to file an appeal of the dismissal. Consistent with and subject to the terms of our governing organizational documents (and to the extent applicable, insurance policies), we have indemnified and funded the defense costs of our officers and directors in connection with this lawsuit; we have also indemnified and funded the defense costs of our underwriters pursuant to the terms of the underwriting agreements we previously entered into with such underwriters.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four unitholder derivative lawsuits have been filed by certain purported investors in the Partnership against the Partnership, certain of its affiliates and certain officers and directors.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w:t>
      </w:r>
    </w:p>
    <w:p>
      <w:pPr>
        <w:spacing w:after="0" w:line="18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Following the order dismissing the Texas Federal Court suits, a new derivative suit brought by different plaintiffs was filed in Delaware Chancery Court. The other remaining lawsuit was filed in State District Court in Harris County, Texas and subsequently dismissed by the Court. In general, these lawsuits allege that the various defendants breached their fiduciary duties, engaged in gross mismanagement and made false and misleading statements, among other similar allegations, in connection with their management and oversight of the Partnership during the period of time leading up to and following the Line 901 release. The plaintiffs in the remaining lawsuit claim that the Partnership suffered unspecified damages as a result of the actions of the various defendants and seek to hold the defendants liable for such damages, in addition to other remedies. The defendants deny the allegations in this lawsuit and have responded accordingly. Consistent with and subject to the terms of our governing organizational documents (and to the extent applicable, insurance policies), we are indemnifying and funding the defense costs of our officers and directors in connection with this lawsuit.</w:t>
      </w:r>
    </w:p>
    <w:p>
      <w:pPr>
        <w:spacing w:after="0" w:line="16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have also received several other individual lawsuits and complaints from companies and individuals alleging damages arising out of the Line 901 incident. These lawsuits and claims generally seek compensatory and punitive damages, and in some cases permanent injunctive relief.</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187"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Taking the foregoing into account, as of March 31, 2018, we estimate that the aggregate total costs we have incurred or will incur with respect to the Line 901 incident will be approximately $335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 “Field operating costs” in our Condensed Consolidated Statement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and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16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of March 31, 2018, we had a remaining undiscounted gross liability of $87 million related to this event, of which approximately $55 million is presented as a current liability in “Accounts payable and accrued liabilities” on our Condensed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March 31, 2018, we had collected, subject to customary reservations, $174 million out of the approximate $220 million of release costs that we believe are probable of recovery from insurance carriers, net of deductibles. Therefore, as of March 31, 2018, we have recognized a receivable of approximately $46 million for the portion of the release costs that we believe is probable of recovery from insurance, net of deductibles and amounts already collected. Of this amount, approximately $22 million 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13—Operating Segments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manage our operations through three operating segments: Transportation, Facilities and Supply and Logistics. See Note 3 for a summary of the types of products and services from which each segment derives its revenues. Our CODM (our Chief Executive Officer) evaluates segment performance based on measures including segment adjusted EBITDA (as defined below) and maintenance capital investment.</w:t>
      </w:r>
    </w:p>
    <w:p>
      <w:pPr>
        <w:spacing w:after="0" w:line="16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w:t>
      </w:r>
    </w:p>
    <w:p>
      <w:pPr>
        <w:spacing w:after="0" w:line="16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Maintenance capital consists of capital expenditures for the replacement and/or refurbishment of partially or fully depreciated assets in order to maintain the operating and/or earnings capacity of our existing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2018</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Transportation</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Adjustment</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gridSpan w:val="3"/>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253</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8,111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70"/>
        </w:trPr>
        <w:tc>
          <w:tcPr>
            <w:tcW w:w="4120" w:type="dxa"/>
            <w:vAlign w:val="bottom"/>
            <w:gridSpan w:val="3"/>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8,112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8,858</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51"/>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March 31, 2017</w:t>
            </w:r>
          </w:p>
        </w:tc>
        <w:tc>
          <w:tcPr>
            <w:tcW w:w="12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Transportation</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ind w:right="154"/>
              <w:spacing w:after="0"/>
              <w:rPr>
                <w:sz w:val="20"/>
                <w:szCs w:val="20"/>
                <w:color w:val="auto"/>
              </w:rPr>
            </w:pPr>
            <w:r>
              <w:rPr>
                <w:rFonts w:ascii="Arial" w:cs="Arial" w:eastAsia="Arial" w:hAnsi="Arial"/>
                <w:sz w:val="14"/>
                <w:szCs w:val="14"/>
                <w:b w:val="1"/>
                <w:bCs w:val="1"/>
                <w:color w:val="auto"/>
                <w:w w:val="92"/>
              </w:rPr>
              <w:t>Supply and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Intersegment</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Adjustment</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gridSpan w:val="3"/>
          </w:tcPr>
          <w:p>
            <w:pPr>
              <w:ind w:left="200"/>
              <w:spacing w:after="0" w:line="270" w:lineRule="exact"/>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225</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6,395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70"/>
        </w:trPr>
        <w:tc>
          <w:tcPr>
            <w:tcW w:w="4120" w:type="dxa"/>
            <w:vAlign w:val="bottom"/>
            <w:gridSpan w:val="3"/>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Intersegment </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6,400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Segment 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9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32</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right="140" w:hanging="652"/>
        <w:spacing w:after="0" w:line="237"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Transportation revenues from external customers include inventory exchanges that are substantially similar to tariff-like arrangements with our customers. Under these arrangements, our Supply and Logistics segment has transacted the inventory exchange and serves as the shipper on our pipeline systems. See Note 3 for a discussion of our related accounting policy. We have included an estimate of the revenues from these inventory exchanges in our Transportation segment revenue from external customers presented above and adjusted those revenues out such that Total revenue from External customers reconciles to our Condensed Consolidated Statements of Operations. This presentation is consistent with the information provided to our CODM.</w:t>
      </w:r>
    </w:p>
    <w:p>
      <w:pPr>
        <w:spacing w:after="0" w:line="98" w:lineRule="exact"/>
        <w:rPr>
          <w:rFonts w:ascii="Arial" w:cs="Arial" w:eastAsia="Arial" w:hAnsi="Arial"/>
          <w:sz w:val="25"/>
          <w:szCs w:val="25"/>
          <w:color w:val="auto"/>
          <w:vertAlign w:val="superscript"/>
        </w:rPr>
      </w:pPr>
    </w:p>
    <w:p>
      <w:pPr>
        <w:ind w:left="660" w:right="120" w:hanging="652"/>
        <w:spacing w:after="0" w:line="226"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Segment revenues include intersegment amounts that are eliminated in Purchases and related costs and Field operating costs in our Condensed Consolidated Statements of Operations. Intersegment sales are conducted at posted tariff rates, rates similar to those charged to third parties or rates that we believe approximate market at the time the agreement is executed or renegotiated.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(in millions):</w:t>
      </w:r>
    </w:p>
    <w:p>
      <w:pPr>
        <w:spacing w:after="0" w:line="163"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80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w:t>
            </w: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88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(2)</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880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Gains from derivative activities net of inventory valuation adjustments </w:t>
            </w:r>
            <w:r>
              <w:rPr>
                <w:rFonts w:ascii="Arial" w:cs="Arial" w:eastAsia="Arial" w:hAnsi="Arial"/>
                <w:sz w:val="25"/>
                <w:szCs w:val="25"/>
                <w:color w:val="auto"/>
                <w:vertAlign w:val="superscript"/>
              </w:rPr>
              <w:t>(3)</w:t>
            </w:r>
          </w:p>
        </w:tc>
        <w:tc>
          <w:tcPr>
            <w:tcW w:w="800" w:type="dxa"/>
            <w:vAlign w:val="bottom"/>
          </w:tcPr>
          <w:p>
            <w:pPr>
              <w:spacing w:after="0"/>
              <w:rPr>
                <w:sz w:val="23"/>
                <w:szCs w:val="23"/>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289</w:t>
            </w:r>
          </w:p>
        </w:tc>
      </w:tr>
      <w:tr>
        <w:trPr>
          <w:trHeight w:val="270"/>
        </w:trPr>
        <w:tc>
          <w:tcPr>
            <w:tcW w:w="88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(4)</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880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(5)</w:t>
            </w: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88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(6)</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80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(7)</w:t>
            </w:r>
          </w:p>
        </w:tc>
        <w:tc>
          <w:tcPr>
            <w:tcW w:w="8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0"/>
        </w:trPr>
        <w:tc>
          <w:tcPr>
            <w:tcW w:w="880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(8)</w:t>
            </w:r>
          </w:p>
        </w:tc>
        <w:tc>
          <w:tcPr>
            <w:tcW w:w="8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(127)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8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8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tax</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88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r>
      <w:tr>
        <w:trPr>
          <w:trHeight w:val="20"/>
        </w:trPr>
        <w:tc>
          <w:tcPr>
            <w:tcW w:w="8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w:t>
      </w:r>
    </w:p>
    <w:p>
      <w:pPr>
        <w:spacing w:after="0" w:line="98" w:lineRule="exact"/>
        <w:rPr>
          <w:rFonts w:ascii="Arial" w:cs="Arial" w:eastAsia="Arial" w:hAnsi="Arial"/>
          <w:sz w:val="25"/>
          <w:szCs w:val="25"/>
          <w:color w:val="auto"/>
          <w:vertAlign w:val="superscript"/>
        </w:rPr>
      </w:pPr>
    </w:p>
    <w:p>
      <w:pPr>
        <w:ind w:left="660" w:hanging="652"/>
        <w:spacing w:after="0" w:line="214" w:lineRule="auto"/>
        <w:tabs>
          <w:tab w:leader="none" w:pos="66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Includes our proportionate share of the depreciation and amortization and gains or losses on significant asset sales of equity method investments.</w:t>
      </w:r>
    </w:p>
    <w:p>
      <w:pPr>
        <w:spacing w:after="0" w:line="98" w:lineRule="exact"/>
        <w:rPr>
          <w:rFonts w:ascii="Arial" w:cs="Arial" w:eastAsia="Arial" w:hAnsi="Arial"/>
          <w:sz w:val="22"/>
          <w:szCs w:val="22"/>
          <w:color w:val="auto"/>
          <w:vertAlign w:val="superscript"/>
        </w:rPr>
      </w:pPr>
    </w:p>
    <w:p>
      <w:pPr>
        <w:ind w:left="660" w:right="20" w:hanging="652"/>
        <w:spacing w:after="0" w:line="238"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99" w:lineRule="exact"/>
        <w:rPr>
          <w:rFonts w:ascii="Arial" w:cs="Arial" w:eastAsia="Arial" w:hAnsi="Arial"/>
          <w:sz w:val="25"/>
          <w:szCs w:val="25"/>
          <w:color w:val="auto"/>
          <w:vertAlign w:val="superscript"/>
        </w:rPr>
      </w:pPr>
    </w:p>
    <w:p>
      <w:pPr>
        <w:ind w:left="660" w:right="200" w:hanging="652"/>
        <w:spacing w:after="0" w:line="271" w:lineRule="auto"/>
        <w:tabs>
          <w:tab w:leader="none" w:pos="66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652"/>
        <w:spacing w:after="0" w:line="258" w:lineRule="auto"/>
        <w:tabs>
          <w:tab w:leader="none" w:pos="66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29"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Includes equity-indexed compensation expense associated with awards that will or may be settled in units.</w:t>
      </w:r>
    </w:p>
    <w:p>
      <w:pPr>
        <w:spacing w:after="0" w:line="144"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Includes gains and losses from the revaluation of foreign currency transactions and monetary assets and liabilities.</w:t>
      </w:r>
    </w:p>
    <w:p>
      <w:pPr>
        <w:spacing w:after="0" w:line="98" w:lineRule="exact"/>
        <w:rPr>
          <w:rFonts w:ascii="Arial" w:cs="Arial" w:eastAsia="Arial" w:hAnsi="Arial"/>
          <w:sz w:val="25"/>
          <w:szCs w:val="25"/>
          <w:color w:val="auto"/>
          <w:vertAlign w:val="superscript"/>
        </w:rPr>
      </w:pPr>
    </w:p>
    <w:p>
      <w:pPr>
        <w:ind w:left="660" w:hanging="652"/>
        <w:spacing w:after="0" w:line="244" w:lineRule="auto"/>
        <w:tabs>
          <w:tab w:leader="none" w:pos="66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Includes acquisition-related expenses associated with the acquisition of the Alpha Crude Connector Gathering System (the “ACC Acquisition”). See Note 6 to our Consolidated Financial Statements included in Part IV of our 2017 Annual Report on Form 10-K for additional discussion. An adjustment for these non-recurring expenses is included in the calculation of segment adjusted EBITDA for the three months ended March 31, 2017 as our CODM does not view such expenses as integral to understanding our core segment operating performance.</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25"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2017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own and operate midstream energy infrastructure and provide logistics services primarily for crude oil, NGL and natural gas.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“—Results of Operations —Analysis of Operating Segments”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the first three months of 2018, we recognized net income of $288 million as compared to net income of $444 million recognized during the first three months of 2017. The year-over-year decrease reflects:</w:t>
      </w:r>
    </w:p>
    <w:p>
      <w:pPr>
        <w:spacing w:after="0" w:line="170"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gains in the 2018 period from the mark-to-market of certain derivative instruments; partially offset by</w:t>
      </w:r>
    </w:p>
    <w:p>
      <w:pPr>
        <w:spacing w:after="0" w:line="225" w:lineRule="exact"/>
        <w:rPr>
          <w:rFonts w:ascii="Arial" w:cs="Arial" w:eastAsia="Arial" w:hAnsi="Arial"/>
          <w:sz w:val="18"/>
          <w:szCs w:val="18"/>
          <w:color w:val="auto"/>
        </w:rPr>
      </w:pPr>
    </w:p>
    <w:p>
      <w:pPr>
        <w:ind w:left="1300" w:right="24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results from our Transportation segment, primarily from our pipelines in the Permian Basin region, driven by higher volumes as a result of increased production and our recently completed capital expansion projects; and</w:t>
      </w:r>
    </w:p>
    <w:p>
      <w:pPr>
        <w:spacing w:after="0" w:line="170" w:lineRule="exact"/>
        <w:rPr>
          <w:rFonts w:ascii="Arial" w:cs="Arial" w:eastAsia="Arial" w:hAnsi="Arial"/>
          <w:sz w:val="18"/>
          <w:szCs w:val="18"/>
          <w:color w:val="auto"/>
        </w:rPr>
      </w:pPr>
    </w:p>
    <w:p>
      <w:pPr>
        <w:ind w:left="1300" w:hanging="320"/>
        <w:spacing w:after="0" w:line="31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Lower interest expense driven by lower weighted average debt balances in the 2018 period as a result of our efforts to implement our Leverage Reduction Plan announced in August 2017. See “—Executive Summary—Overview of Operating Results, Capital Investments and Other Significant Activities” in Item 7 of our 2017 Annual Report on Form 10-K for further discussion of our Leverage Reduction Plan.</w:t>
      </w:r>
    </w:p>
    <w:p>
      <w:pPr>
        <w:spacing w:after="0" w:line="14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addition, see further discussion of our segment operating results in the “—Results of Operations—Analysis of Operating Segments” and “—Other Income and Expenses” sections below.</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invested $298 million in midstream infrastructure projects during the three months ended March 31, 2018, and we expect expansion capital for the full year of 2018 to be approximately $1.4 billion, which will be primarily focused in the Permian Basin.</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continued to advance our divestiture program, completing asset sales for total proceeds of approximately $340 million, including sales completed subsequent to the quarter end. We also paid approximately $218 million of cash distributions to our common unitholders during the three months ended March 31, 2018, and we declared a quarterly distribution of $0.30 per common unit (a total distribution of $218 million) to be paid on May 15, 2018. In addition, on May 15, 2018, we will pay a quarterly cash distribution of $37 million to our Series A preferred unitholders and a semi-annual cash distribution of $24.5 million to our Series B preferred unitholders.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(in millions):</w:t>
      </w:r>
    </w:p>
    <w:p>
      <w:pPr>
        <w:spacing w:after="0" w:line="16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5"/>
                <w:szCs w:val="25"/>
                <w:color w:val="auto"/>
                <w:vertAlign w:val="superscript"/>
              </w:rPr>
              <w:t>(1) (2)</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1,258</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5"/>
                <w:szCs w:val="25"/>
                <w:color w:val="auto"/>
                <w:vertAlign w:val="superscript"/>
              </w:rPr>
              <w:t>(2) (3)</w:t>
            </w:r>
          </w:p>
        </w:tc>
        <w:tc>
          <w:tcPr>
            <w:tcW w:w="100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307</w:t>
            </w: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(3)</w:t>
            </w:r>
          </w:p>
        </w:tc>
        <w:tc>
          <w:tcPr>
            <w:tcW w:w="10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r>
      <w:tr>
        <w:trPr>
          <w:trHeight w:val="237"/>
        </w:trPr>
        <w:tc>
          <w:tcPr>
            <w:tcW w:w="8340" w:type="dxa"/>
            <w:vAlign w:val="bottom"/>
          </w:tcPr>
          <w:p>
            <w:pPr>
              <w:spacing w:after="0"/>
              <w:rPr>
                <w:sz w:val="20"/>
                <w:szCs w:val="20"/>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1,624</w:t>
            </w:r>
          </w:p>
        </w:tc>
      </w:tr>
      <w:tr>
        <w:trPr>
          <w:trHeight w:val="27"/>
        </w:trPr>
        <w:tc>
          <w:tcPr>
            <w:tcW w:w="83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Acquisition capital for the first three months of 2017 primarily relates to the ACC Acquisition.</w:t>
      </w:r>
    </w:p>
    <w:p>
      <w:pPr>
        <w:spacing w:after="0" w:line="147" w:lineRule="exact"/>
        <w:rPr>
          <w:rFonts w:ascii="Arial" w:cs="Arial" w:eastAsia="Arial" w:hAnsi="Arial"/>
          <w:sz w:val="25"/>
          <w:szCs w:val="25"/>
          <w:color w:val="auto"/>
          <w:vertAlign w:val="superscript"/>
        </w:rPr>
      </w:pPr>
    </w:p>
    <w:p>
      <w:pPr>
        <w:ind w:left="660" w:right="20" w:hanging="652"/>
        <w:spacing w:after="0" w:line="226"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95" w:lineRule="exact"/>
        <w:rPr>
          <w:rFonts w:ascii="Arial" w:cs="Arial" w:eastAsia="Arial" w:hAnsi="Arial"/>
          <w:sz w:val="25"/>
          <w:szCs w:val="25"/>
          <w:color w:val="auto"/>
          <w:vertAlign w:val="superscript"/>
        </w:rPr>
      </w:pPr>
    </w:p>
    <w:p>
      <w:pPr>
        <w:ind w:left="660" w:right="280" w:hanging="652"/>
        <w:spacing w:after="0" w:line="226"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Capital Projects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2018 and the estimated cost for the year ending December 31, 2018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Permian Basin Takeaway Pipeline Projects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Complementary Permian Basin Projects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375</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9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Selected Facilities Projects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Other Projects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210</w:t>
            </w:r>
          </w:p>
        </w:tc>
      </w:tr>
      <w:tr>
        <w:trPr>
          <w:trHeight w:val="27"/>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9940" w:type="dxa"/>
            <w:vAlign w:val="bottom"/>
            <w:tcBorders>
              <w:bottom w:val="single" w:sz="8" w:color="CCEEFF"/>
            </w:tcBorders>
            <w:gridSpan w:val="2"/>
            <w:shd w:val="clear" w:color="auto" w:fill="CCEEFF"/>
          </w:tcPr>
          <w:p>
            <w:pPr>
              <w:ind w:left="180"/>
              <w:spacing w:after="0" w:line="264" w:lineRule="exact"/>
              <w:rPr>
                <w:sz w:val="20"/>
                <w:szCs w:val="20"/>
                <w:color w:val="auto"/>
              </w:rPr>
            </w:pPr>
            <w:r>
              <w:rPr>
                <w:rFonts w:ascii="Arial" w:cs="Arial" w:eastAsia="Arial" w:hAnsi="Arial"/>
                <w:sz w:val="18"/>
                <w:szCs w:val="18"/>
                <w:color w:val="auto"/>
              </w:rPr>
              <w:t xml:space="preserve">Total Projected 2018 Expansion Capital Expenditures </w:t>
            </w:r>
            <w:r>
              <w:rPr>
                <w:rFonts w:ascii="Arial" w:cs="Arial" w:eastAsia="Arial" w:hAnsi="Arial"/>
                <w:sz w:val="25"/>
                <w:szCs w:val="25"/>
                <w:color w:val="auto"/>
                <w:vertAlign w:val="superscript"/>
              </w:rPr>
              <w:t>(2)</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1,400</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Includes projects at our St. James, Fort Saskatchewan and other terminals.</w:t>
      </w:r>
    </w:p>
    <w:p>
      <w:pPr>
        <w:spacing w:after="0" w:line="147" w:lineRule="exact"/>
        <w:rPr>
          <w:rFonts w:ascii="Arial" w:cs="Arial" w:eastAsia="Arial" w:hAnsi="Arial"/>
          <w:sz w:val="25"/>
          <w:szCs w:val="25"/>
          <w:color w:val="auto"/>
          <w:vertAlign w:val="superscript"/>
        </w:rPr>
      </w:pPr>
    </w:p>
    <w:p>
      <w:pPr>
        <w:ind w:left="660" w:right="700" w:hanging="652"/>
        <w:spacing w:after="0" w:line="216"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Amounts reflect our expectation that certain projects will be owned in a joint venture structure with a proportionate share of the project cost dispersed among the partners.</w:t>
      </w:r>
    </w:p>
    <w:p>
      <w:pPr>
        <w:spacing w:after="0" w:line="311"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are taking steps to accelerate into 2018 the construction of some projects initially scheduled for 2019 and also are in discussions with respect to initiating some incremental Permian Basin expansion projects, but have not formally increased our 2018/2019 capital program estimate at this time.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an overview of our consolidated financial results calculated in accordance with GAAP (in millions, except per unit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3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Transportation segment adjusted EBITDA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0"/>
        </w:trPr>
        <w:tc>
          <w:tcPr>
            <w:tcW w:w="64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Supply and Logistics segment adjusted EBITDA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420" w:type="dxa"/>
            <w:vAlign w:val="bottom"/>
          </w:tcPr>
          <w:p>
            <w:pPr>
              <w:ind w:left="200"/>
              <w:spacing w:after="0"/>
              <w:rPr>
                <w:sz w:val="20"/>
                <w:szCs w:val="20"/>
                <w:color w:val="auto"/>
              </w:rPr>
            </w:pPr>
            <w:r>
              <w:rPr>
                <w:rFonts w:ascii="Arial" w:cs="Arial" w:eastAsia="Arial" w:hAnsi="Arial"/>
                <w:sz w:val="18"/>
                <w:szCs w:val="18"/>
                <w:color w:val="auto"/>
              </w:rPr>
              <w:t>Selected items impacting comparability - segment adjusted EBITDA</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per common unit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Diluted net income per common unit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504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6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ind w:left="660" w:right="160" w:hanging="652"/>
        <w:spacing w:after="0" w:line="257" w:lineRule="auto"/>
        <w:tabs>
          <w:tab w:leader="none" w:pos="66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Note 13 to our Condensed Consolidated Financial Statements for additional discussion of such adjustments.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and gains and losses on significant asset sales of unconsolidated entities) and adjusted for certain selected items impacting comparability (“Adjusted EBITDA”) and implied distributable cash flow (“DCF”).</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“Accounts payable and accrued liabilities” in our Condensed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18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and Implied DCF are reconciled to Net Income, the most directly comparable measure as reported in accordance with GAAP, and should be viewed in addition to, and not in lieu of, our Condensed Consolidated Financial Statements and footnotes.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these non-GAAP financial performance measures from Net Income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Add/(Subtract):</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42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0"/>
        </w:trPr>
        <w:tc>
          <w:tcPr>
            <w:tcW w:w="64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Selected Items Impacting Comparability:</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Gains from derivative activities net of inventory valuation adjustments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(5)</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(6)</w:t>
            </w:r>
          </w:p>
        </w:tc>
        <w:tc>
          <w:tcPr>
            <w:tcW w:w="2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(7)</w:t>
            </w: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20" w:type="dxa"/>
            <w:vAlign w:val="bottom"/>
          </w:tcPr>
          <w:p>
            <w:pPr>
              <w:ind w:left="200"/>
              <w:spacing w:after="0"/>
              <w:rPr>
                <w:sz w:val="20"/>
                <w:szCs w:val="20"/>
                <w:color w:val="auto"/>
              </w:rPr>
            </w:pPr>
            <w:r>
              <w:rPr>
                <w:rFonts w:ascii="Arial" w:cs="Arial" w:eastAsia="Arial" w:hAnsi="Arial"/>
                <w:sz w:val="18"/>
                <w:szCs w:val="18"/>
                <w:color w:val="auto"/>
              </w:rPr>
              <w:t>Selected Items Impacting Comparability - segment adjusted EBITDA</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Losses from derivative activities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20" w:type="dxa"/>
            <w:vAlign w:val="bottom"/>
            <w:tcBorders>
              <w:bottom w:val="single" w:sz="8" w:color="CCEEFF"/>
            </w:tcBorders>
          </w:tcPr>
          <w:p>
            <w:pPr>
              <w:ind w:left="360"/>
              <w:spacing w:after="0" w:line="270" w:lineRule="exact"/>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5"/>
                <w:szCs w:val="25"/>
                <w:color w:val="auto"/>
                <w:vertAlign w:val="superscript"/>
              </w:rPr>
              <w:t>(6)</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Selected Items Impacting Comparability - Adjusted</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420" w:type="dxa"/>
            <w:vAlign w:val="bottom"/>
            <w:shd w:val="clear" w:color="auto" w:fill="CCEEFF"/>
          </w:tcPr>
          <w:p>
            <w:pPr>
              <w:ind w:left="360"/>
              <w:spacing w:after="0" w:line="25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(8)</w:t>
            </w: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642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512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51"/>
        </w:trPr>
        <w:tc>
          <w:tcPr>
            <w:tcW w:w="6420" w:type="dxa"/>
            <w:vAlign w:val="bottom"/>
            <w:tcBorders>
              <w:top w:val="single" w:sz="8" w:color="CCEEFF"/>
            </w:tcBorders>
            <w:shd w:val="clear" w:color="auto" w:fill="CCEEFF"/>
          </w:tcPr>
          <w:p>
            <w:pPr>
              <w:ind w:left="200"/>
              <w:spacing w:after="0" w:line="251"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(9)</w:t>
            </w:r>
          </w:p>
        </w:tc>
        <w:tc>
          <w:tcPr>
            <w:tcW w:w="2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0"/>
        </w:trPr>
        <w:tc>
          <w:tcPr>
            <w:tcW w:w="64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5"/>
                <w:szCs w:val="25"/>
                <w:color w:val="auto"/>
                <w:vertAlign w:val="superscript"/>
              </w:rPr>
              <w:t>(10)</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64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5"/>
                <w:szCs w:val="25"/>
                <w:color w:val="auto"/>
                <w:vertAlign w:val="superscript"/>
              </w:rPr>
              <w:t>(11)</w:t>
            </w:r>
          </w:p>
        </w:tc>
        <w:tc>
          <w:tcPr>
            <w:tcW w:w="28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5"/>
                <w:szCs w:val="25"/>
                <w:color w:val="auto"/>
                <w:vertAlign w:val="superscript"/>
              </w:rPr>
              <w:t>(12)</w:t>
            </w: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7"/>
        </w:trPr>
        <w:tc>
          <w:tcPr>
            <w:tcW w:w="6420" w:type="dxa"/>
            <w:vAlign w:val="bottom"/>
          </w:tcPr>
          <w:p>
            <w:pPr>
              <w:ind w:left="40"/>
              <w:spacing w:after="0"/>
              <w:rPr>
                <w:sz w:val="20"/>
                <w:szCs w:val="20"/>
                <w:color w:val="auto"/>
              </w:rPr>
            </w:pPr>
            <w:r>
              <w:rPr>
                <w:rFonts w:ascii="Arial" w:cs="Arial" w:eastAsia="Arial" w:hAnsi="Arial"/>
                <w:sz w:val="18"/>
                <w:szCs w:val="18"/>
                <w:color w:val="auto"/>
              </w:rPr>
              <w:t>Implied DCF</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Preferred unit distributions </w:t>
            </w:r>
            <w:r>
              <w:rPr>
                <w:rFonts w:ascii="Arial" w:cs="Arial" w:eastAsia="Arial" w:hAnsi="Arial"/>
                <w:sz w:val="25"/>
                <w:szCs w:val="25"/>
                <w:color w:val="auto"/>
                <w:vertAlign w:val="superscript"/>
              </w:rPr>
              <w:t>(13)</w:t>
            </w: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6420" w:type="dxa"/>
            <w:vAlign w:val="bottom"/>
          </w:tcPr>
          <w:p>
            <w:pPr>
              <w:ind w:left="40"/>
              <w:spacing w:after="0"/>
              <w:rPr>
                <w:sz w:val="20"/>
                <w:szCs w:val="20"/>
                <w:color w:val="auto"/>
              </w:rPr>
            </w:pPr>
            <w:r>
              <w:rPr>
                <w:rFonts w:ascii="Arial" w:cs="Arial" w:eastAsia="Arial" w:hAnsi="Arial"/>
                <w:sz w:val="18"/>
                <w:szCs w:val="18"/>
                <w:color w:val="auto"/>
              </w:rPr>
              <w:t>Implied DCF Available to Common Unitholders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302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57"/>
        </w:trPr>
        <w:tc>
          <w:tcPr>
            <w:tcW w:w="6420" w:type="dxa"/>
            <w:vAlign w:val="bottom"/>
            <w:tcBorders>
              <w:top w:val="single" w:sz="8" w:color="CCEEFF"/>
            </w:tcBorders>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5"/>
                <w:szCs w:val="25"/>
                <w:color w:val="auto"/>
                <w:vertAlign w:val="superscript"/>
              </w:rPr>
              <w:t>(12)</w:t>
            </w: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2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Implied DCF Excess/(Shortage) </w:t>
            </w:r>
            <w:r>
              <w:rPr>
                <w:rFonts w:ascii="Arial" w:cs="Arial" w:eastAsia="Arial" w:hAnsi="Arial"/>
                <w:sz w:val="25"/>
                <w:szCs w:val="25"/>
                <w:color w:val="auto"/>
                <w:vertAlign w:val="superscript"/>
              </w:rPr>
              <w:t>(14)</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50" w:lineRule="exact"/>
        <w:rPr>
          <w:sz w:val="20"/>
          <w:szCs w:val="20"/>
          <w:color w:val="auto"/>
        </w:rPr>
      </w:pPr>
    </w:p>
    <w:p>
      <w:pPr>
        <w:jc w:val="both"/>
        <w:ind w:left="660" w:right="60" w:hanging="652"/>
        <w:spacing w:after="0" w:line="223" w:lineRule="auto"/>
        <w:tabs>
          <w:tab w:leader="none" w:pos="66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Over the past several years, we have increased our participation in pipeline strategic joint ventures, which are accounted for under the equity method of accounting. We exclude our proportionate share of the depreciation and amortization expense and gains or losses on significant asset sales of such unconsolidated entities when reviewing Adjusted EBITDA, similar to our consolidated assets.</w:t>
      </w:r>
    </w:p>
    <w:p>
      <w:pPr>
        <w:spacing w:after="0" w:line="148" w:lineRule="exact"/>
        <w:rPr>
          <w:rFonts w:ascii="Arial" w:cs="Arial" w:eastAsia="Arial" w:hAnsi="Arial"/>
          <w:sz w:val="25"/>
          <w:szCs w:val="25"/>
          <w:color w:val="auto"/>
          <w:vertAlign w:val="superscript"/>
        </w:rPr>
      </w:pPr>
    </w:p>
    <w:p>
      <w:pPr>
        <w:ind w:left="660" w:right="40" w:hanging="652"/>
        <w:spacing w:after="0" w:line="253" w:lineRule="auto"/>
        <w:tabs>
          <w:tab w:leader="none" w:pos="660"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left="660" w:right="660"/>
        <w:spacing w:after="0" w:line="336" w:lineRule="auto"/>
        <w:rPr>
          <w:sz w:val="20"/>
          <w:szCs w:val="20"/>
          <w:color w:val="auto"/>
        </w:rPr>
      </w:pPr>
      <w:r>
        <w:rPr>
          <w:rFonts w:ascii="Arial" w:cs="Arial" w:eastAsia="Arial" w:hAnsi="Arial"/>
          <w:sz w:val="17"/>
          <w:szCs w:val="17"/>
          <w:color w:val="auto"/>
        </w:rPr>
        <w:t>exclude the impact of corresponding inventory valuation adjustments, as applicable, as well as the mark-to-market adjustment related to our Preferred Distribution Rate Reset Option. See Note 10 to our Condensed Consolidated Financial Statements for a comprehensive discussion regarding our derivatives and risk management activities and our Preferred Distribution Rate Reset Option.</w:t>
      </w:r>
    </w:p>
    <w:p>
      <w:pPr>
        <w:spacing w:after="0" w:line="30" w:lineRule="exact"/>
        <w:rPr>
          <w:sz w:val="20"/>
          <w:szCs w:val="20"/>
          <w:color w:val="auto"/>
        </w:rPr>
      </w:pPr>
    </w:p>
    <w:p>
      <w:pPr>
        <w:ind w:left="660" w:hanging="652"/>
        <w:spacing w:after="0" w:line="273" w:lineRule="auto"/>
        <w:tabs>
          <w:tab w:leader="none" w:pos="66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4 to our Consolidated Financial Statements included in Part IV of our 2017 Annual Report on Form 10-K for additional inventory disclosures.</w:t>
      </w:r>
    </w:p>
    <w:p>
      <w:pPr>
        <w:spacing w:after="0" w:line="70" w:lineRule="exact"/>
        <w:rPr>
          <w:rFonts w:ascii="Arial" w:cs="Arial" w:eastAsia="Arial" w:hAnsi="Arial"/>
          <w:sz w:val="22"/>
          <w:szCs w:val="22"/>
          <w:color w:val="auto"/>
          <w:vertAlign w:val="superscript"/>
        </w:rPr>
      </w:pPr>
    </w:p>
    <w:p>
      <w:pPr>
        <w:ind w:left="660" w:hanging="652"/>
        <w:spacing w:after="0" w:line="258" w:lineRule="auto"/>
        <w:tabs>
          <w:tab w:leader="none" w:pos="66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86" w:lineRule="exact"/>
        <w:rPr>
          <w:rFonts w:ascii="Arial" w:cs="Arial" w:eastAsia="Arial" w:hAnsi="Arial"/>
          <w:sz w:val="24"/>
          <w:szCs w:val="24"/>
          <w:color w:val="auto"/>
          <w:vertAlign w:val="superscript"/>
        </w:rPr>
      </w:pPr>
    </w:p>
    <w:p>
      <w:pPr>
        <w:ind w:left="660" w:right="20" w:hanging="652"/>
        <w:spacing w:after="0" w:line="274" w:lineRule="auto"/>
        <w:tabs>
          <w:tab w:leader="none" w:pos="66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16 to our Consolidated Financial Statements included in Part IV of our 2017 Annual Report on Form 10-K for a comprehensive discussion regarding our equity-indexed compensation plans.</w:t>
      </w:r>
    </w:p>
    <w:p>
      <w:pPr>
        <w:spacing w:after="0" w:line="71" w:lineRule="exact"/>
        <w:rPr>
          <w:rFonts w:ascii="Arial" w:cs="Arial" w:eastAsia="Arial" w:hAnsi="Arial"/>
          <w:sz w:val="22"/>
          <w:szCs w:val="22"/>
          <w:color w:val="auto"/>
          <w:vertAlign w:val="superscript"/>
        </w:rPr>
      </w:pPr>
    </w:p>
    <w:p>
      <w:pPr>
        <w:jc w:val="both"/>
        <w:ind w:left="660" w:right="360" w:hanging="652"/>
        <w:spacing w:after="0" w:line="238" w:lineRule="auto"/>
        <w:tabs>
          <w:tab w:leader="none" w:pos="66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During the periods presented, there were fluctuations in the value of CAD to USD, resulting in gains and losses that were not related to our core operating results for the period and were thus classified as a selected item impacting comparability. See Note 10 to our Condensed Consolidated Financial Statements for discussion regarding our currency exchange rate risk hedging activities.</w:t>
      </w:r>
    </w:p>
    <w:p>
      <w:pPr>
        <w:spacing w:after="0" w:line="37"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Includes acquisition-related expenses associated with the ACC Acquisition in February 2017.</w:t>
      </w:r>
    </w:p>
    <w:p>
      <w:pPr>
        <w:spacing w:after="0" w:line="98" w:lineRule="exact"/>
        <w:rPr>
          <w:rFonts w:ascii="Arial" w:cs="Arial" w:eastAsia="Arial" w:hAnsi="Arial"/>
          <w:sz w:val="25"/>
          <w:szCs w:val="25"/>
          <w:color w:val="auto"/>
          <w:vertAlign w:val="superscript"/>
        </w:rPr>
      </w:pPr>
    </w:p>
    <w:p>
      <w:pPr>
        <w:ind w:left="660" w:right="480" w:hanging="652"/>
        <w:spacing w:after="0" w:line="214"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Adjusted EBITDA includes Other expense, net adjusted for selected items impacting comparability (“Adjusted Other income/(expense), net”). Segment adjusted EBITDA does not include Adjusted Other income/(expense), net.</w:t>
      </w:r>
    </w:p>
    <w:p>
      <w:pPr>
        <w:spacing w:after="0" w:line="49"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98" w:lineRule="exact"/>
        <w:rPr>
          <w:rFonts w:ascii="Arial" w:cs="Arial" w:eastAsia="Arial" w:hAnsi="Arial"/>
          <w:sz w:val="24"/>
          <w:szCs w:val="24"/>
          <w:color w:val="auto"/>
          <w:vertAlign w:val="superscript"/>
        </w:rPr>
      </w:pPr>
    </w:p>
    <w:p>
      <w:pPr>
        <w:ind w:left="660" w:right="20" w:hanging="652"/>
        <w:spacing w:after="0" w:line="214"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94" w:lineRule="exact"/>
        <w:rPr>
          <w:rFonts w:ascii="Arial" w:cs="Arial" w:eastAsia="Arial" w:hAnsi="Arial"/>
          <w:sz w:val="25"/>
          <w:szCs w:val="25"/>
          <w:color w:val="auto"/>
          <w:vertAlign w:val="superscript"/>
        </w:rPr>
      </w:pPr>
    </w:p>
    <w:p>
      <w:pPr>
        <w:ind w:left="660" w:right="420" w:hanging="652"/>
        <w:spacing w:after="0" w:line="216"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gains or losses on significant asset sales) and cash distributions received from such entities.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Cash distributions paid during the period presented.</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652"/>
        <w:spacing w:after="0" w:line="273" w:lineRule="auto"/>
        <w:tabs>
          <w:tab w:leader="none" w:pos="6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No cash distributions were paid to our preferred unitholders during the periods presented. The current $0.5250 quarterly ($2.10 annualized) per unit distribution requirement of our Series A preferred units was paid-in-kind for each quarterly distribution from their issuance through February 2018; as such, no Series A preferred unit distributions are included for any periods presented. Distributions on our Series A preferred units will be paid in cash beginning with the May 2018 quarterly distribution. The current $61.25 per unit annual distribution requirement of our Series B preferred units, which were issued in October 2017, is payable semi-annually in arrears on May 15 and November 15. See Note 11 to our Consolidated Financial Statements included in Part IV of our 2017 Annual Report on Form 10-K for additional information regarding our preferred units.</w:t>
      </w:r>
    </w:p>
    <w:p>
      <w:pPr>
        <w:spacing w:after="0" w:line="70" w:lineRule="exact"/>
        <w:rPr>
          <w:rFonts w:ascii="Arial" w:cs="Arial" w:eastAsia="Arial" w:hAnsi="Arial"/>
          <w:sz w:val="22"/>
          <w:szCs w:val="22"/>
          <w:color w:val="auto"/>
          <w:vertAlign w:val="superscript"/>
        </w:rPr>
      </w:pPr>
    </w:p>
    <w:p>
      <w:pPr>
        <w:ind w:left="660" w:right="340" w:hanging="652"/>
        <w:spacing w:after="0" w:line="252" w:lineRule="auto"/>
        <w:tabs>
          <w:tab w:leader="none" w:pos="6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Excess DCF is retained to establish reserves for future distributions, capital expenditures and other partnership purposes. DCF shortages may be funded from previously established reserves, cash on hand or from borrowings under our credit facilities or commercial paper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and gains or losses on significant asset sales of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13 to our Condensed Consolidated Financial Statements for a reconciliation of segment adjusted EBITDA to net income.</w:t>
      </w:r>
    </w:p>
    <w:p>
      <w:pPr>
        <w:spacing w:after="0" w:line="7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5"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29"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80" w:type="dxa"/>
            <w:vAlign w:val="bottom"/>
          </w:tcPr>
          <w:p>
            <w:pPr>
              <w:spacing w:after="0"/>
              <w:rPr>
                <w:sz w:val="14"/>
                <w:szCs w:val="14"/>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46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42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4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84"/>
        </w:trPr>
        <w:tc>
          <w:tcPr>
            <w:tcW w:w="6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2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 of unconsolidated entities</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Gains from derivative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6420" w:type="dxa"/>
            <w:vAlign w:val="bottom"/>
            <w:gridSpan w:val="2"/>
          </w:tcPr>
          <w:p>
            <w:pPr>
              <w:ind w:left="200"/>
              <w:spacing w:after="0"/>
              <w:rPr>
                <w:sz w:val="20"/>
                <w:szCs w:val="20"/>
                <w:color w:val="auto"/>
              </w:rPr>
            </w:pPr>
            <w:r>
              <w:rPr>
                <w:rFonts w:ascii="Arial" w:cs="Arial" w:eastAsia="Arial" w:hAnsi="Arial"/>
                <w:sz w:val="18"/>
                <w:szCs w:val="18"/>
                <w:color w:val="auto"/>
              </w:rPr>
              <w:t>Deficiencies under minimum volume commitments, net</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20" w:type="dxa"/>
            <w:vAlign w:val="bottom"/>
            <w:gridSpan w:val="2"/>
          </w:tcPr>
          <w:p>
            <w:pPr>
              <w:ind w:left="200"/>
              <w:spacing w:after="0"/>
              <w:rPr>
                <w:sz w:val="20"/>
                <w:szCs w:val="20"/>
                <w:color w:val="auto"/>
              </w:rPr>
            </w:pPr>
            <w:r>
              <w:rPr>
                <w:rFonts w:ascii="Arial" w:cs="Arial" w:eastAsia="Arial" w:hAnsi="Arial"/>
                <w:sz w:val="18"/>
                <w:szCs w:val="18"/>
                <w:color w:val="auto"/>
              </w:rPr>
              <w:t>Significant acquisition-related expenses</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Maintenance capital</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20" w:type="dxa"/>
            <w:vAlign w:val="bottom"/>
            <w:gridSpan w:val="2"/>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67"/>
        </w:trPr>
        <w:tc>
          <w:tcPr>
            <w:tcW w:w="63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adjusted EBITDA per barrel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80" w:type="dxa"/>
            <w:vAlign w:val="bottom"/>
          </w:tcPr>
          <w:p>
            <w:pPr>
              <w:spacing w:after="0"/>
              <w:rPr>
                <w:sz w:val="24"/>
                <w:szCs w:val="24"/>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24"/>
                <w:szCs w:val="24"/>
                <w:color w:val="auto"/>
              </w:rPr>
            </w:pPr>
          </w:p>
        </w:tc>
        <w:tc>
          <w:tcPr>
            <w:tcW w:w="146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42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2"/>
                <w:szCs w:val="12"/>
                <w:b w:val="1"/>
                <w:bCs w:val="1"/>
                <w:color w:val="auto"/>
              </w:rPr>
              <w:t>(4)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Tariff activities volumes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gridSpan w:val="2"/>
          </w:tcPr>
          <w:p>
            <w:pPr>
              <w:ind w:left="200"/>
              <w:spacing w:after="0"/>
              <w:rPr>
                <w:sz w:val="20"/>
                <w:szCs w:val="20"/>
                <w:color w:val="auto"/>
              </w:rPr>
            </w:pPr>
            <w:r>
              <w:rPr>
                <w:rFonts w:ascii="Arial" w:cs="Arial" w:eastAsia="Arial" w:hAnsi="Arial"/>
                <w:sz w:val="18"/>
                <w:szCs w:val="18"/>
                <w:color w:val="auto"/>
              </w:rPr>
              <w:t>Crude oil pipelines (by region):</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(5)</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70"/>
        </w:trPr>
        <w:tc>
          <w:tcPr>
            <w:tcW w:w="6420" w:type="dxa"/>
            <w:vAlign w:val="bottom"/>
            <w:gridSpan w:val="2"/>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(5)</w:t>
            </w:r>
          </w:p>
        </w:tc>
        <w:tc>
          <w:tcPr>
            <w:tcW w:w="280" w:type="dxa"/>
            <w:vAlign w:val="bottom"/>
          </w:tcPr>
          <w:p>
            <w:pPr>
              <w:spacing w:after="0"/>
              <w:rPr>
                <w:sz w:val="23"/>
                <w:szCs w:val="23"/>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70"/>
        </w:trPr>
        <w:tc>
          <w:tcPr>
            <w:tcW w:w="64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(5)</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6420" w:type="dxa"/>
            <w:vAlign w:val="bottom"/>
            <w:gridSpan w:val="2"/>
          </w:tcPr>
          <w:p>
            <w:pPr>
              <w:ind w:left="360"/>
              <w:spacing w:after="0"/>
              <w:rPr>
                <w:sz w:val="20"/>
                <w:szCs w:val="20"/>
                <w:color w:val="auto"/>
              </w:rPr>
            </w:pPr>
            <w:r>
              <w:rPr>
                <w:rFonts w:ascii="Arial" w:cs="Arial" w:eastAsia="Arial" w:hAnsi="Arial"/>
                <w:sz w:val="18"/>
                <w:szCs w:val="18"/>
                <w:color w:val="auto"/>
              </w:rPr>
              <w:t>Gulf Coast</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gridSpan w:val="2"/>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(5)</w:t>
            </w: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420" w:type="dxa"/>
            <w:vAlign w:val="bottom"/>
            <w:gridSpan w:val="2"/>
          </w:tcPr>
          <w:p>
            <w:pPr>
              <w:ind w:left="360"/>
              <w:spacing w:after="0"/>
              <w:rPr>
                <w:sz w:val="20"/>
                <w:szCs w:val="20"/>
                <w:color w:val="auto"/>
              </w:rPr>
            </w:pPr>
            <w:r>
              <w:rPr>
                <w:rFonts w:ascii="Arial" w:cs="Arial" w:eastAsia="Arial" w:hAnsi="Arial"/>
                <w:sz w:val="18"/>
                <w:szCs w:val="18"/>
                <w:color w:val="auto"/>
              </w:rPr>
              <w:t>Western</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6420" w:type="dxa"/>
            <w:vAlign w:val="bottom"/>
            <w:gridSpan w:val="2"/>
          </w:tcPr>
          <w:p>
            <w:pPr>
              <w:ind w:left="200"/>
              <w:spacing w:after="0"/>
              <w:rPr>
                <w:sz w:val="20"/>
                <w:szCs w:val="20"/>
                <w:color w:val="auto"/>
              </w:rPr>
            </w:pPr>
            <w:r>
              <w:rPr>
                <w:rFonts w:ascii="Arial" w:cs="Arial" w:eastAsia="Arial" w:hAnsi="Arial"/>
                <w:sz w:val="18"/>
                <w:szCs w:val="18"/>
                <w:color w:val="auto"/>
              </w:rPr>
              <w:t>Crude oil pipelines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4,460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NGL pipelines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Tariff activities total volumes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Trucking volumes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Transportation segment total volumes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5,328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ectPr>
          <w:pgSz w:w="11900" w:h="16838" w:orient="portrait"/>
          <w:cols w:equalWidth="0" w:num="1">
            <w:col w:w="11420"/>
          </w:cols>
          <w:pgMar w:left="240" w:top="125" w:right="239" w:bottom="1440" w:gutter="0" w:footer="0" w:header="0"/>
        </w:sect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580" w:hanging="652"/>
        <w:spacing w:after="0" w:line="216"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72"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Average daily volumes are calculated as the total volumes (attributable to our interest) for the period divided by the number of days in the period.</w:t>
      </w:r>
    </w:p>
    <w:p>
      <w:pPr>
        <w:spacing w:after="0" w:line="98" w:lineRule="exact"/>
        <w:rPr>
          <w:rFonts w:ascii="Arial" w:cs="Arial" w:eastAsia="Arial" w:hAnsi="Arial"/>
          <w:sz w:val="22"/>
          <w:szCs w:val="22"/>
          <w:color w:val="auto"/>
          <w:vertAlign w:val="superscript"/>
        </w:rPr>
      </w:pPr>
    </w:p>
    <w:p>
      <w:pPr>
        <w:ind w:left="660" w:hanging="652"/>
        <w:spacing w:after="0" w:line="188"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Region includes volumes (attributable to our interest) from pipelines owned by unconsolidated entities.</w:t>
      </w:r>
    </w:p>
    <w:p>
      <w:pPr>
        <w:spacing w:after="0" w:line="20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 As is common in the pipeline transportation industry, our tariffs incorporate a loss allowance factor. We recognize the allowance volumes collected at fair value.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Transportation segment operating results for the periods indicated.</w:t>
      </w:r>
    </w:p>
    <w:p>
      <w:pPr>
        <w:spacing w:after="0" w:line="225" w:lineRule="exact"/>
        <w:rPr>
          <w:sz w:val="20"/>
          <w:szCs w:val="20"/>
          <w:color w:val="auto"/>
        </w:rPr>
      </w:pPr>
    </w:p>
    <w:p>
      <w:pPr>
        <w:ind w:right="540" w:firstLine="693"/>
        <w:spacing w:after="0" w:line="342" w:lineRule="auto"/>
        <w:rPr>
          <w:sz w:val="20"/>
          <w:szCs w:val="20"/>
          <w:color w:val="auto"/>
        </w:rPr>
      </w:pPr>
      <w:r>
        <w:rPr>
          <w:rFonts w:ascii="Arial" w:cs="Arial" w:eastAsia="Arial" w:hAnsi="Arial"/>
          <w:sz w:val="16"/>
          <w:szCs w:val="16"/>
          <w:i w:val="1"/>
          <w:iCs w:val="1"/>
          <w:color w:val="auto"/>
        </w:rPr>
        <w:t xml:space="preserve">Revenues, Purchases and Related Costs, Equity Earnings in Unconsolidated Entities and Volumes. </w:t>
      </w:r>
      <w:r>
        <w:rPr>
          <w:rFonts w:ascii="Arial" w:cs="Arial" w:eastAsia="Arial" w:hAnsi="Arial"/>
          <w:sz w:val="16"/>
          <w:szCs w:val="16"/>
          <w:color w:val="auto"/>
        </w:rPr>
        <w:t>The following table presents variances in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purchases and related costs and equity earnings in unconsolidated entities by region for the comparative periods presented:</w:t>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40" w:type="dxa"/>
            <w:vAlign w:val="bottom"/>
            <w:gridSpan w:val="6"/>
          </w:tcPr>
          <w:p>
            <w:pPr>
              <w:jc w:val="center"/>
              <w:ind w:left="677"/>
              <w:spacing w:after="0"/>
              <w:rPr>
                <w:sz w:val="20"/>
                <w:szCs w:val="20"/>
                <w:color w:val="auto"/>
              </w:rPr>
            </w:pPr>
            <w:r>
              <w:rPr>
                <w:rFonts w:ascii="Arial" w:cs="Arial" w:eastAsia="Arial" w:hAnsi="Arial"/>
                <w:sz w:val="14"/>
                <w:szCs w:val="14"/>
                <w:b w:val="1"/>
                <w:bCs w:val="1"/>
                <w:color w:val="auto"/>
                <w:w w:val="94"/>
              </w:rPr>
              <w:t>Favorable/(Unfavorable) Variance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6"/>
          </w:tcPr>
          <w:p>
            <w:pPr>
              <w:jc w:val="center"/>
              <w:ind w:left="677"/>
              <w:spacing w:after="0" w:line="149" w:lineRule="exact"/>
              <w:rPr>
                <w:sz w:val="20"/>
                <w:szCs w:val="20"/>
                <w:color w:val="auto"/>
              </w:rPr>
            </w:pPr>
            <w:r>
              <w:rPr>
                <w:rFonts w:ascii="Arial" w:cs="Arial" w:eastAsia="Arial" w:hAnsi="Arial"/>
                <w:sz w:val="14"/>
                <w:szCs w:val="14"/>
                <w:b w:val="1"/>
                <w:bCs w:val="1"/>
                <w:color w:val="auto"/>
                <w:w w:val="95"/>
              </w:rPr>
              <w:t>Three Months Ended March 31,</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2018-2017</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Revenues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Purchases and</w:t>
            </w:r>
          </w:p>
        </w:tc>
        <w:tc>
          <w:tcPr>
            <w:tcW w:w="340" w:type="dxa"/>
            <w:vAlign w:val="bottom"/>
          </w:tcPr>
          <w:p>
            <w:pPr>
              <w:spacing w:after="0"/>
              <w:rPr>
                <w:sz w:val="13"/>
                <w:szCs w:val="13"/>
                <w:color w:val="auto"/>
              </w:rPr>
            </w:pPr>
          </w:p>
        </w:tc>
        <w:tc>
          <w:tcPr>
            <w:tcW w:w="980" w:type="dxa"/>
            <w:vAlign w:val="bottom"/>
          </w:tcPr>
          <w:p>
            <w:pPr>
              <w:jc w:val="right"/>
              <w:ind w:right="375"/>
              <w:spacing w:after="0" w:line="153"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Permian Basin region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South Texas / Eagle Ford region</w:t>
            </w:r>
          </w:p>
        </w:tc>
        <w:tc>
          <w:tcPr>
            <w:tcW w:w="2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Central region</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Other (including trucking and pipeline loss allowance revenue)</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variance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300" w:hanging="324"/>
        <w:spacing w:after="0" w:line="25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Permian Basin region. </w:t>
      </w:r>
      <w:r>
        <w:rPr>
          <w:rFonts w:ascii="Arial" w:cs="Arial" w:eastAsia="Arial" w:hAnsi="Arial"/>
          <w:sz w:val="18"/>
          <w:szCs w:val="18"/>
          <w:color w:val="auto"/>
        </w:rPr>
        <w:t>The increase in revenues, net of purchases and related costs, including equity earnings in unconsolidated entities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$55 million was due to (i) higher volumes of approximately 305,000 barrels per day on our gathering systems and, to a much lesser extent, a full quarter of operations for the ACC system which was acquired in February 2017, (ii) higher volumes of approximately 310,000 barrels per day on our intra-basin pipelines and (iii) a volume increase of approximately 160,000 barrels per day on our long-haul pipelines, including our 50% equity interest in BridgeTex.</w:t>
      </w:r>
    </w:p>
    <w:p>
      <w:pPr>
        <w:spacing w:after="0" w:line="188"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South Texas / Eagle Ford region. </w:t>
      </w:r>
      <w:r>
        <w:rPr>
          <w:rFonts w:ascii="Arial" w:cs="Arial" w:eastAsia="Arial" w:hAnsi="Arial"/>
          <w:sz w:val="18"/>
          <w:szCs w:val="18"/>
          <w:color w:val="auto"/>
        </w:rPr>
        <w:t>Equity earnings from our 50% interest in Eagle Ford Pipeline LLC increased over the periods 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volumes from our Cactus pipeline.</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Equity earnings increased from our 50% interest in Diamond Pipeline LLC, which placed the joint venture pipeline in service in</w:t>
      </w:r>
      <w:r>
        <w:rPr>
          <w:rFonts w:ascii="Arial" w:cs="Arial" w:eastAsia="Arial" w:hAnsi="Arial"/>
          <w:sz w:val="18"/>
          <w:szCs w:val="18"/>
          <w:i w:val="1"/>
          <w:iCs w:val="1"/>
          <w:color w:val="auto"/>
        </w:rPr>
        <w:t xml:space="preserve"> </w:t>
      </w:r>
      <w:r>
        <w:rPr>
          <w:rFonts w:ascii="Arial" w:cs="Arial" w:eastAsia="Arial" w:hAnsi="Arial"/>
          <w:sz w:val="18"/>
          <w:szCs w:val="18"/>
          <w:color w:val="auto"/>
        </w:rPr>
        <w:t>late 2017.</w:t>
      </w:r>
    </w:p>
    <w:p>
      <w:pPr>
        <w:spacing w:after="0" w:line="170" w:lineRule="exact"/>
        <w:rPr>
          <w:rFonts w:ascii="Arial" w:cs="Arial" w:eastAsia="Arial" w:hAnsi="Arial"/>
          <w:sz w:val="18"/>
          <w:szCs w:val="18"/>
          <w:color w:val="auto"/>
        </w:rPr>
      </w:pPr>
    </w:p>
    <w:p>
      <w:pPr>
        <w:ind w:left="980" w:right="400" w:hanging="324"/>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Increased revenue associated with greater pipeline loss allowance volumes was more than offset by (i) the sale of non-core assets in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2017 in our Rocky Mountain region, (ii) decreased volumes on the Capline pipeline, primarily due to the Diamond Pipeline joint venture discussed above, and (iii) a decrease in truck volumes in Canada.</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increase in field operating costs for the three months ended March 31, 2018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2017 was primarily due to an increase in power costs resulting from higher volumes and, to a much lesser extent, a full quarter of operations from the ACC gathering system acquired in February 2017.</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25"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for crude oil, NGL and natural gas, as well as NGL fractionation and isomerization services and natural gas and condensate processing services. The Facilities segment generates revenue through a combination of month-to-month and multi-year agreements.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80" w:type="dxa"/>
            <w:vAlign w:val="bottom"/>
          </w:tcPr>
          <w:p>
            <w:pPr>
              <w:spacing w:after="0"/>
              <w:rPr>
                <w:sz w:val="14"/>
                <w:szCs w:val="14"/>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46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42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4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84"/>
        </w:trPr>
        <w:tc>
          <w:tcPr>
            <w:tcW w:w="6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(Gains)/losses from derivative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20" w:type="dxa"/>
            <w:vAlign w:val="bottom"/>
            <w:gridSpan w:val="2"/>
          </w:tcPr>
          <w:p>
            <w:pPr>
              <w:ind w:left="200"/>
              <w:spacing w:after="0"/>
              <w:rPr>
                <w:sz w:val="20"/>
                <w:szCs w:val="20"/>
                <w:color w:val="auto"/>
              </w:rPr>
            </w:pPr>
            <w:r>
              <w:rPr>
                <w:rFonts w:ascii="Arial" w:cs="Arial" w:eastAsia="Arial" w:hAnsi="Arial"/>
                <w:sz w:val="18"/>
                <w:szCs w:val="18"/>
                <w:color w:val="auto"/>
              </w:rPr>
              <w:t>Deficiencies under minimum volume commitments, net</w:t>
            </w: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4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1"/>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Segment adjusted EBITDA per barrel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24"/>
                <w:szCs w:val="24"/>
                <w:color w:val="auto"/>
              </w:rPr>
            </w:pPr>
          </w:p>
        </w:tc>
        <w:tc>
          <w:tcPr>
            <w:tcW w:w="146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2"/>
                <w:szCs w:val="12"/>
                <w:b w:val="1"/>
                <w:bCs w:val="1"/>
                <w:color w:val="auto"/>
              </w:rPr>
              <w:t>(4)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Liquids storage (average monthly capacity in millions of barrels)</w:t>
            </w: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6420" w:type="dxa"/>
            <w:vAlign w:val="bottom"/>
            <w:tcBorders>
              <w:bottom w:val="single" w:sz="8" w:color="CCEEFF"/>
            </w:tcBorders>
            <w:gridSpan w:val="2"/>
          </w:tcPr>
          <w:p>
            <w:pPr>
              <w:ind w:left="40"/>
              <w:spacing w:after="0" w:line="257" w:lineRule="exact"/>
              <w:rPr>
                <w:sz w:val="20"/>
                <w:szCs w:val="20"/>
                <w:color w:val="auto"/>
              </w:rPr>
            </w:pPr>
            <w:r>
              <w:rPr>
                <w:rFonts w:ascii="Arial" w:cs="Arial" w:eastAsia="Arial" w:hAnsi="Arial"/>
                <w:sz w:val="18"/>
                <w:szCs w:val="18"/>
                <w:color w:val="auto"/>
                <w:w w:val="97"/>
              </w:rPr>
              <w:t xml:space="preserve">Natural gas storage (average monthly working capacity in billions of cubic feet) </w:t>
            </w:r>
            <w:r>
              <w:rPr>
                <w:rFonts w:ascii="Arial" w:cs="Arial" w:eastAsia="Arial" w:hAnsi="Arial"/>
                <w:sz w:val="25"/>
                <w:szCs w:val="25"/>
                <w:color w:val="auto"/>
                <w:w w:val="97"/>
                <w:vertAlign w:val="superscript"/>
              </w:rPr>
              <w:t>(5)</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4"/>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420" w:type="dxa"/>
            <w:vAlign w:val="bottom"/>
            <w:gridSpan w:val="2"/>
          </w:tcPr>
          <w:p>
            <w:pPr>
              <w:ind w:left="40"/>
              <w:spacing w:after="0" w:line="257" w:lineRule="exact"/>
              <w:rPr>
                <w:sz w:val="20"/>
                <w:szCs w:val="20"/>
                <w:color w:val="auto"/>
              </w:rPr>
            </w:pPr>
            <w:r>
              <w:rPr>
                <w:rFonts w:ascii="Arial" w:cs="Arial" w:eastAsia="Arial" w:hAnsi="Arial"/>
                <w:sz w:val="18"/>
                <w:szCs w:val="18"/>
                <w:color w:val="auto"/>
                <w:w w:val="95"/>
              </w:rPr>
              <w:t xml:space="preserve">Facilities segment total volumes (average monthly volumes in millions of barrels) </w:t>
            </w:r>
            <w:r>
              <w:rPr>
                <w:rFonts w:ascii="Arial" w:cs="Arial" w:eastAsia="Arial" w:hAnsi="Arial"/>
                <w:sz w:val="25"/>
                <w:szCs w:val="25"/>
                <w:color w:val="auto"/>
                <w:w w:val="95"/>
                <w:vertAlign w:val="superscript"/>
              </w:rPr>
              <w:t>(6)</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Revenues and costs and expenses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3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Average monthly volumes are calculated as total volumes for the period divided by the number of months in the period.</w:t>
      </w:r>
    </w:p>
    <w:p>
      <w:pPr>
        <w:spacing w:after="0" w:line="98" w:lineRule="exact"/>
        <w:rPr>
          <w:rFonts w:ascii="Arial" w:cs="Arial" w:eastAsia="Arial" w:hAnsi="Arial"/>
          <w:sz w:val="25"/>
          <w:szCs w:val="25"/>
          <w:color w:val="auto"/>
          <w:vertAlign w:val="superscript"/>
        </w:rPr>
      </w:pPr>
    </w:p>
    <w:p>
      <w:pPr>
        <w:ind w:left="660" w:right="20" w:hanging="652"/>
        <w:spacing w:after="0" w:line="225"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The decrease in average monthly working capacity of natural gas storage facilities was driven by adjustments for (i) the sale of our Bluewater natural gas storage facility in June 2017, (ii) changes in base gas and (iii) the net capacity change between capacity additions from fill and dewater operations and capacity losses from salt creep.</w:t>
      </w:r>
    </w:p>
    <w:p>
      <w:pPr>
        <w:spacing w:after="0" w:line="94" w:lineRule="exact"/>
        <w:rPr>
          <w:rFonts w:ascii="Arial" w:cs="Arial" w:eastAsia="Arial" w:hAnsi="Arial"/>
          <w:sz w:val="25"/>
          <w:szCs w:val="25"/>
          <w:color w:val="auto"/>
          <w:vertAlign w:val="superscript"/>
        </w:rPr>
      </w:pPr>
    </w:p>
    <w:p>
      <w:pPr>
        <w:ind w:left="660" w:right="360" w:hanging="652"/>
        <w:spacing w:after="0" w:line="262" w:lineRule="auto"/>
        <w:tabs>
          <w:tab w:leader="none" w:pos="66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Facilities segment operating results for the periods indicated.</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revenues, purchases and related costs and average monthly volumes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comparative periods were driven by:</w:t>
      </w:r>
    </w:p>
    <w:p>
      <w:pPr>
        <w:spacing w:after="0" w:line="170" w:lineRule="exact"/>
        <w:rPr>
          <w:sz w:val="20"/>
          <w:szCs w:val="20"/>
          <w:color w:val="auto"/>
        </w:rPr>
      </w:pPr>
    </w:p>
    <w:p>
      <w:pPr>
        <w:jc w:val="both"/>
        <w:ind w:left="98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Revenues increased by $12 million primarily due to (i) increased fees associated with placing an additional 1.6 million barrels</w:t>
      </w:r>
      <w:r>
        <w:rPr>
          <w:rFonts w:ascii="Arial" w:cs="Arial" w:eastAsia="Arial" w:hAnsi="Arial"/>
          <w:sz w:val="18"/>
          <w:szCs w:val="18"/>
          <w:i w:val="1"/>
          <w:iCs w:val="1"/>
          <w:color w:val="auto"/>
        </w:rPr>
        <w:t xml:space="preserve"> </w:t>
      </w:r>
      <w:r>
        <w:rPr>
          <w:rFonts w:ascii="Arial" w:cs="Arial" w:eastAsia="Arial" w:hAnsi="Arial"/>
          <w:sz w:val="18"/>
          <w:szCs w:val="18"/>
          <w:color w:val="auto"/>
        </w:rPr>
        <w:t>of NGL storage capacity into service in the second half of 2017 at our Fort Saskatchewan facility, (ii) higher volumetric gains at certain facilities in the 2018 period and (iii) a favorable foreign exchange impact of approximately $5 million.</w:t>
      </w:r>
    </w:p>
    <w:p>
      <w:pPr>
        <w:spacing w:after="0" w:line="181"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Rail Terminals. </w:t>
      </w:r>
      <w:r>
        <w:rPr>
          <w:rFonts w:ascii="Arial" w:cs="Arial" w:eastAsia="Arial" w:hAnsi="Arial"/>
          <w:sz w:val="18"/>
          <w:szCs w:val="18"/>
          <w:color w:val="auto"/>
        </w:rPr>
        <w:t>Revenues increased by $8 million primarily due to higher activity at certain of our U.S. crude oil terminals and our Fort</w:t>
      </w:r>
      <w:r>
        <w:rPr>
          <w:rFonts w:ascii="Arial" w:cs="Arial" w:eastAsia="Arial" w:hAnsi="Arial"/>
          <w:sz w:val="18"/>
          <w:szCs w:val="18"/>
          <w:i w:val="1"/>
          <w:iCs w:val="1"/>
          <w:color w:val="auto"/>
        </w:rPr>
        <w:t xml:space="preserve"> </w:t>
      </w:r>
      <w:r>
        <w:rPr>
          <w:rFonts w:ascii="Arial" w:cs="Arial" w:eastAsia="Arial" w:hAnsi="Arial"/>
          <w:sz w:val="18"/>
          <w:szCs w:val="18"/>
          <w:color w:val="auto"/>
        </w:rPr>
        <w:t>Saskatchewan NGL terminal resulting from more favorable market conditions.</w:t>
      </w:r>
    </w:p>
    <w:p>
      <w:pPr>
        <w:spacing w:after="0" w:line="170"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Crude Oil Storage. </w:t>
      </w:r>
      <w:r>
        <w:rPr>
          <w:rFonts w:ascii="Arial" w:cs="Arial" w:eastAsia="Arial" w:hAnsi="Arial"/>
          <w:sz w:val="18"/>
          <w:szCs w:val="18"/>
          <w:color w:val="auto"/>
        </w:rPr>
        <w:t>Revenues decreased by $8 million primarily due to the sale of certain of our Bay Area, California terminal assets in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2017, partially offset by higher revenues from our Cushing terminal largely driven by capacity expansions of approximately 2 million barrels.</w:t>
      </w:r>
    </w:p>
    <w:p>
      <w:pPr>
        <w:spacing w:after="0" w:line="181" w:lineRule="exact"/>
        <w:rPr>
          <w:rFonts w:ascii="Arial" w:cs="Arial" w:eastAsia="Arial" w:hAnsi="Arial"/>
          <w:sz w:val="18"/>
          <w:szCs w:val="18"/>
          <w:color w:val="auto"/>
        </w:rPr>
      </w:pPr>
    </w:p>
    <w:p>
      <w:pPr>
        <w:jc w:val="both"/>
        <w:ind w:left="980" w:right="52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Natural Gas Storage</w:t>
      </w:r>
      <w:r>
        <w:rPr>
          <w:rFonts w:ascii="Arial" w:cs="Arial" w:eastAsia="Arial" w:hAnsi="Arial"/>
          <w:sz w:val="18"/>
          <w:szCs w:val="18"/>
          <w:color w:val="auto"/>
        </w:rPr>
        <w:t>. Revenues, net of purchases and related costs, decreased by $7 million due primarily to (i) the June 2017 sale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Bluewater natural gas storage facility and (ii) the absence of a one-time fee recognized during the first quarter of 2017 related to the early termination of a storage contract at our Pine Prairie facility.</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Maintenance capital consists of capital expenditures for the replacement and/or refurbishment of partially or fully depreciated</w:t>
      </w:r>
      <w:r>
        <w:rPr>
          <w:rFonts w:ascii="Arial" w:cs="Arial" w:eastAsia="Arial" w:hAnsi="Arial"/>
          <w:sz w:val="16"/>
          <w:szCs w:val="16"/>
          <w:i w:val="1"/>
          <w:iCs w:val="1"/>
          <w:color w:val="auto"/>
        </w:rPr>
        <w:t xml:space="preserve"> </w:t>
      </w:r>
      <w:r>
        <w:rPr>
          <w:rFonts w:ascii="Arial" w:cs="Arial" w:eastAsia="Arial" w:hAnsi="Arial"/>
          <w:sz w:val="16"/>
          <w:szCs w:val="16"/>
          <w:color w:val="auto"/>
        </w:rPr>
        <w:t>assets in order to maintain the operating and/or earnings capacity of our existing assets. The decrease in maintenance capital for the three months ended March 31, 2018 compared to the same period in 2017 was primarily due to higher expenditures related to our integrity management program in the first quarter of 2017, primarily on assets at our Southern California terminals. Total maintenance costs related to our integrity management program at these terminals decreased by approximately $13 million for the three months ended March 31, 2018 compared to the same period in 2017. We expect to continue to see significant reductions to our maintenance capital costs compared to 2017 at these terminals going forward.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revenues from supply and logistics activities reflect the sale of gathered and bulk-purchased crude oil, as well as sales of NGL volumes and natural gas sales attributable to activities that were previously performed by the natural gas storage commercial optimization group. Generally, our segment results are impacted by (i) increases or decreases in our Supply and Logistics segment volumes (which consist of lease gathering crude oil purchases volumes and NGL sales volumes), (ii) the effects of competition on our lease gathering and NGL margins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Although our segment results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market structure and relative fluctuations in market-related indices and regional differentials.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2"/>
                <w:szCs w:val="12"/>
                <w:b w:val="1"/>
                <w:bCs w:val="1"/>
                <w:color w:val="auto"/>
              </w:rPr>
              <w:t>(1)</w:t>
            </w:r>
          </w:p>
        </w:tc>
        <w:tc>
          <w:tcPr>
            <w:tcW w:w="280" w:type="dxa"/>
            <w:vAlign w:val="bottom"/>
          </w:tcPr>
          <w:p>
            <w:pPr>
              <w:spacing w:after="0"/>
              <w:rPr>
                <w:sz w:val="14"/>
                <w:szCs w:val="14"/>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46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42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0"/>
        </w:trPr>
        <w:tc>
          <w:tcPr>
            <w:tcW w:w="64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84"/>
        </w:trPr>
        <w:tc>
          <w:tcPr>
            <w:tcW w:w="6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2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(3)</w:t>
            </w: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Gains from derivative activities net of inventory valuation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20" w:type="dxa"/>
            <w:vAlign w:val="bottom"/>
            <w:gridSpan w:val="2"/>
          </w:tcPr>
          <w:p>
            <w:pPr>
              <w:ind w:left="200"/>
              <w:spacing w:after="0"/>
              <w:rPr>
                <w:sz w:val="20"/>
                <w:szCs w:val="20"/>
                <w:color w:val="auto"/>
              </w:rPr>
            </w:pPr>
            <w:r>
              <w:rPr>
                <w:rFonts w:ascii="Arial" w:cs="Arial" w:eastAsia="Arial" w:hAnsi="Arial"/>
                <w:sz w:val="18"/>
                <w:szCs w:val="18"/>
                <w:color w:val="auto"/>
              </w:rPr>
              <w:t>Long-term inventory costing adjustments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20" w:type="dxa"/>
            <w:vAlign w:val="bottom"/>
            <w:gridSpan w:val="2"/>
          </w:tcPr>
          <w:p>
            <w:pPr>
              <w:ind w:left="200"/>
              <w:spacing w:after="0"/>
              <w:rPr>
                <w:sz w:val="20"/>
                <w:szCs w:val="20"/>
                <w:color w:val="auto"/>
              </w:rPr>
            </w:pPr>
            <w:r>
              <w:rPr>
                <w:rFonts w:ascii="Arial" w:cs="Arial" w:eastAsia="Arial" w:hAnsi="Arial"/>
                <w:sz w:val="18"/>
                <w:szCs w:val="18"/>
                <w:color w:val="auto"/>
              </w:rPr>
              <w:t>Net (gain)/loss on foreign currency revaluation</w:t>
            </w: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
        </w:trPr>
        <w:tc>
          <w:tcPr>
            <w:tcW w:w="64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4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Maintenance capital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1"/>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adjusted EBITDA per barrel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Daily Volumes</w:t>
            </w:r>
          </w:p>
        </w:tc>
        <w:tc>
          <w:tcPr>
            <w:tcW w:w="280" w:type="dxa"/>
            <w:vAlign w:val="bottom"/>
          </w:tcPr>
          <w:p>
            <w:pPr>
              <w:spacing w:after="0"/>
              <w:rPr>
                <w:sz w:val="24"/>
                <w:szCs w:val="24"/>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24"/>
                <w:szCs w:val="24"/>
                <w:color w:val="auto"/>
              </w:rPr>
            </w:pPr>
          </w:p>
        </w:tc>
        <w:tc>
          <w:tcPr>
            <w:tcW w:w="1460" w:type="dxa"/>
            <w:vAlign w:val="bottom"/>
            <w:gridSpan w:val="3"/>
            <w:vMerge w:val="restart"/>
          </w:tcPr>
          <w:p>
            <w:pPr>
              <w:ind w:left="780"/>
              <w:spacing w:after="0"/>
              <w:rPr>
                <w:sz w:val="20"/>
                <w:szCs w:val="20"/>
                <w:color w:val="auto"/>
              </w:rPr>
            </w:pPr>
            <w:r>
              <w:rPr>
                <w:rFonts w:ascii="Arial" w:cs="Arial" w:eastAsia="Arial" w:hAnsi="Arial"/>
                <w:sz w:val="14"/>
                <w:szCs w:val="14"/>
                <w:b w:val="1"/>
                <w:bCs w:val="1"/>
                <w:color w:val="auto"/>
              </w:rPr>
              <w:t>Variance</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42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of barrels per day)</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Crude oil lease gathering purchases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NGL sales</w:t>
            </w: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 segment total volumes</w:t>
            </w: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Indicates that variance as a percentage is not meaningful.</w:t>
      </w:r>
    </w:p>
    <w:p>
      <w:pPr>
        <w:spacing w:after="0" w:line="9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Revenues and costs include intersegment amounts.</w:t>
      </w:r>
    </w:p>
    <w:p>
      <w:pPr>
        <w:spacing w:after="0" w:line="98" w:lineRule="exact"/>
        <w:rPr>
          <w:rFonts w:ascii="Arial" w:cs="Arial" w:eastAsia="Arial" w:hAnsi="Arial"/>
          <w:sz w:val="25"/>
          <w:szCs w:val="25"/>
          <w:color w:val="auto"/>
          <w:vertAlign w:val="superscript"/>
        </w:rPr>
      </w:pPr>
    </w:p>
    <w:p>
      <w:pPr>
        <w:ind w:left="660" w:right="260" w:hanging="652"/>
        <w:spacing w:after="0" w:line="246" w:lineRule="auto"/>
        <w:tabs>
          <w:tab w:leader="none" w:pos="660"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41" w:lineRule="exact"/>
        <w:rPr>
          <w:rFonts w:ascii="Arial" w:cs="Arial" w:eastAsia="Arial" w:hAnsi="Arial"/>
          <w:sz w:val="22"/>
          <w:szCs w:val="22"/>
          <w:color w:val="auto"/>
          <w:vertAlign w:val="superscript"/>
        </w:rPr>
      </w:pPr>
    </w:p>
    <w:p>
      <w:pPr>
        <w:ind w:left="660" w:right="640" w:hanging="652"/>
        <w:spacing w:after="0" w:line="216" w:lineRule="auto"/>
        <w:tabs>
          <w:tab w:leader="none" w:pos="66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13 to our Condensed Consolidated Financial Statements for additional discussion of such adjustments.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range of the NYMEX WTI benchmark price of crude oil (in dollars per barrel):</w:t>
      </w:r>
    </w:p>
    <w:p>
      <w:pPr>
        <w:spacing w:after="0" w:line="163"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NYMEX WTI</w:t>
      </w:r>
    </w:p>
    <w:p>
      <w:pPr>
        <w:spacing w:after="0" w:line="4"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Crude Oil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Low</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High</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2018</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Three months ended March 31, 2017</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54</w:t>
            </w:r>
          </w:p>
        </w:tc>
      </w:tr>
    </w:tbl>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The absolute amount of our revenues and purchases increased for the three months ended March 31, 2018 compared to the same period in 2017 primarily due to higher crude oil prices. Additionally, revenues and purchases were impacted by net gains and losses from certain derivative activities during the periods.</w:t>
      </w:r>
    </w:p>
    <w:p>
      <w:pPr>
        <w:spacing w:after="0" w:line="188" w:lineRule="exact"/>
        <w:rPr>
          <w:sz w:val="20"/>
          <w:szCs w:val="20"/>
          <w:color w:val="auto"/>
        </w:rPr>
      </w:pPr>
    </w:p>
    <w:p>
      <w:pPr>
        <w:ind w:right="840" w:firstLine="648"/>
        <w:spacing w:after="0" w:line="264"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discussion of items impacting Supply and Logistics segment operating results for the periods indicated.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Segment Adjusted EBITDA and Volumes. </w:t>
      </w:r>
      <w:r>
        <w:rPr>
          <w:rFonts w:ascii="Arial" w:cs="Arial" w:eastAsia="Arial" w:hAnsi="Arial"/>
          <w:sz w:val="16"/>
          <w:szCs w:val="16"/>
          <w:color w:val="auto"/>
        </w:rPr>
        <w:t>Our Supply and Logistics Segment Adjusted EBITDA increased by $21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compared to the same period in 2017. The following summarizes the significant items impacting the comparative periods:</w:t>
      </w:r>
    </w:p>
    <w:p>
      <w:pPr>
        <w:spacing w:after="0" w:line="211" w:lineRule="exact"/>
        <w:rPr>
          <w:sz w:val="20"/>
          <w:szCs w:val="20"/>
          <w:color w:val="auto"/>
        </w:rPr>
      </w:pPr>
    </w:p>
    <w:p>
      <w:pPr>
        <w:ind w:left="980" w:right="60" w:hanging="324"/>
        <w:spacing w:after="0" w:line="286"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NGL Operations. </w:t>
      </w:r>
      <w:r>
        <w:rPr>
          <w:rFonts w:ascii="Arial" w:cs="Arial" w:eastAsia="Arial" w:hAnsi="Arial"/>
          <w:sz w:val="17"/>
          <w:szCs w:val="17"/>
          <w:color w:val="auto"/>
        </w:rPr>
        <w:t>Net revenues from our NGL operations increased for the three months ended March 31, 2018, compared to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2017, due to (i) higher sales volumes during the first-quarter 2018 heating season, primarily due to weather, (ii) modifications made to our contracting strategies in the 2017-2018 heating season and (iii) lower storage and fractionation fees for the 2018 period.</w:t>
      </w:r>
    </w:p>
    <w:p>
      <w:pPr>
        <w:spacing w:after="0" w:line="165" w:lineRule="exact"/>
        <w:rPr>
          <w:rFonts w:ascii="Arial" w:cs="Arial" w:eastAsia="Arial" w:hAnsi="Arial"/>
          <w:sz w:val="17"/>
          <w:szCs w:val="17"/>
          <w:color w:val="auto"/>
        </w:rPr>
      </w:pPr>
    </w:p>
    <w:p>
      <w:pPr>
        <w:ind w:left="980" w:right="120" w:hanging="324"/>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Crude Oil Operations. </w:t>
      </w:r>
      <w:r>
        <w:rPr>
          <w:rFonts w:ascii="Arial" w:cs="Arial" w:eastAsia="Arial" w:hAnsi="Arial"/>
          <w:sz w:val="18"/>
          <w:szCs w:val="18"/>
          <w:color w:val="auto"/>
        </w:rPr>
        <w:t>Net revenues from our crude oil supply and logistics operations increased slightly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as compared to the same period in 2017 primarily due to arbitrage opportunities in certain markets during 2018. Such results were substantially offset by lower lease gathering margins as a result of competition for wellhead volumes.</w:t>
      </w:r>
    </w:p>
    <w:p>
      <w:pPr>
        <w:spacing w:after="0" w:line="181" w:lineRule="exact"/>
        <w:rPr>
          <w:rFonts w:ascii="Arial" w:cs="Arial" w:eastAsia="Arial" w:hAnsi="Arial"/>
          <w:sz w:val="18"/>
          <w:szCs w:val="18"/>
          <w:color w:val="auto"/>
        </w:rPr>
      </w:pPr>
    </w:p>
    <w:p>
      <w:pPr>
        <w:ind w:left="980" w:right="80" w:hanging="324"/>
        <w:spacing w:after="0" w:line="255" w:lineRule="auto"/>
        <w:tabs>
          <w:tab w:leader="none" w:pos="98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Impact from Certain Derivative Activities Net of Inventory Valuation Adjustments. </w:t>
      </w:r>
      <w:r>
        <w:rPr>
          <w:rFonts w:ascii="Arial" w:cs="Arial" w:eastAsia="Arial" w:hAnsi="Arial"/>
          <w:sz w:val="18"/>
          <w:szCs w:val="18"/>
          <w:color w:val="auto"/>
        </w:rPr>
        <w:t>The impact from certain derivative activities on our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includes mark-to-market and other gains and losses resulting from certain derivative instruments that are related to underlying activities in another period (or the reversal of mark-to-market gains and losses from a prior period) and inventory valuation adjustments, as applicable. See Note 10 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193" w:lineRule="exact"/>
        <w:rPr>
          <w:rFonts w:ascii="Arial" w:cs="Arial" w:eastAsia="Arial" w:hAnsi="Arial"/>
          <w:sz w:val="18"/>
          <w:szCs w:val="18"/>
          <w:i w:val="1"/>
          <w:iCs w:val="1"/>
          <w:color w:val="auto"/>
        </w:rPr>
      </w:pPr>
    </w:p>
    <w:p>
      <w:pPr>
        <w:ind w:left="980" w:hanging="324"/>
        <w:spacing w:after="0" w:line="255"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Inventory Costing Adjustments. </w:t>
      </w:r>
      <w:r>
        <w:rPr>
          <w:rFonts w:ascii="Arial" w:cs="Arial" w:eastAsia="Arial" w:hAnsi="Arial"/>
          <w:sz w:val="18"/>
          <w:szCs w:val="18"/>
          <w:color w:val="auto"/>
        </w:rPr>
        <w:t>Our net revenues are impacted by changes in the weighted average cost of our crude oil and NGL</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193" w:lineRule="exact"/>
        <w:rPr>
          <w:rFonts w:ascii="Arial" w:cs="Arial" w:eastAsia="Arial" w:hAnsi="Arial"/>
          <w:sz w:val="18"/>
          <w:szCs w:val="18"/>
          <w:color w:val="auto"/>
        </w:rPr>
      </w:pPr>
    </w:p>
    <w:p>
      <w:pPr>
        <w:ind w:left="980" w:right="60" w:hanging="324"/>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Impacts. </w:t>
      </w:r>
      <w:r>
        <w:rPr>
          <w:rFonts w:ascii="Arial" w:cs="Arial" w:eastAsia="Arial" w:hAnsi="Arial"/>
          <w:sz w:val="18"/>
          <w:szCs w:val="18"/>
          <w:color w:val="auto"/>
        </w:rPr>
        <w:t>Our net revenues are impacted by fluctuations in the value of CAD to USD, resulting in foreign exchange gains and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U.S. denominated net assets within our Canadian operations. These gains and losses impact our net revenues but are excluded from segment adjusted EBITDA and thus are reflected as an “Adjustment” in the table above.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80" w:right="260" w:hanging="324"/>
        <w:spacing w:after="0" w:line="264" w:lineRule="auto"/>
        <w:tabs>
          <w:tab w:leader="none" w:pos="98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increase in segment general and administrative expenses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 compared to the three months ended March 31, 2017 was primarily due to cost increases across various categories, including outside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Depreciation and amortization expense increased for the three months ended March 31, 2018 compared to the same period in 2017 primarily due to additional depreciation associated with acquisitions in the 2017 period and the completion of various capital expansion projects.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decrease in interest expense for the three months ended March 31, 2018 over the three months ended March 31, 2017 was primarily due to a lower weighted average debt balance during the 2018 period from the repayment of an aggregate of $950 million senior notes in December 2017.</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Expense,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expense, net (in millions):</w:t>
      </w:r>
    </w:p>
    <w:p>
      <w:pPr>
        <w:spacing w:after="0" w:line="163"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70"/>
        </w:trPr>
        <w:tc>
          <w:tcPr>
            <w:tcW w:w="9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Loss related to mark-to-market adjustment of our Preferred Distribution Rate Reset Option </w:t>
            </w:r>
            <w:r>
              <w:rPr>
                <w:rFonts w:ascii="Arial" w:cs="Arial" w:eastAsia="Arial" w:hAnsi="Arial"/>
                <w:sz w:val="25"/>
                <w:szCs w:val="25"/>
                <w:color w:val="auto"/>
                <w:vertAlign w:val="superscript"/>
              </w:rPr>
              <w:t>(1)</w:t>
            </w: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0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33"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See Note 10 to our Condensed Consolidated Financial Statements for additional information.</w:t>
      </w:r>
    </w:p>
    <w:p>
      <w:pPr>
        <w:spacing w:after="0" w:line="305" w:lineRule="exact"/>
        <w:rPr>
          <w:rFonts w:ascii="Arial" w:cs="Arial" w:eastAsia="Arial" w:hAnsi="Arial"/>
          <w:sz w:val="25"/>
          <w:szCs w:val="25"/>
          <w:color w:val="auto"/>
          <w:vertAlign w:val="superscript"/>
        </w:rPr>
      </w:pPr>
    </w:p>
    <w:p>
      <w:pPr>
        <w:ind w:left="66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Income tax expense decreased for the three months ended March 31, 2018 as compared to the three months ended March 31, 2017 primarily due to lower year-over-year income as impacted by fluctuations in derivative mark-to-market valuations in our Canadian operations, partially offset by higher taxable earnings in our Canadian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Our primary sources of liquidity are (i) cash flow from operating activities, (ii) borrowings under our credit facilities or commercial paper program and (iii) funds received from sales of equity and debt securities. In addition, we may supplement these sources of liquidity with proceeds from our divestiture program, as further discussed below in the section entitled “—Capital Expenditures and Divestitures.”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our long-term debt and (v) distributions to our unitholders.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 As of March 31, 2018, although we had a working capital deficit of $639 million, we had approximately $3.2 billion of liquidity available to meet our ongoing operating, investing and financing needs, subject to continued covenant compliance, as noted below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634"/>
              <w:spacing w:after="0"/>
              <w:rPr>
                <w:sz w:val="20"/>
                <w:szCs w:val="20"/>
                <w:color w:val="auto"/>
              </w:rPr>
            </w:pPr>
            <w:r>
              <w:rPr>
                <w:rFonts w:ascii="Arial" w:cs="Arial" w:eastAsia="Arial" w:hAnsi="Arial"/>
                <w:sz w:val="14"/>
                <w:szCs w:val="14"/>
                <w:b w:val="1"/>
                <w:bCs w:val="1"/>
                <w:color w:val="auto"/>
              </w:rPr>
              <w:t>As of</w:t>
            </w:r>
          </w:p>
        </w:tc>
      </w:tr>
      <w:tr>
        <w:trPr>
          <w:trHeight w:val="192"/>
        </w:trPr>
        <w:tc>
          <w:tcPr>
            <w:tcW w:w="9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2018</w:t>
            </w:r>
          </w:p>
        </w:tc>
      </w:tr>
      <w:tr>
        <w:trPr>
          <w:trHeight w:val="270"/>
        </w:trPr>
        <w:tc>
          <w:tcPr>
            <w:tcW w:w="97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Availability under senior unsecured revolving credit facility </w:t>
            </w:r>
            <w:r>
              <w:rPr>
                <w:rFonts w:ascii="Arial" w:cs="Arial" w:eastAsia="Arial" w:hAnsi="Arial"/>
                <w:sz w:val="25"/>
                <w:szCs w:val="25"/>
                <w:color w:val="auto"/>
                <w:vertAlign w:val="superscript"/>
              </w:rPr>
              <w:t>(1) (2)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1,188</w:t>
            </w:r>
          </w:p>
        </w:tc>
      </w:tr>
      <w:tr>
        <w:trPr>
          <w:trHeight w:val="270"/>
        </w:trPr>
        <w:tc>
          <w:tcPr>
            <w:tcW w:w="97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Availability under senior secured hedged inventory facility </w:t>
            </w:r>
            <w:r>
              <w:rPr>
                <w:rFonts w:ascii="Arial" w:cs="Arial" w:eastAsia="Arial" w:hAnsi="Arial"/>
                <w:sz w:val="25"/>
                <w:szCs w:val="25"/>
                <w:color w:val="auto"/>
                <w:vertAlign w:val="superscript"/>
              </w:rPr>
              <w:t>(1) (2)</w:t>
            </w:r>
          </w:p>
        </w:tc>
        <w:tc>
          <w:tcPr>
            <w:tcW w:w="240" w:type="dxa"/>
            <w:vAlign w:val="bottom"/>
          </w:tcPr>
          <w:p>
            <w:pPr>
              <w:spacing w:after="0"/>
              <w:rPr>
                <w:sz w:val="23"/>
                <w:szCs w:val="23"/>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1,075</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Availability under senior unsecured 364-day revolving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Amounts outstanding under commercial paper program</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9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
        </w:trPr>
        <w:tc>
          <w:tcPr>
            <w:tcW w:w="9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3,170</w:t>
            </w:r>
          </w:p>
        </w:tc>
      </w:tr>
      <w:tr>
        <w:trPr>
          <w:trHeight w:val="20"/>
        </w:trPr>
        <w:tc>
          <w:tcPr>
            <w:tcW w:w="9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20" w:hanging="652"/>
        <w:spacing w:after="0" w:line="216"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Represents availability prior to giving effect to amounts outstanding under our commercial paper program, which reduce available capacity under the facilities.</w:t>
      </w:r>
    </w:p>
    <w:p>
      <w:pPr>
        <w:spacing w:after="0" w:line="95" w:lineRule="exact"/>
        <w:rPr>
          <w:rFonts w:ascii="Arial" w:cs="Arial" w:eastAsia="Arial" w:hAnsi="Arial"/>
          <w:sz w:val="25"/>
          <w:szCs w:val="25"/>
          <w:color w:val="auto"/>
          <w:vertAlign w:val="superscript"/>
        </w:rPr>
      </w:pPr>
    </w:p>
    <w:p>
      <w:pPr>
        <w:ind w:left="660" w:right="160" w:hanging="652"/>
        <w:spacing w:after="0" w:line="216" w:lineRule="auto"/>
        <w:tabs>
          <w:tab w:leader="none" w:pos="66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Available capacity under the senior unsecured revolving credit facility and the senior secured hedged inventory facility was reduced by outstanding letters of credit of $62 million and $40 million, respectively.</w:t>
      </w:r>
    </w:p>
    <w:p>
      <w:pPr>
        <w:spacing w:after="0" w:line="203"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We believe that we have, and will continue to have, the ability to access the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our credit facilities, which provide the financial backstop for our commercial paper program, is subject to ongoing compliance with covenants. As of March 31, 2018, we were in compliance with all such covenants. Also, see Item 1A. “Risk Factors” of our 2017 Annual Report on Form 10-K for further discussion regarding such risks that may impact our liquidity and capital resources.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2017 Annual Report on Form 10-K.</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Net cash provided by operating activities for the first three months of 2018 and 2017 was $521 million and $816 million, respectively, and primarily resulted from earnings from our operations. Net cash provided by operating activities for the 2017 period was also positively impacted by a decrease in margin balances required as part of our hedging activities that were funded by short-term debt. Additionally, as discussed further below, changes in our inventory levels during these periods impacted our cash flow from operating activities.</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During the three months ended March 31, 2018, we decreased the overall volume of inventory that we held, primarily due to the seasonal sale of NGL inventory. However, the favorable effects from liquidation of such inventory were offset by increased volumes and higher prices for crude oil inventory that was purchased and stored at the end of the first quarter.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three months ended March 31, 2017, we decreased the overall volume of inventory that we held, primarily due to the seasonal sale of NGL and natural gas inventory resulting in a favorable impact on our cash provided by operating activities. However, the favorable effects from liquidation of such inventory were partially offset by higher prices for crude oil inventory that was purchased and stored at the end of the quarter due to contango market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and Divestitures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to our operating needs discussed above, we also use cash for our acquisition activities and expansion capital projects. Historically, we have financed these expenditures primarily with cash generated by operating activities and the financing activities discussed in “—Equity and Debt Financing Activities” below. In the near term, we also intend to use proceeds from our divestiture program, as discussed further below. We have made and will continue to make capital expenditures for acquisitions, expansion capital projects and maintenance activities.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Capital Projects. </w:t>
      </w:r>
      <w:r>
        <w:rPr>
          <w:rFonts w:ascii="Arial" w:cs="Arial" w:eastAsia="Arial" w:hAnsi="Arial"/>
          <w:sz w:val="18"/>
          <w:szCs w:val="18"/>
          <w:color w:val="auto"/>
        </w:rPr>
        <w:t>We invested approximately $298 million in midstream infrastructure during the three months ended March 31, 2018, and we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 approximately $1.4 billion during the full year ended December 31, 2018. See “—Acquisitions and Capital Projects” for detail of our projected capital expenditures for the year ending December 31, 2018. We expect to fund our 2018 capital program with retained cash flow and proceeds from our divestiture program, as discussed further below.</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Divestitures</w:t>
      </w:r>
      <w:r>
        <w:rPr>
          <w:rFonts w:ascii="Arial" w:cs="Arial" w:eastAsia="Arial" w:hAnsi="Arial"/>
          <w:sz w:val="18"/>
          <w:szCs w:val="18"/>
          <w:color w:val="auto"/>
        </w:rPr>
        <w:t>. In 2016, we initiated a program to evaluate potential sales of non-core assets and/or sales of partial interests in assets to strategic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partners to optimize our asset portfolio and strengthen our balance sheet and leverage metrics. As of December 31, 2017, we had completed asset sales totaling approximately $1.7 billion, of which approximately $0.6 billion closed in 2016 (net of amounts paid for the remaining interest in a pipeline that was subsequently sold) and approximately $1.1 billion closed in 2017.</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part of our funding plans for our 2018 expansion capital program, we targeted to raise an additional $700 million. During the first quarter of 2018, we received proceeds from asset sales of $83 million, and we received an additional $255 million from sales completed subsequent to quarter end through May 1, 2018. We continue to advance efforts with respect to a number of additional transactions and believe successful consummation of such efforts will enable us to meet and potentially exceed our targeted amounts for 2018. Any excess proceeds above our targeted amounts would be used to reduce debt or fund incremental expansion opportunities.</w:t>
      </w:r>
    </w:p>
    <w:p>
      <w:pPr>
        <w:spacing w:after="0" w:line="18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divestiture efforts will be successfully completed. Also, see Item 1A. “Risk Factors—Risks Related to Our Business” of our 2017 Annual Report on Form 10-K for further discussion regarding risks from our acquisitions and divestitures.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financing activities primarily relate to funding expansion capital projects, acquisitions and refinancing of our debt maturities, as well as short-term working capital (including borrowings for NYMEX and ICE margin deposits) and hedged inventory borrowings related to our NGL business and contango market activities. Our financing activities have primarily consisted of equity offerings, senior notes offerings and borrowings and repayments under our credit facilities or commercial paper program, as well as payment of distributions to our unitholders.</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Registration Statements</w:t>
      </w:r>
      <w:r>
        <w:rPr>
          <w:rFonts w:ascii="Arial" w:cs="Arial" w:eastAsia="Arial" w:hAnsi="Arial"/>
          <w:sz w:val="18"/>
          <w:szCs w:val="18"/>
          <w:color w:val="auto"/>
        </w:rPr>
        <w:t>. We periodically access the capital markets for both equity and debt financing. We have filed with the SEC a universal shelf</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that, subject to effectiveness at the time of use, allows us to issue up to an aggregate of $2.0 billion of debt or equity securities (“Traditional Shelf”). All issuances of equity securities associated with our continuous offering program have been issued pursuant to the Traditional Shelf. At March 31, 2018, we had approximately $1.1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WKSI Shelf during the three months ended March 31, 2018.</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75"/>
        <w:spacing w:after="0" w:line="276" w:lineRule="auto"/>
        <w:rPr>
          <w:sz w:val="20"/>
          <w:szCs w:val="20"/>
          <w:color w:val="auto"/>
        </w:rPr>
      </w:pPr>
      <w:r>
        <w:rPr>
          <w:rFonts w:ascii="Arial" w:cs="Arial" w:eastAsia="Arial" w:hAnsi="Arial"/>
          <w:sz w:val="17"/>
          <w:szCs w:val="17"/>
          <w:i w:val="1"/>
          <w:iCs w:val="1"/>
          <w:color w:val="auto"/>
        </w:rPr>
        <w:t xml:space="preserve">Credit Agreements, Commercial Paper Program and Indentures. </w:t>
      </w:r>
      <w:r>
        <w:rPr>
          <w:rFonts w:ascii="Arial" w:cs="Arial" w:eastAsia="Arial" w:hAnsi="Arial"/>
          <w:sz w:val="17"/>
          <w:szCs w:val="17"/>
          <w:color w:val="auto"/>
        </w:rPr>
        <w:t>Our credit agreements (which impact our ability to access our commercial paper</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because they provide the financial backstop that supports our short-term credit ratings) and the indentures governing our senior notes contain cross-default provisions. A default under our credit agreements would permit the lenders to accelerate the maturity of the outstanding debt. As long as we are in compliance with the provisions in our credit agreements, our ability to make distributions of available cash is not restricted. As of March 31, 2018, we were in compliance with the covenants contained in our credit agreements and indentures.</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During the three months ended March 31, 2018, we had net repayments on our credit facilities and commercial paper program of $156 million. The net repayments resulted primarily from cash flow from operating activities.</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During the three months ended March 31, 2017, we had net repayments on our credit facilities and commercial paper program of $352 million. The net repayments resulted primarily from cash flow from operating activities and cash received from our equity activities, which offset borrowings during the period related to funding needs for (i) acquisition and capital investments, (ii) inventory purchases and related margin balances required as part of our hedging activities, (iii) repayment of our $400 million, 6.13% senior notes in January 2017 and (iv) other general partnership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Our Unitholders</w:t>
      </w:r>
    </w:p>
    <w:p>
      <w:pPr>
        <w:spacing w:after="0" w:line="225"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i w:val="1"/>
          <w:iCs w:val="1"/>
          <w:color w:val="auto"/>
        </w:rPr>
        <w:t xml:space="preserve">Distributions to our Series A preferred unitholders. </w:t>
      </w:r>
      <w:r>
        <w:rPr>
          <w:rFonts w:ascii="Arial" w:cs="Arial" w:eastAsia="Arial" w:hAnsi="Arial"/>
          <w:sz w:val="16"/>
          <w:szCs w:val="16"/>
          <w:color w:val="auto"/>
        </w:rPr>
        <w:t>With respect to any quarter ending on or prior to December 31, 2017 (the “Initial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Period”), we were able to elect to pay distributions on our Series A preferred units in additional preferred units, in cash or a combination of both. The Initial Distribution Period ended with the February 2018 distribution; as such, with respect to any quarter ending after the Initial Distribution Period, we must pay distributions on the Series A preferred units in cash. On May 15, 2018, we will pay a cash distribution of $37 million on our Series A preferred units outstanding as of May 1, 2018, the record date for such distribution, for the period from January 1, 2018 through March 31, 2018. See Note 9 to our Condensed Consolidated Financial Statements for details of distributions made during or pertaining to the first three months of 2018.</w:t>
      </w:r>
    </w:p>
    <w:p>
      <w:pPr>
        <w:spacing w:after="0" w:line="16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i w:val="1"/>
          <w:iCs w:val="1"/>
          <w:color w:val="auto"/>
        </w:rPr>
        <w:t xml:space="preserve">Distributions to Series B preferred unitholders. </w:t>
      </w:r>
      <w:r>
        <w:rPr>
          <w:rFonts w:ascii="Arial" w:cs="Arial" w:eastAsia="Arial" w:hAnsi="Arial"/>
          <w:sz w:val="17"/>
          <w:szCs w:val="17"/>
          <w:color w:val="auto"/>
        </w:rPr>
        <w:t>On May 15, 2018, we will pay the semi-annual cash distribution of $24.5 million on our Series B</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units to holders of record at the close of business on May 1, 2018 for the period from November 15, 2017 through May 14, 2018.</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Distributions to our common unitholders. </w:t>
      </w:r>
      <w:r>
        <w:rPr>
          <w:rFonts w:ascii="Arial" w:cs="Arial" w:eastAsia="Arial" w:hAnsi="Arial"/>
          <w:sz w:val="17"/>
          <w:szCs w:val="17"/>
          <w:color w:val="auto"/>
        </w:rPr>
        <w:t>In accordance with our partnership agreement, after making distributions to holders of our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 On May 15, 2018, we will pay a quarterly distribution of $0.30 per common unit ($1.20 per common unit on an annualized basis), which is unchanged from our prior two quarterly distributions, but represents a year-over-year distribution decrease of approximately 45% compared to the quarterly distribution of $0.55 per common unit ($2.20 per common unit on an annualized basis) paid in May 2017. See Note 9 to our Condensed Consolidated Financial Statements for details of distributions paid during or pertaining to the first three months of 2018. Also, see Item 5. “Market for Registrant’s Common Units, Related Unitholder Matters and Issuer Purchases of Equity Securities—Cash Distribution Policy” included in our 2017 Annual Report on Form 10-K for additional discussion regarding distributions.</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12 to our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7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March 31, 2018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Remainder of</w:t>
            </w:r>
          </w:p>
        </w:tc>
        <w:tc>
          <w:tcPr>
            <w:tcW w:w="220" w:type="dxa"/>
            <w:vAlign w:val="bottom"/>
          </w:tcPr>
          <w:p>
            <w:pPr>
              <w:spacing w:after="0"/>
              <w:rPr>
                <w:sz w:val="14"/>
                <w:szCs w:val="14"/>
                <w:color w:val="auto"/>
              </w:rPr>
            </w:pPr>
          </w:p>
        </w:tc>
        <w:tc>
          <w:tcPr>
            <w:tcW w:w="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2023 and</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and related interest payments </w:t>
            </w:r>
            <w:r>
              <w:rPr>
                <w:rFonts w:ascii="Arial" w:cs="Arial" w:eastAsia="Arial" w:hAnsi="Arial"/>
                <w:sz w:val="25"/>
                <w:szCs w:val="25"/>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310</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912</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873</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944</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1,186</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9,986</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14,211</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Leases, rights-of-way easements and other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5"/>
                <w:szCs w:val="25"/>
                <w:color w:val="auto"/>
                <w:vertAlign w:val="superscript"/>
              </w:rPr>
              <w:t>(3)</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10,776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16,612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5"/>
                <w:szCs w:val="25"/>
                <w:color w:val="auto"/>
                <w:vertAlign w:val="superscript"/>
              </w:rPr>
              <w:t>(4)</w:t>
            </w:r>
          </w:p>
        </w:tc>
        <w:tc>
          <w:tcPr>
            <w:tcW w:w="1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7,468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5,934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4,783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4,357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3,854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12,132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38,528</w:t>
            </w:r>
          </w:p>
        </w:tc>
        <w:tc>
          <w:tcPr>
            <w:tcW w:w="0" w:type="dxa"/>
            <w:vAlign w:val="bottom"/>
          </w:tcPr>
          <w:p>
            <w:pPr>
              <w:spacing w:after="0"/>
              <w:rPr>
                <w:sz w:val="1"/>
                <w:szCs w:val="1"/>
                <w:color w:val="auto"/>
              </w:rPr>
            </w:pPr>
          </w:p>
        </w:tc>
      </w:tr>
      <w:tr>
        <w:trPr>
          <w:trHeight w:val="257"/>
        </w:trPr>
        <w:tc>
          <w:tcPr>
            <w:tcW w:w="412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8,210</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7,217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5,961</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5,588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5,256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22,908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55,140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120" w:hanging="652"/>
        <w:spacing w:after="0" w:line="271" w:lineRule="auto"/>
        <w:tabs>
          <w:tab w:leader="none" w:pos="660" w:val="left"/>
        </w:tabs>
        <w:numPr>
          <w:ilvl w:val="0"/>
          <w:numId w:val="40"/>
        </w:numPr>
        <w:rPr>
          <w:rFonts w:ascii="Arial" w:cs="Arial" w:eastAsia="Arial" w:hAnsi="Arial"/>
          <w:sz w:val="22"/>
          <w:szCs w:val="22"/>
          <w:color w:val="auto"/>
          <w:vertAlign w:val="superscript"/>
        </w:rPr>
      </w:pPr>
      <w:r>
        <w:rPr>
          <w:rFonts w:ascii="Arial" w:cs="Arial" w:eastAsia="Arial" w:hAnsi="Arial"/>
          <w:sz w:val="16"/>
          <w:szCs w:val="16"/>
          <w:color w:val="auto"/>
        </w:rPr>
        <w:t>Includes debt service payments, interest payments due on senior notes and the commitment fee on assumed available capacity under our credit facilities, as well as long-term borrowings under our credit facilities and commercial paper program. Although there may be short-term borrowings under our credit facilities and commercial paper program, we historically repay and borrow at varying amounts. As such, we have included only the maximum commitment fee (as if no short-term borrowings were outstanding on the credit facilities or commercial paper program) in the amounts above. For additional information regarding our debt obligations, see Note 8 to our Condensed Consolidated Financial Statements.</w:t>
      </w:r>
    </w:p>
    <w:p>
      <w:pPr>
        <w:spacing w:after="0" w:line="71" w:lineRule="exact"/>
        <w:rPr>
          <w:rFonts w:ascii="Arial" w:cs="Arial" w:eastAsia="Arial" w:hAnsi="Arial"/>
          <w:sz w:val="22"/>
          <w:szCs w:val="22"/>
          <w:color w:val="auto"/>
          <w:vertAlign w:val="superscript"/>
        </w:rPr>
      </w:pPr>
    </w:p>
    <w:p>
      <w:pPr>
        <w:ind w:left="660" w:right="520" w:hanging="652"/>
        <w:spacing w:after="0" w:line="216"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Leases are primarily for (i) railcars (ii) land and surface rentals, (iii) office buildings, (iv) pipeline assets and (v) vehicles and trailers. Includes operating and capital leases as defined by FASB guidance, as well as obligations for rights-of-way easements.</w:t>
      </w:r>
    </w:p>
    <w:p>
      <w:pPr>
        <w:spacing w:after="0" w:line="95" w:lineRule="exact"/>
        <w:rPr>
          <w:rFonts w:ascii="Arial" w:cs="Arial" w:eastAsia="Arial" w:hAnsi="Arial"/>
          <w:sz w:val="25"/>
          <w:szCs w:val="25"/>
          <w:color w:val="auto"/>
          <w:vertAlign w:val="superscript"/>
        </w:rPr>
      </w:pPr>
    </w:p>
    <w:p>
      <w:pPr>
        <w:ind w:left="660" w:right="120" w:hanging="652"/>
        <w:spacing w:after="0" w:line="235" w:lineRule="auto"/>
        <w:tabs>
          <w:tab w:leader="none" w:pos="66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Includes (i) other long-term liabilities, (ii) storage, processing and transportation agreements and (iii) non-cancelable commitments related to our capital expansion projects, including projected contributions for our share of the capital spending of our equity method investments. The transportation agreements include approximately $820 million associated with an agreement to transport crude oil at posted tariff rates on a pipeline that is owned by an equity method investee, in which we own a 50% interest. Our commitment to transport is supported by crude oil buy/sell agreements with third parties (including Oxy) with commensurate quantities.</w:t>
      </w:r>
    </w:p>
    <w:p>
      <w:pPr>
        <w:spacing w:after="0" w:line="96" w:lineRule="exact"/>
        <w:rPr>
          <w:rFonts w:ascii="Arial" w:cs="Arial" w:eastAsia="Arial" w:hAnsi="Arial"/>
          <w:sz w:val="25"/>
          <w:szCs w:val="25"/>
          <w:color w:val="auto"/>
          <w:vertAlign w:val="superscript"/>
        </w:rPr>
      </w:pPr>
    </w:p>
    <w:p>
      <w:pPr>
        <w:ind w:left="660" w:right="220" w:hanging="652"/>
        <w:spacing w:after="0" w:line="238" w:lineRule="auto"/>
        <w:tabs>
          <w:tab w:leader="none" w:pos="660" w:val="left"/>
        </w:tabs>
        <w:numPr>
          <w:ilvl w:val="0"/>
          <w:numId w:val="40"/>
        </w:numPr>
        <w:rPr>
          <w:rFonts w:ascii="Arial" w:cs="Arial" w:eastAsia="Arial" w:hAnsi="Arial"/>
          <w:sz w:val="24"/>
          <w:szCs w:val="24"/>
          <w:color w:val="auto"/>
          <w:vertAlign w:val="superscript"/>
        </w:rPr>
      </w:pPr>
      <w:r>
        <w:rPr>
          <w:rFonts w:ascii="Arial" w:cs="Arial" w:eastAsia="Arial" w:hAnsi="Arial"/>
          <w:sz w:val="17"/>
          <w:szCs w:val="17"/>
          <w:color w:val="auto"/>
        </w:rPr>
        <w:t>Amounts are primarily based on estimated volumes and market prices based on average activity during March 2018.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Additionally, we issue letters of credit to support insurance programs, derivative transactions and construction activities. At March 31, 2018 and December 31, 2017, we had outstanding letters of credit of approximately $102 million and $166 million,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2017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March 2018, the Federal Energy Regulatory Commission (“FERC”) issued a revised policy statement in which it held that it will no longer permit an income tax allowance to be included in cost-of-service rates for interstate pipelines structured as master limited partnerships. The FERC also indicated that it will incorporate the effects of the revised policy statement in its next review of the oil pipeline index level, which will take effect in July 2021. We do not have cost-of-service rates that would be impacted by this policy change; our FERC regulated tariffs are either grandfathered or based on negotiated rates. However, depending on how the FERC incorporates its most recent tax policy statement into its next index review, the policy could potentially have a negative impact on the FERC adder to the PPI-FG Index, which in turn could have a negative effect on our ability to increase our index-based rates. The policy could impact future (i.e., July 2021 and later) tariff escalations on our FERC regulated pipelines, as well as some of our state regulated pipelines that have negotiated rates with escalations tied to the FERC Index.</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78" w:lineRule="exact"/>
        <w:rPr>
          <w:sz w:val="20"/>
          <w:szCs w:val="20"/>
          <w:color w:val="auto"/>
        </w:rPr>
      </w:pPr>
    </w:p>
    <w:p>
      <w:pPr>
        <w:ind w:left="980" w:hanging="324"/>
        <w:spacing w:after="0" w:line="259"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market distortions caused by over-commitments to infrastructure projects, which impacts volumes, margins, returns and overall earnings;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980" w:right="6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70" w:lineRule="exact"/>
        <w:rPr>
          <w:rFonts w:ascii="Arial" w:cs="Arial" w:eastAsia="Arial" w:hAnsi="Arial"/>
          <w:sz w:val="18"/>
          <w:szCs w:val="18"/>
          <w:color w:val="auto"/>
        </w:rPr>
      </w:pPr>
    </w:p>
    <w:p>
      <w:pPr>
        <w:ind w:left="980" w:right="260" w:hanging="324"/>
        <w:spacing w:after="0" w:line="342"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23" w:lineRule="exact"/>
        <w:rPr>
          <w:rFonts w:ascii="Arial" w:cs="Arial" w:eastAsia="Arial" w:hAnsi="Arial"/>
          <w:sz w:val="16"/>
          <w:szCs w:val="16"/>
          <w:color w:val="auto"/>
        </w:rPr>
      </w:pPr>
    </w:p>
    <w:p>
      <w:pPr>
        <w:ind w:left="980" w:right="2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failure to consummate, or significant delay in consummating, sales of assets or interests as a part of our strategic divestiture program;</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including our ability to satisfy our contractual obligations to our customers;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170"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“Risk Factors” discussed in Item 1A. of our 2017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252" w:lineRule="exact"/>
        <w:rPr>
          <w:sz w:val="20"/>
          <w:szCs w:val="20"/>
          <w:color w:val="auto"/>
        </w:rPr>
      </w:pPr>
    </w:p>
    <w:p>
      <w:pPr>
        <w:ind w:left="1360" w:hanging="704"/>
        <w:spacing w:after="0"/>
        <w:tabs>
          <w:tab w:leader="none" w:pos="13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Crude oil</w:t>
      </w:r>
    </w:p>
    <w:p>
      <w:pPr>
        <w:spacing w:after="0" w:line="239" w:lineRule="exact"/>
        <w:rPr>
          <w:sz w:val="20"/>
          <w:szCs w:val="20"/>
          <w:color w:val="auto"/>
        </w:rPr>
      </w:pPr>
    </w:p>
    <w:p>
      <w:pPr>
        <w:ind w:left="1300" w:right="140"/>
        <w:spacing w:after="0" w:line="259" w:lineRule="auto"/>
        <w:rPr>
          <w:sz w:val="20"/>
          <w:szCs w:val="20"/>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basis differentials, and storage capacity utilization. We manage these exposures with various instruments including exchange-traded and over-the-counter futures, forwards, swaps and options.</w:t>
      </w:r>
    </w:p>
    <w:p>
      <w:pPr>
        <w:spacing w:after="0" w:line="214" w:lineRule="exact"/>
        <w:rPr>
          <w:sz w:val="20"/>
          <w:szCs w:val="20"/>
          <w:color w:val="auto"/>
        </w:rPr>
      </w:pPr>
    </w:p>
    <w:p>
      <w:pPr>
        <w:ind w:left="1360" w:hanging="704"/>
        <w:spacing w:after="0"/>
        <w:tabs>
          <w:tab w:leader="none" w:pos="1360"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Natural gas</w:t>
      </w:r>
    </w:p>
    <w:p>
      <w:pPr>
        <w:spacing w:after="0" w:line="239" w:lineRule="exact"/>
        <w:rPr>
          <w:sz w:val="20"/>
          <w:szCs w:val="20"/>
          <w:color w:val="auto"/>
        </w:rPr>
      </w:pPr>
    </w:p>
    <w:p>
      <w:pPr>
        <w:ind w:left="1300" w:right="140"/>
        <w:spacing w:after="0" w:line="264"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exchange-traded futures, swaps and options.</w:t>
      </w:r>
    </w:p>
    <w:p>
      <w:pPr>
        <w:spacing w:after="0" w:line="208" w:lineRule="exact"/>
        <w:rPr>
          <w:sz w:val="20"/>
          <w:szCs w:val="20"/>
          <w:color w:val="auto"/>
        </w:rPr>
      </w:pPr>
    </w:p>
    <w:p>
      <w:pPr>
        <w:ind w:left="1360" w:hanging="704"/>
        <w:spacing w:after="0"/>
        <w:tabs>
          <w:tab w:leader="none" w:pos="1360" w:val="left"/>
        </w:tabs>
        <w:numPr>
          <w:ilvl w:val="0"/>
          <w:numId w:val="45"/>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39" w:lineRule="exact"/>
        <w:rPr>
          <w:sz w:val="20"/>
          <w:szCs w:val="20"/>
          <w:color w:val="auto"/>
        </w:rPr>
      </w:pPr>
    </w:p>
    <w:p>
      <w:pPr>
        <w:ind w:left="1300" w:right="120"/>
        <w:spacing w:after="0" w:line="312" w:lineRule="auto"/>
        <w:rPr>
          <w:sz w:val="20"/>
          <w:szCs w:val="20"/>
          <w:color w:val="auto"/>
        </w:rPr>
      </w:pPr>
      <w:r>
        <w:rPr>
          <w:rFonts w:ascii="Arial" w:cs="Arial" w:eastAsia="Arial" w:hAnsi="Arial"/>
          <w:sz w:val="16"/>
          <w:szCs w:val="16"/>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10 to our Condensed Consolidated Financial Statements for further discussion regarding our hedging strategies and objectives.</w:t>
      </w:r>
    </w:p>
    <w:p>
      <w:pPr>
        <w:spacing w:after="0" w:line="23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March 31, 2018 that would be expected from a 10% price increase or decrease is shown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80" w:type="dxa"/>
            <w:vAlign w:val="bottom"/>
          </w:tcPr>
          <w:p>
            <w:pPr>
              <w:jc w:val="right"/>
              <w:ind w:right="237"/>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Price Decrease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NGL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Total fair value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use of variable rate debt and any forecasted issuances of fixed rate debt expose us to interest rate risk. Therefore, from time to time, we use interest rate derivatives to hedge interest rate risk associated with anticipated interest payments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certain cases, outstanding debt instruments. All of our senior notes are fixed rate notes and thus are not subject to interest rate risk. Our variable rate debt outstanding at March 31, 2018, approximately $751 million, was subject to interest rate re-sets that range from less than one week to approximately two weeks. The average interest rate on variable rate debt that was outstanding during the three months ended March 31, 2018 was 2.6%, based upon rates in effect during such period. The fair value of our interest rate derivatives was a liability of $2 million as of March 31, 2018. A 10% increase in the forward LIBOR curve as of March 31, 2018 would have resulted in an increase of $34 million to the fair value of our interest rate derivatives. A 10% decrease in the forward LIBOR curve as of March 31, 2018 would have resulted in a decrease of $34 million to the fair value of our interest rate derivatives. See Note 10 to our Condensed Consolidated Financial Statements for a discussion of our interest rate risk hedging activities.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29"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 liability of $1 million as of March 31, 2018. A 10% increase in the exchange rate (USD-to-CAD) would have resulted in an increase of $24 million to the fair value of our foreign currency derivatives. A 10% decrease in the exchange rate (USD-to-CAD) would have resulted in a decrease of $24 million to the fair value of our foreign currency derivatives. See Note 10 to our Condensed Consolidated Financial Statements for a discussion of our currency exchange rate risk hedging.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 ten-year U.S. treasury rates, default probabilities and timing estimates to ultimately calculate the fair value of our Series A preferred units with and without the Preferred Distribution Rate Reset Option. The fair value of this embedded derivative was a liability of $26 million as of March 31, 2018. A 10% increase or decrease in the fair value would have an impact of $3 million. See Note 10 to our Condensed Consolidated Financial Statements for a discussion of embedded derivatives.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March 31, 2018, the end of the period covered by this report, and, based on such evaluation, our Chief Executive Officer and Chief Financial Officer have concluded that our DCP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to the information concerning our DCP, we are required to disclose certain changes in internal control over financial reporting. There have been no changes in our internal control over financial reporting during the first quarter of 2018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information required by this item is included in Note 12 to our Condensed Consolidated Financial Statements, and is incorporated herein by reference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For a discussion regarding our risk factors, see Item 1A. of our 2017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Series A Preferred Units</w:t>
      </w:r>
      <w:r>
        <w:rPr>
          <w:rFonts w:ascii="Arial" w:cs="Arial" w:eastAsia="Arial" w:hAnsi="Arial"/>
          <w:sz w:val="18"/>
          <w:szCs w:val="18"/>
          <w:color w:val="auto"/>
        </w:rPr>
        <w:t>. During the three months ended March 31, 2018 we issued 1,393,926 additional Series A preferred units in lieu of a cash</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$37 million with respect to the quarter ended December 31, 2017. The issuance of the Series A preferred units was exempt from the registration requirements of the Securities Act of 1933, as amended, pursuant to Section 4(a)(2) thereof. Our Series A preferred units are convertible into common units, generally on a one-for-one basis and subject to customary antidiultion adjustments and certain minimum conversion amounts, at any time after January 28, 2018. See Note 11 to our Consolidated Financial Statements included in Part IV of our 2017 Annual Report on Form 10-K for additional information regarding our Series A preferred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2" w:lineRule="exact"/>
        <w:rPr>
          <w:sz w:val="20"/>
          <w:szCs w:val="20"/>
          <w:color w:val="auto"/>
        </w:rPr>
      </w:pPr>
    </w:p>
    <w:p>
      <w:pPr>
        <w:ind w:left="240"/>
        <w:spacing w:after="0"/>
        <w:tabs>
          <w:tab w:leader="none" w:pos="622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ind w:left="520"/>
        <w:spacing w:after="0"/>
        <w:tabs>
          <w:tab w:leader="none" w:pos="1440" w:val="left"/>
          <w:tab w:leader="none" w:pos="186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w:t>
      </w:r>
      <w:r>
        <w:rPr>
          <w:sz w:val="20"/>
          <w:szCs w:val="20"/>
          <w:color w:val="auto"/>
        </w:rPr>
        <w:tab/>
      </w:r>
      <w:hyperlink r:id="rId43">
        <w:r>
          <w:rPr>
            <w:rFonts w:ascii="Arial" w:cs="Arial" w:eastAsia="Arial" w:hAnsi="Arial"/>
            <w:sz w:val="16"/>
            <w:szCs w:val="16"/>
            <w:u w:val="single" w:color="auto"/>
            <w:color w:val="0000FF"/>
          </w:rPr>
          <w:t>Seventh Amended and Restated Agreement of Limited Partnership of Plains All American Pipeline, L.P., dated as of October 10,</w:t>
        </w:r>
      </w:hyperlink>
    </w:p>
    <w:p>
      <w:pPr>
        <w:spacing w:after="0" w:line="23" w:lineRule="exact"/>
        <w:rPr>
          <w:sz w:val="20"/>
          <w:szCs w:val="20"/>
          <w:color w:val="auto"/>
        </w:rPr>
      </w:pPr>
    </w:p>
    <w:p>
      <w:pPr>
        <w:ind w:left="1880"/>
        <w:spacing w:after="0"/>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2017 (incorporated by reference to Exhibit 3.1 to our Current Report on Form 8-K filed October 12, 2017).</w:t>
        </w:r>
      </w:hyperlink>
    </w:p>
    <w:p>
      <w:pPr>
        <w:spacing w:after="0" w:line="319" w:lineRule="exact"/>
        <w:rPr>
          <w:sz w:val="20"/>
          <w:szCs w:val="20"/>
          <w:color w:val="auto"/>
        </w:rPr>
      </w:pPr>
    </w:p>
    <w:p>
      <w:pPr>
        <w:ind w:left="1460" w:right="140" w:hanging="1347"/>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FF"/>
          </w:rPr>
          <w:t>Third Amended and Restated Agreement of Limited Partnership of Plains Marketing, L.P. dated as of April 1, 2004 (incorporated</w:t>
        </w:r>
      </w:hyperlink>
      <w:r>
        <w:rPr>
          <w:rFonts w:ascii="Arial" w:cs="Arial" w:eastAsia="Arial" w:hAnsi="Arial"/>
          <w:sz w:val="18"/>
          <w:szCs w:val="18"/>
          <w:color w:val="auto"/>
        </w:rPr>
        <w:t xml:space="preserve"> </w:t>
      </w:r>
      <w:hyperlink r:id="rId44">
        <w:r>
          <w:rPr>
            <w:rFonts w:ascii="Arial" w:cs="Arial" w:eastAsia="Arial" w:hAnsi="Arial"/>
            <w:sz w:val="18"/>
            <w:szCs w:val="18"/>
            <w:u w:val="single" w:color="auto"/>
            <w:color w:val="0000FF"/>
          </w:rPr>
          <w:t>by reference to Exhibit 3.2 to our Quarterly Report on Form 10-Q for the quarter ended March 31, 2004).</w:t>
        </w:r>
      </w:hyperlink>
    </w:p>
    <w:p>
      <w:pPr>
        <w:spacing w:after="0" w:line="279" w:lineRule="exact"/>
        <w:rPr>
          <w:sz w:val="20"/>
          <w:szCs w:val="20"/>
          <w:color w:val="auto"/>
        </w:rPr>
      </w:pPr>
    </w:p>
    <w:p>
      <w:pPr>
        <w:ind w:left="1460" w:right="300" w:hanging="1347"/>
        <w:spacing w:after="0" w:line="264"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FF"/>
          </w:rPr>
          <w:t>Amendment No. 1 dated December 31, 2010 to the Third Amended and Restated Agreement of Limited Partnership of Plains</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FF"/>
          </w:rPr>
          <w:t>Marketing, L.P. (incorporated by reference to Exhibit 3.9 to our Annual Report on Form 10-K for the year ended December 31,</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2010).</w:t>
        </w:r>
      </w:hyperlink>
    </w:p>
    <w:p>
      <w:pPr>
        <w:spacing w:after="0" w:line="289" w:lineRule="exact"/>
        <w:rPr>
          <w:rFonts w:ascii="Arial" w:cs="Arial" w:eastAsia="Arial" w:hAnsi="Arial"/>
          <w:sz w:val="18"/>
          <w:szCs w:val="18"/>
          <w:color w:val="auto"/>
        </w:rPr>
      </w:pPr>
    </w:p>
    <w:p>
      <w:pPr>
        <w:ind w:left="1460" w:right="220" w:hanging="1347"/>
        <w:spacing w:after="0" w:line="264"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FF"/>
          </w:rPr>
          <w:t>Amendment No. 2 dated January 1, 2011 to the Third Amended and Restated Agreement of Limited Partnership of Plains</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FF"/>
          </w:rPr>
          <w:t>Marketing, L.P. (incorporated by reference to Exhibit 3.10 to our Annual Report on Form 10-K for the year ended December 31,</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2010).</w:t>
        </w:r>
      </w:hyperlink>
    </w:p>
    <w:p>
      <w:pPr>
        <w:spacing w:after="0" w:line="289" w:lineRule="exact"/>
        <w:rPr>
          <w:rFonts w:ascii="Arial" w:cs="Arial" w:eastAsia="Arial" w:hAnsi="Arial"/>
          <w:sz w:val="18"/>
          <w:szCs w:val="18"/>
          <w:color w:val="auto"/>
        </w:rPr>
      </w:pPr>
    </w:p>
    <w:p>
      <w:pPr>
        <w:ind w:left="1460" w:right="300" w:hanging="1347"/>
        <w:spacing w:after="0" w:line="264"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FF"/>
          </w:rPr>
          <w:t>Amendment No. 3 dated June 30, 2011 to the Third Amended and Restated Agreement of Limited Partnership of Plains</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FF"/>
          </w:rPr>
          <w:t>Marketing, L.P. (incorporated by reference to Exhibit 3.7 to our Annual Report on Form 10-K for the year ended December 31,</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2013).</w:t>
        </w:r>
      </w:hyperlink>
    </w:p>
    <w:p>
      <w:pPr>
        <w:spacing w:after="0" w:line="289" w:lineRule="exact"/>
        <w:rPr>
          <w:rFonts w:ascii="Arial" w:cs="Arial" w:eastAsia="Arial" w:hAnsi="Arial"/>
          <w:sz w:val="18"/>
          <w:szCs w:val="18"/>
          <w:color w:val="auto"/>
        </w:rPr>
      </w:pPr>
    </w:p>
    <w:p>
      <w:pPr>
        <w:ind w:left="1460" w:right="340" w:hanging="1347"/>
        <w:spacing w:after="0" w:line="264"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FF"/>
          </w:rPr>
          <w:t>Amendment No. 4 dated January 1, 2013 to the Third Amended and Restated Agreement of Limited Partnership of Plains</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FF"/>
          </w:rPr>
          <w:t>Marketing, L.P (incorporated by reference to Exhibit 3.8 to our Annual Report on Form 10-K for the year ended December 31,</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2013).</w:t>
        </w:r>
      </w:hyperlink>
    </w:p>
    <w:p>
      <w:pPr>
        <w:spacing w:after="0" w:line="289" w:lineRule="exact"/>
        <w:rPr>
          <w:rFonts w:ascii="Arial" w:cs="Arial" w:eastAsia="Arial" w:hAnsi="Arial"/>
          <w:sz w:val="18"/>
          <w:szCs w:val="18"/>
          <w:color w:val="auto"/>
        </w:rPr>
      </w:pPr>
    </w:p>
    <w:p>
      <w:pPr>
        <w:ind w:left="1460" w:right="80" w:hanging="1347"/>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FF"/>
          </w:rPr>
          <w:t>Third Amended and Restated Agreement of Limited Partnership of Plains Pipeline, L.P. dated as of April 1, 2004 (incorporated by</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FF"/>
          </w:rPr>
          <w:t>reference to Exhibit 3.3 to our Quarterly Report on Form 10-Q for the quarter ended March 31, 2004).</w:t>
        </w:r>
      </w:hyperlink>
    </w:p>
    <w:p>
      <w:pPr>
        <w:spacing w:after="0" w:line="279" w:lineRule="exact"/>
        <w:rPr>
          <w:sz w:val="20"/>
          <w:szCs w:val="20"/>
          <w:color w:val="auto"/>
        </w:rPr>
      </w:pPr>
    </w:p>
    <w:p>
      <w:pPr>
        <w:ind w:left="1460" w:right="20" w:hanging="1347"/>
        <w:spacing w:after="0" w:line="342" w:lineRule="auto"/>
        <w:tabs>
          <w:tab w:leader="none" w:pos="1440" w:val="left"/>
        </w:tabs>
        <w:rPr>
          <w:rFonts w:ascii="Arial" w:cs="Arial" w:eastAsia="Arial" w:hAnsi="Arial"/>
          <w:sz w:val="16"/>
          <w:szCs w:val="16"/>
          <w:u w:val="single" w:color="auto"/>
          <w:color w:val="0000FF"/>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 xml:space="preserve">— </w:t>
      </w:r>
      <w:hyperlink r:id="rId50">
        <w:r>
          <w:rPr>
            <w:rFonts w:ascii="Arial" w:cs="Arial" w:eastAsia="Arial" w:hAnsi="Arial"/>
            <w:sz w:val="16"/>
            <w:szCs w:val="16"/>
            <w:u w:val="single" w:color="auto"/>
            <w:color w:val="0000FF"/>
          </w:rPr>
          <w:t>Amendment No. 1 dated January 1, 2013 to the Third Amended and Restated Agreement of Limited Partnership of Plains Pipeline,</w:t>
        </w:r>
      </w:hyperlink>
      <w:r>
        <w:rPr>
          <w:rFonts w:ascii="Arial" w:cs="Arial" w:eastAsia="Arial" w:hAnsi="Arial"/>
          <w:sz w:val="16"/>
          <w:szCs w:val="16"/>
          <w:color w:val="auto"/>
        </w:rPr>
        <w:t xml:space="preserve"> </w:t>
      </w:r>
      <w:hyperlink r:id="rId50">
        <w:r>
          <w:rPr>
            <w:rFonts w:ascii="Arial" w:cs="Arial" w:eastAsia="Arial" w:hAnsi="Arial"/>
            <w:sz w:val="16"/>
            <w:szCs w:val="16"/>
            <w:u w:val="single" w:color="auto"/>
            <w:color w:val="0000FF"/>
          </w:rPr>
          <w:t>L.P. (incorporated by reference to Exhibit 3.10 to our Annual Report on Form 10-K for the year ended December 31, 2013).</w:t>
        </w:r>
      </w:hyperlink>
    </w:p>
    <w:p>
      <w:pPr>
        <w:spacing w:after="0" w:line="232" w:lineRule="exact"/>
        <w:rPr>
          <w:sz w:val="20"/>
          <w:szCs w:val="20"/>
          <w:color w:val="auto"/>
        </w:rPr>
      </w:pPr>
    </w:p>
    <w:p>
      <w:pPr>
        <w:ind w:left="1460" w:right="20" w:hanging="1347"/>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FF"/>
          </w:rPr>
          <w:t>Seventh Amended and Restated Limited Liability Company Agreement of Plains All American GP LLC dated November 15, 2016</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FF"/>
          </w:rPr>
          <w:t>(incorporated by reference to Exhibit 3.3 to our Current Report on Form 8-K filed November 21, 2016).</w:t>
        </w:r>
      </w:hyperlink>
    </w:p>
    <w:p>
      <w:pPr>
        <w:spacing w:after="0" w:line="279" w:lineRule="exact"/>
        <w:rPr>
          <w:sz w:val="20"/>
          <w:szCs w:val="20"/>
          <w:color w:val="auto"/>
        </w:rPr>
      </w:pPr>
    </w:p>
    <w:p>
      <w:pPr>
        <w:ind w:left="1460" w:right="360" w:hanging="1392"/>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FF"/>
          </w:rPr>
          <w:t>Eighth Amended and Restated Limited Partnership Agreement of Plains AAP, L.P. dated November 15, 2016 (incorporated by</w:t>
        </w:r>
      </w:hyperlink>
      <w:r>
        <w:rPr>
          <w:rFonts w:ascii="Arial" w:cs="Arial" w:eastAsia="Arial" w:hAnsi="Arial"/>
          <w:sz w:val="18"/>
          <w:szCs w:val="18"/>
          <w:color w:val="auto"/>
        </w:rPr>
        <w:t xml:space="preserve"> </w:t>
      </w:r>
      <w:hyperlink r:id="rId52">
        <w:r>
          <w:rPr>
            <w:rFonts w:ascii="Arial" w:cs="Arial" w:eastAsia="Arial" w:hAnsi="Arial"/>
            <w:sz w:val="18"/>
            <w:szCs w:val="18"/>
            <w:u w:val="single" w:color="auto"/>
            <w:color w:val="0000FF"/>
          </w:rPr>
          <w:t>reference to Exhibit 3.4 to our Current Report on Form 8-K filed November 21, 2016).</w:t>
        </w:r>
      </w:hyperlink>
    </w:p>
    <w:p>
      <w:pPr>
        <w:spacing w:after="0" w:line="279" w:lineRule="exact"/>
        <w:rPr>
          <w:sz w:val="20"/>
          <w:szCs w:val="20"/>
          <w:color w:val="auto"/>
        </w:rPr>
      </w:pPr>
    </w:p>
    <w:p>
      <w:pPr>
        <w:ind w:left="1460" w:hanging="1389"/>
        <w:spacing w:after="0" w:line="342" w:lineRule="auto"/>
        <w:tabs>
          <w:tab w:leader="none" w:pos="144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 xml:space="preserve">— </w:t>
      </w:r>
      <w:hyperlink r:id="rId53">
        <w:r>
          <w:rPr>
            <w:rFonts w:ascii="Arial" w:cs="Arial" w:eastAsia="Arial" w:hAnsi="Arial"/>
            <w:sz w:val="16"/>
            <w:szCs w:val="16"/>
            <w:u w:val="single" w:color="auto"/>
            <w:color w:val="0000FF"/>
          </w:rPr>
          <w:t>Certificate of Incorporation of PAA Finance Corp. (f/k/a Pacific Energy Finance Corporation, successor-by-merger to PAA Finance</w:t>
        </w:r>
      </w:hyperlink>
      <w:r>
        <w:rPr>
          <w:rFonts w:ascii="Arial" w:cs="Arial" w:eastAsia="Arial" w:hAnsi="Arial"/>
          <w:sz w:val="16"/>
          <w:szCs w:val="16"/>
          <w:color w:val="auto"/>
        </w:rPr>
        <w:t xml:space="preserve"> </w:t>
      </w:r>
      <w:hyperlink r:id="rId53">
        <w:r>
          <w:rPr>
            <w:rFonts w:ascii="Arial" w:cs="Arial" w:eastAsia="Arial" w:hAnsi="Arial"/>
            <w:sz w:val="16"/>
            <w:szCs w:val="16"/>
            <w:u w:val="single" w:color="auto"/>
            <w:color w:val="0000FF"/>
          </w:rPr>
          <w:t>Corp.) (incorporated by reference to Exhibit 3.10 to our Annual Report on Form 10-K for the year ended December 31, 2006).</w:t>
        </w:r>
      </w:hyperlink>
    </w:p>
    <w:p>
      <w:pPr>
        <w:spacing w:after="0" w:line="83" w:lineRule="exact"/>
        <w:rPr>
          <w:sz w:val="20"/>
          <w:szCs w:val="20"/>
          <w:color w:val="auto"/>
        </w:rPr>
      </w:pPr>
    </w:p>
    <w:p>
      <w:pPr>
        <w:jc w:val="right"/>
        <w:ind w:left="480" w:right="880"/>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3.12       —   </w:t>
      </w:r>
      <w:hyperlink r:id="rId54">
        <w:r>
          <w:rPr>
            <w:rFonts w:ascii="Arial" w:cs="Arial" w:eastAsia="Arial" w:hAnsi="Arial"/>
            <w:sz w:val="18"/>
            <w:szCs w:val="18"/>
            <w:u w:val="single" w:color="auto"/>
            <w:color w:val="0000FF"/>
          </w:rPr>
          <w:t>Bylaws of PAA Finance Corp. (f/k/a Pacific Energy Finance Corporation, successor-by-merger to PAA Finance Corp.)</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FF"/>
          </w:rPr>
          <w:t>(incorporated by reference to Exhibit 3.11 to our Annual Report on Form 10-K for the year ended December 31, 2006).</w:t>
        </w:r>
      </w:hyperlink>
    </w:p>
    <w:p>
      <w:pPr>
        <w:spacing w:after="0" w:line="261"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3.13</w:t>
            </w:r>
          </w:p>
        </w:tc>
        <w:tc>
          <w:tcPr>
            <w:tcW w:w="10160" w:type="dxa"/>
            <w:vAlign w:val="bottom"/>
            <w:gridSpan w:val="3"/>
          </w:tcPr>
          <w:p>
            <w:pPr>
              <w:ind w:left="3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55">
              <w:r>
                <w:rPr>
                  <w:rFonts w:ascii="Arial" w:cs="Arial" w:eastAsia="Arial" w:hAnsi="Arial"/>
                  <w:sz w:val="18"/>
                  <w:szCs w:val="18"/>
                  <w:color w:val="0000FF"/>
                  <w:w w:val="93"/>
                </w:rPr>
                <w:t>Limited Liability Company Agreement of PAA GP LLC dated December 28, 2007 (incorporated by reference to Exhibit 3.3 to our</w:t>
              </w:r>
            </w:hyperlink>
          </w:p>
        </w:tc>
      </w:tr>
      <w:tr>
        <w:trPr>
          <w:trHeight w:val="196"/>
        </w:trPr>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7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Current Report on Form 8-K filed January 4, 2008).</w:t>
              </w:r>
            </w:hyperlink>
          </w:p>
        </w:tc>
        <w:tc>
          <w:tcPr>
            <w:tcW w:w="5660" w:type="dxa"/>
            <w:vAlign w:val="bottom"/>
            <w:tcBorders>
              <w:top w:val="single" w:sz="8" w:color="0000FF"/>
            </w:tcBorders>
          </w:tcPr>
          <w:p>
            <w:pPr>
              <w:spacing w:after="0"/>
              <w:rPr>
                <w:sz w:val="17"/>
                <w:szCs w:val="17"/>
                <w:color w:val="auto"/>
              </w:rPr>
            </w:pPr>
          </w:p>
        </w:tc>
      </w:tr>
    </w:tbl>
    <w:p>
      <w:pPr>
        <w:spacing w:after="0" w:line="337" w:lineRule="exact"/>
        <w:rPr>
          <w:sz w:val="20"/>
          <w:szCs w:val="20"/>
          <w:color w:val="auto"/>
        </w:rPr>
      </w:pPr>
    </w:p>
    <w:p>
      <w:pPr>
        <w:ind w:left="1460" w:right="300" w:hanging="1392"/>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FF"/>
          </w:rPr>
          <w:t>Certificate of Limited Partnership of Plains GP Holdings, L.P. (incorporated by reference to Exhibit 3.1 to PAGP’s Registration</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FF"/>
          </w:rPr>
          <w:t>Statement on Form S-1 (333-190227) filed July 29, 2013).</w:t>
        </w:r>
      </w:hyperlink>
    </w:p>
    <w:p>
      <w:pPr>
        <w:spacing w:after="0" w:line="130" w:lineRule="exact"/>
        <w:rPr>
          <w:sz w:val="20"/>
          <w:szCs w:val="20"/>
          <w:color w:val="auto"/>
        </w:rPr>
      </w:pPr>
    </w:p>
    <w:p>
      <w:pPr>
        <w:ind w:left="1460" w:right="760" w:hanging="1392"/>
        <w:spacing w:after="0" w:line="308" w:lineRule="auto"/>
        <w:tabs>
          <w:tab w:leader="none" w:pos="1440" w:val="left"/>
        </w:tabs>
        <w:rPr>
          <w:rFonts w:ascii="Arial" w:cs="Arial" w:eastAsia="Arial" w:hAnsi="Arial"/>
          <w:sz w:val="17"/>
          <w:szCs w:val="17"/>
          <w:u w:val="single" w:color="auto"/>
          <w:color w:val="0000FF"/>
        </w:rPr>
      </w:pPr>
      <w:r>
        <w:rPr>
          <w:rFonts w:ascii="Arial" w:cs="Arial" w:eastAsia="Arial" w:hAnsi="Arial"/>
          <w:sz w:val="18"/>
          <w:szCs w:val="18"/>
          <w:color w:val="auto"/>
        </w:rPr>
        <w:t>3.15</w:t>
      </w:r>
      <w:r>
        <w:rPr>
          <w:sz w:val="20"/>
          <w:szCs w:val="20"/>
          <w:color w:val="auto"/>
        </w:rPr>
        <w:tab/>
      </w:r>
      <w:r>
        <w:rPr>
          <w:rFonts w:ascii="Arial" w:cs="Arial" w:eastAsia="Arial" w:hAnsi="Arial"/>
          <w:sz w:val="17"/>
          <w:szCs w:val="17"/>
          <w:color w:val="auto"/>
        </w:rPr>
        <w:t xml:space="preserve">— </w:t>
      </w:r>
      <w:hyperlink r:id="rId57">
        <w:r>
          <w:rPr>
            <w:rFonts w:ascii="Arial" w:cs="Arial" w:eastAsia="Arial" w:hAnsi="Arial"/>
            <w:sz w:val="17"/>
            <w:szCs w:val="17"/>
            <w:u w:val="single" w:color="auto"/>
            <w:color w:val="0000FF"/>
          </w:rPr>
          <w:t>Second Amended and Restated Agreement of Limited Partnership of Plains GP Holdings, L.P. dated November 15, 2016</w:t>
        </w:r>
      </w:hyperlink>
      <w:r>
        <w:rPr>
          <w:rFonts w:ascii="Arial" w:cs="Arial" w:eastAsia="Arial" w:hAnsi="Arial"/>
          <w:sz w:val="17"/>
          <w:szCs w:val="17"/>
          <w:color w:val="auto"/>
        </w:rPr>
        <w:t xml:space="preserve"> </w:t>
      </w:r>
      <w:hyperlink r:id="rId57">
        <w:r>
          <w:rPr>
            <w:rFonts w:ascii="Arial" w:cs="Arial" w:eastAsia="Arial" w:hAnsi="Arial"/>
            <w:sz w:val="17"/>
            <w:szCs w:val="17"/>
            <w:u w:val="single" w:color="auto"/>
            <w:color w:val="0000FF"/>
          </w:rPr>
          <w:t>(incorporated by reference to Exhibit 3.2 to PAGP’s Current Report on Form 8-K filed November 21, 2016).</w:t>
        </w:r>
      </w:hyperlink>
    </w:p>
    <w:p>
      <w:pPr>
        <w:spacing w:after="0" w:line="106" w:lineRule="exact"/>
        <w:rPr>
          <w:sz w:val="20"/>
          <w:szCs w:val="20"/>
          <w:color w:val="auto"/>
        </w:rPr>
      </w:pPr>
    </w:p>
    <w:p>
      <w:pPr>
        <w:ind w:left="1460" w:right="80" w:hanging="1392"/>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0000FF"/>
          </w:rPr>
          <w:t>Certificate of Formation of PAA GP Holdings LLC (incorporated by reference to Exhibit 3.3 to PAGP’s Registration Statement on</w:t>
        </w:r>
      </w:hyperlink>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0000FF"/>
          </w:rPr>
          <w:t>Form S-1 (333-190227) filed July 29, 2013).</w:t>
        </w:r>
      </w:hyperlink>
    </w:p>
    <w:p>
      <w:pPr>
        <w:spacing w:after="0" w:line="130" w:lineRule="exact"/>
        <w:rPr>
          <w:sz w:val="20"/>
          <w:szCs w:val="20"/>
          <w:color w:val="auto"/>
        </w:rPr>
      </w:pPr>
    </w:p>
    <w:p>
      <w:pPr>
        <w:ind w:left="1460" w:right="340" w:hanging="1392"/>
        <w:spacing w:after="0" w:line="277"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 xml:space="preserve">— </w:t>
      </w:r>
      <w:hyperlink r:id="rId59">
        <w:r>
          <w:rPr>
            <w:rFonts w:ascii="Arial" w:cs="Arial" w:eastAsia="Arial" w:hAnsi="Arial"/>
            <w:sz w:val="18"/>
            <w:szCs w:val="18"/>
            <w:u w:val="single" w:color="auto"/>
            <w:color w:val="0000FF"/>
          </w:rPr>
          <w:t>Third Amended and Restated Limited Liability Company Agreement of PAA GP Holdings LLC dated as of February 16, 2017</w:t>
        </w:r>
      </w:hyperlink>
      <w:r>
        <w:rPr>
          <w:rFonts w:ascii="Arial" w:cs="Arial" w:eastAsia="Arial" w:hAnsi="Arial"/>
          <w:sz w:val="18"/>
          <w:szCs w:val="18"/>
          <w:color w:val="auto"/>
        </w:rPr>
        <w:t xml:space="preserve"> </w:t>
      </w:r>
      <w:hyperlink r:id="rId59">
        <w:r>
          <w:rPr>
            <w:rFonts w:ascii="Arial" w:cs="Arial" w:eastAsia="Arial" w:hAnsi="Arial"/>
            <w:sz w:val="18"/>
            <w:szCs w:val="18"/>
            <w:u w:val="single" w:color="auto"/>
            <w:color w:val="0000FF"/>
          </w:rPr>
          <w:t>(incorporated by reference to Exhibit 3.1 to our Current Report on Form 8-K filed February 21, 2017).</w:t>
        </w:r>
      </w:hyperlink>
    </w:p>
    <w:p>
      <w:pPr>
        <w:sectPr>
          <w:pgSz w:w="11900" w:h="16838" w:orient="portrait"/>
          <w:cols w:equalWidth="0" w:num="1">
            <w:col w:w="11340"/>
          </w:cols>
          <w:pgMar w:left="240" w:top="125" w:right="319" w:bottom="1440" w:gutter="0" w:footer="0" w:header="0"/>
        </w:sectPr>
      </w:pP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340"/>
          </w:cols>
          <w:pgMar w:left="240" w:top="125" w:right="31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5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60">
              <w:r>
                <w:rPr>
                  <w:rFonts w:ascii="Arial" w:cs="Arial" w:eastAsia="Arial" w:hAnsi="Arial"/>
                  <w:sz w:val="18"/>
                  <w:szCs w:val="18"/>
                  <w:color w:val="0000FF"/>
                  <w:w w:val="92"/>
                </w:rPr>
                <w:t>Indenture dated September 25, 2002 among Plains All American Pipeline, L.P., PAA Finance Corp. and Wachovia Bank, National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96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Association, as trustee (incorporated by reference to Exhibit 4.1 to our Quarterly Report on Form 10-Q for the quarter ended</w:t>
              </w:r>
            </w:hyperlink>
          </w:p>
        </w:tc>
        <w:tc>
          <w:tcPr>
            <w:tcW w:w="400" w:type="dxa"/>
            <w:vAlign w:val="bottom"/>
            <w:tcBorders>
              <w:top w:val="single" w:sz="8" w:color="0000FF"/>
            </w:tcBorders>
            <w:gridSpan w:val="8"/>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September 30, 2002).</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61">
              <w:r>
                <w:rPr>
                  <w:rFonts w:ascii="Arial" w:cs="Arial" w:eastAsia="Arial" w:hAnsi="Arial"/>
                  <w:sz w:val="18"/>
                  <w:szCs w:val="18"/>
                  <w:color w:val="0000FF"/>
                  <w:w w:val="97"/>
                </w:rPr>
                <w:t>Sixth Supplemental Indenture (Series A and Series B 6.70% Senior Notes due 2036) dated May 12, 2006 among Plains All</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American Pipeline, L.P., PAA Finance Corp., the Subsidiary Guarantors named therein and Wachovia Bank, National Association,</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8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as trustee (incorporated by reference to Exhibit 4.1 to our Current Report on Form 8-K filed May 12, 2006).</w:t>
              </w:r>
            </w:hyperlink>
          </w:p>
        </w:tc>
        <w:tc>
          <w:tcPr>
            <w:tcW w:w="8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62">
              <w:r>
                <w:rPr>
                  <w:rFonts w:ascii="Arial" w:cs="Arial" w:eastAsia="Arial" w:hAnsi="Arial"/>
                  <w:sz w:val="18"/>
                  <w:szCs w:val="18"/>
                  <w:color w:val="0000FF"/>
                  <w:w w:val="93"/>
                </w:rPr>
                <w:t>Tenth Supplemental Indenture (Series A and Series B 6.650% Senior Notes due 2037) dated October 30, 2006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14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American Pipeline, L.P., PAA Finance Corp., the Subsidiary Guarantors named therein and U.S. Bank National Association, as</w:t>
              </w:r>
            </w:hyperlink>
          </w:p>
        </w:tc>
        <w:tc>
          <w:tcPr>
            <w:tcW w:w="80" w:type="dxa"/>
            <w:vAlign w:val="bottom"/>
            <w:tcBorders>
              <w:top w:val="single" w:sz="8" w:color="0000FF"/>
            </w:tcBorders>
            <w:gridSpan w:val="3"/>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2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trustee (incorporated by reference to Exhibit 4.2 to our Current Report on Form 8-K filed October 30, 2006).</w:t>
              </w:r>
            </w:hyperlink>
          </w:p>
        </w:tc>
        <w:tc>
          <w:tcPr>
            <w:tcW w:w="1640" w:type="dxa"/>
            <w:vAlign w:val="bottom"/>
            <w:gridSpan w:val="17"/>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63">
              <w:r>
                <w:rPr>
                  <w:rFonts w:ascii="Arial" w:cs="Arial" w:eastAsia="Arial" w:hAnsi="Arial"/>
                  <w:sz w:val="18"/>
                  <w:szCs w:val="18"/>
                  <w:color w:val="0000FF"/>
                  <w:w w:val="97"/>
                </w:rPr>
                <w:t>Seventeenth Supplemental Indenture (5.75% Senior Notes due 2020) dated September 4, 2009 among Plains All American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w w:val="95"/>
              </w:rPr>
            </w:pPr>
            <w:hyperlink r:id="rId63">
              <w:r>
                <w:rPr>
                  <w:rFonts w:ascii="Arial" w:cs="Arial" w:eastAsia="Arial" w:hAnsi="Arial"/>
                  <w:sz w:val="18"/>
                  <w:szCs w:val="18"/>
                  <w:color w:val="0000FF"/>
                  <w:w w:val="95"/>
                </w:rPr>
                <w:t>Pipeline, L.P., PAA Finance Corp., the Subsidiary Guarantors named therein and U.S. Bank National Association, as trustee</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(incorporated by reference to Exhibit 4.1 to our Current Report on Form 8-K filed September 4, 2009).</w:t>
              </w:r>
            </w:hyperlink>
          </w:p>
        </w:tc>
        <w:tc>
          <w:tcPr>
            <w:tcW w:w="1500" w:type="dxa"/>
            <w:vAlign w:val="bottom"/>
            <w:tcBorders>
              <w:top w:val="single" w:sz="8" w:color="0000FF"/>
            </w:tcBorders>
            <w:gridSpan w:val="7"/>
          </w:tcPr>
          <w:p>
            <w:pPr>
              <w:spacing w:after="0"/>
              <w:rPr>
                <w:sz w:val="17"/>
                <w:szCs w:val="17"/>
                <w:color w:val="auto"/>
              </w:rPr>
            </w:pPr>
          </w:p>
        </w:tc>
        <w:tc>
          <w:tcPr>
            <w:tcW w:w="560" w:type="dxa"/>
            <w:vAlign w:val="bottom"/>
            <w:gridSpan w:val="12"/>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64">
              <w:r>
                <w:rPr>
                  <w:rFonts w:ascii="Arial" w:cs="Arial" w:eastAsia="Arial" w:hAnsi="Arial"/>
                  <w:sz w:val="18"/>
                  <w:szCs w:val="18"/>
                  <w:color w:val="0000FF"/>
                  <w:w w:val="92"/>
                </w:rPr>
                <w:t>Nineteenth Supplemental Indenture (5.00% Senior Notes due 2021) dated January 14, 2011 among Plains All American Pipeline,</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tcBorders>
              <w:bottom w:val="single" w:sz="8" w:color="0000FF"/>
            </w:tcBorders>
            <w:gridSpan w:val="28"/>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L.P., PAA Finance Corp., the Subsidiary Guarantors named therein and U.S. Bank National Association, as trustee (incorporated by</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reference to Exhibit 4.1 to our Current Report on Form 8-K filed January 11, 2011).</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65">
              <w:r>
                <w:rPr>
                  <w:rFonts w:ascii="Arial" w:cs="Arial" w:eastAsia="Arial" w:hAnsi="Arial"/>
                  <w:sz w:val="18"/>
                  <w:szCs w:val="18"/>
                  <w:color w:val="0000FF"/>
                  <w:w w:val="94"/>
                </w:rPr>
                <w:t>Twentieth Supplemental Indenture (3.65% Senior Notes due 2022) dated March 22, 2012 among Plains All American Pipeline,</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0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L.P., PAA Finance Corp. and U.S. Bank National Association, as trustee (incorporated by reference to Exhibit 4.1 to our Current</w:t>
              </w:r>
            </w:hyperlink>
          </w:p>
        </w:tc>
        <w:tc>
          <w:tcPr>
            <w:tcW w:w="160" w:type="dxa"/>
            <w:vAlign w:val="bottom"/>
            <w:gridSpan w:val="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Report on Form 8-K filed March 26, 2012).</w:t>
              </w:r>
            </w:hyperlink>
          </w:p>
        </w:tc>
        <w:tc>
          <w:tcPr>
            <w:tcW w:w="6320" w:type="dxa"/>
            <w:vAlign w:val="bottom"/>
            <w:gridSpan w:val="26"/>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66">
              <w:r>
                <w:rPr>
                  <w:rFonts w:ascii="Arial" w:cs="Arial" w:eastAsia="Arial" w:hAnsi="Arial"/>
                  <w:sz w:val="18"/>
                  <w:szCs w:val="18"/>
                  <w:color w:val="0000FF"/>
                  <w:w w:val="93"/>
                </w:rPr>
                <w:t>Twenty-First Supplemental Indenture (5.15% Senior Notes due 2042) dated March 22, 2012 among Plains All American Pipeline,</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00" w:type="dxa"/>
            <w:vAlign w:val="bottom"/>
            <w:tcBorders>
              <w:top w:val="single" w:sz="8" w:color="0000FF"/>
              <w:bottom w:val="single" w:sz="8" w:color="0000FF"/>
            </w:tcBorders>
            <w:gridSpan w:val="24"/>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L.P., PAA Finance Corp. and U.S. Bank National Association, as trustee (incorporated by reference to Exhibit 4.3 to our Current</w:t>
              </w:r>
            </w:hyperlink>
          </w:p>
        </w:tc>
        <w:tc>
          <w:tcPr>
            <w:tcW w:w="60" w:type="dxa"/>
            <w:vAlign w:val="bottom"/>
            <w:tcBorders>
              <w:top w:val="single" w:sz="8" w:color="0000FF"/>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Report on Form 8-K filed March 26, 2012).</w:t>
              </w:r>
            </w:hyperlink>
          </w:p>
        </w:tc>
        <w:tc>
          <w:tcPr>
            <w:tcW w:w="6320" w:type="dxa"/>
            <w:vAlign w:val="bottom"/>
            <w:gridSpan w:val="26"/>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67">
              <w:r>
                <w:rPr>
                  <w:rFonts w:ascii="Arial" w:cs="Arial" w:eastAsia="Arial" w:hAnsi="Arial"/>
                  <w:sz w:val="18"/>
                  <w:szCs w:val="18"/>
                  <w:color w:val="0000FF"/>
                  <w:w w:val="95"/>
                </w:rPr>
                <w:t>Twenty-Second Supplemental Indenture (2.85% Senior Notes due 2023) dated December 10, 2012,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American Pipeline, L.P., PAA Finance Corp. and U.S. Bank National Association, as trustee (incorporated by reference to</w:t>
              </w:r>
            </w:hyperlink>
          </w:p>
        </w:tc>
        <w:tc>
          <w:tcPr>
            <w:tcW w:w="200" w:type="dxa"/>
            <w:vAlign w:val="bottom"/>
            <w:tcBorders>
              <w:top w:val="single" w:sz="8" w:color="0000FF"/>
            </w:tcBorders>
            <w:gridSpan w:val="6"/>
          </w:tcPr>
          <w:p>
            <w:pPr>
              <w:spacing w:after="0"/>
              <w:rPr>
                <w:sz w:val="17"/>
                <w:szCs w:val="17"/>
                <w:color w:val="auto"/>
              </w:rPr>
            </w:pPr>
          </w:p>
        </w:tc>
        <w:tc>
          <w:tcPr>
            <w:tcW w:w="48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Exhibit 4.1 to our Current Report on Form 8-K filed December 12, 2012).</w:t>
              </w:r>
            </w:hyperlink>
          </w:p>
        </w:tc>
        <w:tc>
          <w:tcPr>
            <w:tcW w:w="4140" w:type="dxa"/>
            <w:vAlign w:val="bottom"/>
            <w:gridSpan w:val="22"/>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68">
              <w:r>
                <w:rPr>
                  <w:rFonts w:ascii="Arial" w:cs="Arial" w:eastAsia="Arial" w:hAnsi="Arial"/>
                  <w:sz w:val="18"/>
                  <w:szCs w:val="18"/>
                  <w:color w:val="0000FF"/>
                  <w:w w:val="97"/>
                </w:rPr>
                <w:t>Twenty-Third Supplemental Indenture (4.30% Senior Notes due 2043) dated December 10, 2012,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American Pipeline, L.P., PAA Finance Corp. and U.S. Bank National Association, as trustee (incorporated by reference to</w:t>
              </w:r>
            </w:hyperlink>
          </w:p>
        </w:tc>
        <w:tc>
          <w:tcPr>
            <w:tcW w:w="60" w:type="dxa"/>
            <w:vAlign w:val="bottom"/>
            <w:tcBorders>
              <w:top w:val="single" w:sz="8" w:color="0000FF"/>
            </w:tcBorders>
            <w:gridSpan w:val="2"/>
          </w:tcPr>
          <w:p>
            <w:pPr>
              <w:spacing w:after="0"/>
              <w:rPr>
                <w:sz w:val="17"/>
                <w:szCs w:val="17"/>
                <w:color w:val="auto"/>
              </w:rPr>
            </w:pPr>
          </w:p>
        </w:tc>
        <w:tc>
          <w:tcPr>
            <w:tcW w:w="620" w:type="dxa"/>
            <w:vAlign w:val="bottom"/>
            <w:gridSpan w:val="1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Exhibit 4.3 to our Current Report on Form 8-K filed December 12, 2012).</w:t>
              </w:r>
            </w:hyperlink>
          </w:p>
        </w:tc>
        <w:tc>
          <w:tcPr>
            <w:tcW w:w="4140" w:type="dxa"/>
            <w:vAlign w:val="bottom"/>
            <w:gridSpan w:val="22"/>
          </w:tcPr>
          <w:p>
            <w:pPr>
              <w:spacing w:after="0"/>
              <w:rPr>
                <w:sz w:val="17"/>
                <w:szCs w:val="17"/>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69">
              <w:r>
                <w:rPr>
                  <w:rFonts w:ascii="Arial" w:cs="Arial" w:eastAsia="Arial" w:hAnsi="Arial"/>
                  <w:sz w:val="18"/>
                  <w:szCs w:val="18"/>
                  <w:color w:val="0000FF"/>
                  <w:w w:val="91"/>
                </w:rPr>
                <w:t>Twenty-Fourth Supplemental Indenture (3.85% Senior Notes due 2023) dated August 15, 2013, by and among Plains All American</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tcBorders>
              <w:top w:val="single" w:sz="8" w:color="0000FF"/>
            </w:tcBorders>
            <w:gridSpan w:val="28"/>
          </w:tcPr>
          <w:p>
            <w:pPr>
              <w:spacing w:after="0" w:line="196"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2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Current Report on Form 8-K filed August 15, 2013).</w:t>
              </w:r>
            </w:hyperlink>
          </w:p>
        </w:tc>
        <w:tc>
          <w:tcPr>
            <w:tcW w:w="14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70">
              <w:r>
                <w:rPr>
                  <w:rFonts w:ascii="Arial" w:cs="Arial" w:eastAsia="Arial" w:hAnsi="Arial"/>
                  <w:sz w:val="18"/>
                  <w:szCs w:val="18"/>
                  <w:color w:val="0000FF"/>
                  <w:w w:val="95"/>
                </w:rPr>
                <w:t>Twenty-Fifth Supplemental Indenture (4.70% Senior Notes due 2044) dated April 23, 2014, by and among Plains All American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Pipeline, L.P., PAA Finance Corp. and U.S. Bank National Association, as trustee (incorporated by reference to Exhibit 4.1 to our</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2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Current Report on Form 8-K filed April 29, 2014)</w:t>
              </w:r>
              <w:r>
                <w:rPr>
                  <w:rFonts w:ascii="Arial" w:cs="Arial" w:eastAsia="Arial" w:hAnsi="Arial"/>
                  <w:sz w:val="18"/>
                  <w:szCs w:val="18"/>
                  <w:color w:val="000000"/>
                </w:rPr>
                <w:t>.</w:t>
              </w:r>
            </w:hyperlink>
          </w:p>
        </w:tc>
        <w:tc>
          <w:tcPr>
            <w:tcW w:w="14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71">
              <w:r>
                <w:rPr>
                  <w:rFonts w:ascii="Arial" w:cs="Arial" w:eastAsia="Arial" w:hAnsi="Arial"/>
                  <w:sz w:val="18"/>
                  <w:szCs w:val="18"/>
                  <w:color w:val="0000FF"/>
                  <w:w w:val="98"/>
                </w:rPr>
                <w:t>Twenty-Sixth Supplemental Indenture (3.60% Senior Notes due 2024) dated September 9, 2014, by and among Plains All</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8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71">
              <w:r>
                <w:rPr>
                  <w:rFonts w:ascii="Arial" w:cs="Arial" w:eastAsia="Arial" w:hAnsi="Arial"/>
                  <w:sz w:val="18"/>
                  <w:szCs w:val="18"/>
                  <w:color w:val="0000FF"/>
                  <w:w w:val="90"/>
                </w:rPr>
                <w:t>American Pipeline, L.P., PAA Finance Corp. and U.S. Bank National Association, as trustee (incorporated by reference to</w:t>
              </w:r>
            </w:hyperlink>
          </w:p>
        </w:tc>
        <w:tc>
          <w:tcPr>
            <w:tcW w:w="680" w:type="dxa"/>
            <w:vAlign w:val="bottom"/>
            <w:gridSpan w:val="15"/>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Exhibit 4.1 to our Current Report on Form 8-K filed September 11, 2014).</w:t>
              </w:r>
            </w:hyperlink>
          </w:p>
        </w:tc>
        <w:tc>
          <w:tcPr>
            <w:tcW w:w="4120" w:type="dxa"/>
            <w:vAlign w:val="bottom"/>
            <w:gridSpan w:val="21"/>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72">
              <w:r>
                <w:rPr>
                  <w:rFonts w:ascii="Arial" w:cs="Arial" w:eastAsia="Arial" w:hAnsi="Arial"/>
                  <w:sz w:val="18"/>
                  <w:szCs w:val="18"/>
                  <w:color w:val="0000FF"/>
                  <w:w w:val="96"/>
                </w:rPr>
                <w:t>Twenty-Seventh Supplemental Indenture (2.60% Senior Notes due 2019) dated December 9, 2014,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American Pipeline, L.P., PAA Finance Corp. and U.S. Bank National Association, as trustee (incorporated by reference to</w:t>
              </w:r>
            </w:hyperlink>
          </w:p>
        </w:tc>
        <w:tc>
          <w:tcPr>
            <w:tcW w:w="160" w:type="dxa"/>
            <w:vAlign w:val="bottom"/>
            <w:tcBorders>
              <w:top w:val="single" w:sz="8" w:color="0000FF"/>
            </w:tcBorders>
            <w:gridSpan w:val="4"/>
          </w:tcPr>
          <w:p>
            <w:pPr>
              <w:spacing w:after="0"/>
              <w:rPr>
                <w:sz w:val="17"/>
                <w:szCs w:val="17"/>
                <w:color w:val="auto"/>
              </w:rPr>
            </w:pPr>
          </w:p>
        </w:tc>
        <w:tc>
          <w:tcPr>
            <w:tcW w:w="520" w:type="dxa"/>
            <w:vAlign w:val="bottom"/>
            <w:gridSpan w:val="11"/>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Exhibit 4.1 to our Current Report on Form 8-K filed December 11, 2014).</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3540" w:type="dxa"/>
            <w:vAlign w:val="bottom"/>
            <w:gridSpan w:val="9"/>
          </w:tcPr>
          <w:p>
            <w:pPr>
              <w:spacing w:after="0" w:line="20" w:lineRule="exact"/>
              <w:rPr>
                <w:sz w:val="1"/>
                <w:szCs w:val="1"/>
                <w:color w:val="auto"/>
              </w:rPr>
            </w:pPr>
          </w:p>
        </w:tc>
        <w:tc>
          <w:tcPr>
            <w:tcW w:w="54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73">
              <w:r>
                <w:rPr>
                  <w:rFonts w:ascii="Arial" w:cs="Arial" w:eastAsia="Arial" w:hAnsi="Arial"/>
                  <w:sz w:val="18"/>
                  <w:szCs w:val="18"/>
                  <w:color w:val="0000FF"/>
                  <w:w w:val="97"/>
                </w:rPr>
                <w:t>Twenty-Eighth Supplemental Indenture (4.90% Senior Notes due 2045) dated December 9, 2014, by and among Plains All</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8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American Pipeline, L.P., PAA Finance Corp. and U.S. Bank National Association, as trustee (incorporated by reference to</w:t>
              </w:r>
            </w:hyperlink>
          </w:p>
        </w:tc>
        <w:tc>
          <w:tcPr>
            <w:tcW w:w="60" w:type="dxa"/>
            <w:vAlign w:val="bottom"/>
            <w:tcBorders>
              <w:top w:val="single" w:sz="8" w:color="0000FF"/>
            </w:tcBorders>
          </w:tcPr>
          <w:p>
            <w:pPr>
              <w:spacing w:after="0"/>
              <w:rPr>
                <w:sz w:val="17"/>
                <w:szCs w:val="17"/>
                <w:color w:val="auto"/>
              </w:rPr>
            </w:pPr>
          </w:p>
        </w:tc>
        <w:tc>
          <w:tcPr>
            <w:tcW w:w="620" w:type="dxa"/>
            <w:vAlign w:val="bottom"/>
            <w:gridSpan w:val="14"/>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28"/>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Exhibit 4.3 to our Current Report on Form 8-K filed December 11, 2014).</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00" w:type="dxa"/>
            <w:vAlign w:val="bottom"/>
            <w:gridSpan w:val="5"/>
            <w:shd w:val="clear" w:color="auto" w:fill="0000FF"/>
          </w:tcPr>
          <w:p>
            <w:pPr>
              <w:spacing w:after="0" w:line="20" w:lineRule="exact"/>
              <w:rPr>
                <w:sz w:val="1"/>
                <w:szCs w:val="1"/>
                <w:color w:val="auto"/>
              </w:rPr>
            </w:pPr>
          </w:p>
        </w:tc>
        <w:tc>
          <w:tcPr>
            <w:tcW w:w="4080" w:type="dxa"/>
            <w:vAlign w:val="bottom"/>
            <w:gridSpan w:val="2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100" w:type="dxa"/>
            <w:vAlign w:val="bottom"/>
          </w:tcPr>
          <w:p>
            <w:pPr>
              <w:spacing w:after="0"/>
              <w:rPr>
                <w:sz w:val="24"/>
                <w:szCs w:val="24"/>
                <w:color w:val="auto"/>
              </w:rPr>
            </w:pPr>
          </w:p>
        </w:tc>
        <w:tc>
          <w:tcPr>
            <w:tcW w:w="9960" w:type="dxa"/>
            <w:vAlign w:val="bottom"/>
            <w:gridSpan w:val="29"/>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74">
              <w:r>
                <w:rPr>
                  <w:rFonts w:ascii="Arial" w:cs="Arial" w:eastAsia="Arial" w:hAnsi="Arial"/>
                  <w:sz w:val="18"/>
                  <w:szCs w:val="18"/>
                  <w:color w:val="0000FF"/>
                  <w:w w:val="92"/>
                </w:rPr>
                <w:t>Twenty-Ninth Supplemental Indenture (4.65% Senior Notes due 2025) dated August 24, 2015, by and among Plains All American</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80" w:type="dxa"/>
            <w:vAlign w:val="bottom"/>
            <w:tcBorders>
              <w:top w:val="single" w:sz="8" w:color="0000FF"/>
            </w:tcBorders>
            <w:gridSpan w:val="27"/>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Pipeline, L.P., PAA Finance Corp. and U.S. Bank National Association, as trustee (incorporated by reference to Exhibit 4.1 to our</w:t>
              </w:r>
            </w:hyperlink>
          </w:p>
        </w:tc>
        <w:tc>
          <w:tcPr>
            <w:tcW w:w="8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2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Current Report on Form 8-K filed August 26, 2015).</w:t>
              </w:r>
            </w:hyperlink>
          </w:p>
        </w:tc>
        <w:tc>
          <w:tcPr>
            <w:tcW w:w="140" w:type="dxa"/>
            <w:vAlign w:val="bottom"/>
            <w:gridSpan w:val="3"/>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108" w:right="319" w:bottom="838" w:gutter="0" w:footer="0" w:header="0"/>
        </w:sect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40"/>
          </w:cols>
          <w:pgMar w:left="240" w:top="108" w:right="319" w:bottom="838"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jc w:val="center"/>
              <w:ind w:right="100"/>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91"/>
              </w:rPr>
              <w:t>4.16</w:t>
            </w:r>
          </w:p>
        </w:tc>
        <w:tc>
          <w:tcPr>
            <w:tcW w:w="100" w:type="dxa"/>
            <w:vAlign w:val="bottom"/>
          </w:tcPr>
          <w:p>
            <w:pPr>
              <w:spacing w:after="0"/>
              <w:rPr>
                <w:sz w:val="24"/>
                <w:szCs w:val="24"/>
                <w:color w:val="auto"/>
              </w:rPr>
            </w:pPr>
          </w:p>
        </w:tc>
        <w:tc>
          <w:tcPr>
            <w:tcW w:w="9920" w:type="dxa"/>
            <w:vAlign w:val="bottom"/>
            <w:gridSpan w:val="19"/>
          </w:tcPr>
          <w:p>
            <w:pPr>
              <w:ind w:left="8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75">
              <w:r>
                <w:rPr>
                  <w:rFonts w:ascii="Arial" w:cs="Arial" w:eastAsia="Arial" w:hAnsi="Arial"/>
                  <w:sz w:val="18"/>
                  <w:szCs w:val="18"/>
                  <w:color w:val="0000FF"/>
                  <w:w w:val="93"/>
                </w:rPr>
                <w:t>Thirtieth Supplemental Indenture (4.50% Senior Notes due 2026) dated November 22, 2016, by and among Plains All American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4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75">
              <w:r>
                <w:rPr>
                  <w:rFonts w:ascii="Arial" w:cs="Arial" w:eastAsia="Arial" w:hAnsi="Arial"/>
                  <w:sz w:val="18"/>
                  <w:szCs w:val="18"/>
                  <w:color w:val="0000FF"/>
                  <w:w w:val="90"/>
                </w:rPr>
                <w:t>Pipeline, L.P., PAA Finance Corp. and U.S. Bank National Association, as trustee (incorporated by reference to Exhibit 4.1 to our</w:t>
              </w:r>
            </w:hyperlink>
          </w:p>
        </w:tc>
        <w:tc>
          <w:tcPr>
            <w:tcW w:w="8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20" w:type="dxa"/>
            <w:vAlign w:val="bottom"/>
            <w:gridSpan w:val="18"/>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Current Report on Form 8-K filed November 29, 2016)</w:t>
              </w:r>
              <w:r>
                <w:rPr>
                  <w:rFonts w:ascii="Arial" w:cs="Arial" w:eastAsia="Arial" w:hAnsi="Arial"/>
                  <w:sz w:val="18"/>
                  <w:szCs w:val="18"/>
                  <w:color w:val="000000"/>
                </w:rPr>
                <w:t>.</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100" w:type="dxa"/>
            <w:vAlign w:val="bottom"/>
          </w:tcPr>
          <w:p>
            <w:pPr>
              <w:spacing w:after="0"/>
              <w:rPr>
                <w:sz w:val="24"/>
                <w:szCs w:val="24"/>
                <w:color w:val="auto"/>
              </w:rPr>
            </w:pPr>
          </w:p>
        </w:tc>
        <w:tc>
          <w:tcPr>
            <w:tcW w:w="9920" w:type="dxa"/>
            <w:vAlign w:val="bottom"/>
            <w:gridSpan w:val="19"/>
          </w:tcPr>
          <w:p>
            <w:pPr>
              <w:ind w:left="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76">
              <w:r>
                <w:rPr>
                  <w:rFonts w:ascii="Arial" w:cs="Arial" w:eastAsia="Arial" w:hAnsi="Arial"/>
                  <w:sz w:val="18"/>
                  <w:szCs w:val="18"/>
                  <w:color w:val="0000FF"/>
                  <w:w w:val="96"/>
                </w:rPr>
                <w:t>Registration Rights Agreement dated September 3, 2009 by and between Plains All American Pipeline, L.P. and Vulcan Gas</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940" w:type="dxa"/>
            <w:vAlign w:val="bottom"/>
            <w:tcBorders>
              <w:top w:val="single" w:sz="8" w:color="0000FF"/>
            </w:tcBorders>
            <w:gridSpan w:val="12"/>
          </w:tcPr>
          <w:p>
            <w:pPr>
              <w:spacing w:after="0" w:line="196" w:lineRule="exact"/>
              <w:rPr>
                <w:rFonts w:ascii="Arial" w:cs="Arial" w:eastAsia="Arial" w:hAnsi="Arial"/>
                <w:sz w:val="18"/>
                <w:szCs w:val="18"/>
                <w:color w:val="0000FF"/>
                <w:w w:val="93"/>
              </w:rPr>
            </w:pPr>
            <w:hyperlink r:id="rId76">
              <w:r>
                <w:rPr>
                  <w:rFonts w:ascii="Arial" w:cs="Arial" w:eastAsia="Arial" w:hAnsi="Arial"/>
                  <w:sz w:val="18"/>
                  <w:szCs w:val="18"/>
                  <w:color w:val="0000FF"/>
                  <w:w w:val="93"/>
                </w:rPr>
                <w:t>Storage LLC (incorporated by reference to Exhibit 4.1 to our Registration Statement on Form S-3, File No. 333-162477).</w:t>
              </w:r>
            </w:hyperlink>
          </w:p>
        </w:tc>
        <w:tc>
          <w:tcPr>
            <w:tcW w:w="480" w:type="dxa"/>
            <w:vAlign w:val="bottom"/>
            <w:gridSpan w:val="6"/>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4.18</w:t>
            </w:r>
          </w:p>
        </w:tc>
        <w:tc>
          <w:tcPr>
            <w:tcW w:w="100" w:type="dxa"/>
            <w:vAlign w:val="bottom"/>
          </w:tcPr>
          <w:p>
            <w:pPr>
              <w:spacing w:after="0"/>
              <w:rPr>
                <w:sz w:val="24"/>
                <w:szCs w:val="24"/>
                <w:color w:val="auto"/>
              </w:rPr>
            </w:pPr>
          </w:p>
        </w:tc>
        <w:tc>
          <w:tcPr>
            <w:tcW w:w="9920" w:type="dxa"/>
            <w:vAlign w:val="bottom"/>
            <w:gridSpan w:val="19"/>
          </w:tcPr>
          <w:p>
            <w:pPr>
              <w:ind w:left="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77">
              <w:r>
                <w:rPr>
                  <w:rFonts w:ascii="Arial" w:cs="Arial" w:eastAsia="Arial" w:hAnsi="Arial"/>
                  <w:sz w:val="18"/>
                  <w:szCs w:val="18"/>
                  <w:color w:val="0000FF"/>
                  <w:w w:val="91"/>
                </w:rPr>
                <w:t>Registration Rights Agreement dated as of January 28, 2016 among Plains All American Pipeline, L.P. and the Purchasers named</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therein (incorporated by reference to Exhibit 4.1 to our Current Report on Form 8-K filed February 2, 2016).</w:t>
              </w:r>
            </w:hyperlink>
          </w:p>
        </w:tc>
        <w:tc>
          <w:tcPr>
            <w:tcW w:w="1500" w:type="dxa"/>
            <w:vAlign w:val="bottom"/>
            <w:tcBorders>
              <w:top w:val="single" w:sz="8" w:color="0000FF"/>
            </w:tcBorders>
            <w:gridSpan w:val="7"/>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520"/>
        </w:trPr>
        <w:tc>
          <w:tcPr>
            <w:tcW w:w="1280" w:type="dxa"/>
            <w:vAlign w:val="bottom"/>
          </w:tcPr>
          <w:p>
            <w:pPr>
              <w:jc w:val="center"/>
              <w:spacing w:after="0"/>
              <w:rPr>
                <w:sz w:val="20"/>
                <w:szCs w:val="20"/>
                <w:color w:val="auto"/>
              </w:rPr>
            </w:pPr>
            <w:r>
              <w:rPr>
                <w:rFonts w:ascii="Arial" w:cs="Arial" w:eastAsia="Arial" w:hAnsi="Arial"/>
                <w:sz w:val="18"/>
                <w:szCs w:val="18"/>
                <w:color w:val="auto"/>
                <w:w w:val="91"/>
              </w:rPr>
              <w:t>4.19</w:t>
            </w:r>
          </w:p>
        </w:tc>
        <w:tc>
          <w:tcPr>
            <w:tcW w:w="100" w:type="dxa"/>
            <w:vAlign w:val="bottom"/>
          </w:tcPr>
          <w:p>
            <w:pPr>
              <w:spacing w:after="0"/>
              <w:rPr>
                <w:sz w:val="24"/>
                <w:szCs w:val="24"/>
                <w:color w:val="auto"/>
              </w:rPr>
            </w:pPr>
          </w:p>
        </w:tc>
        <w:tc>
          <w:tcPr>
            <w:tcW w:w="9920" w:type="dxa"/>
            <w:vAlign w:val="bottom"/>
            <w:gridSpan w:val="19"/>
          </w:tcPr>
          <w:p>
            <w:pPr>
              <w:ind w:left="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r:id="rId78">
              <w:r>
                <w:rPr>
                  <w:rFonts w:ascii="Arial" w:cs="Arial" w:eastAsia="Arial" w:hAnsi="Arial"/>
                  <w:sz w:val="18"/>
                  <w:szCs w:val="18"/>
                  <w:color w:val="0000FF"/>
                  <w:w w:val="91"/>
                </w:rPr>
                <w:t>Registration Rights Agreement by and among Plains All American Pipeline, L.P. and the Holders defined therein, dated November</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15, 2016 (incorporated by reference to Exhibit 10.4 to our Current Report on Form 8-K filed November 21, 2016).</w:t>
              </w:r>
            </w:hyperlink>
          </w:p>
        </w:tc>
        <w:tc>
          <w:tcPr>
            <w:tcW w:w="1180" w:type="dxa"/>
            <w:vAlign w:val="bottom"/>
            <w:tcBorders>
              <w:top w:val="single" w:sz="8" w:color="0000FF"/>
            </w:tcBorders>
            <w:gridSpan w:val="9"/>
          </w:tcPr>
          <w:p>
            <w:pPr>
              <w:spacing w:after="0"/>
              <w:rPr>
                <w:sz w:val="17"/>
                <w:szCs w:val="17"/>
                <w:color w:val="auto"/>
              </w:rPr>
            </w:pPr>
          </w:p>
        </w:tc>
      </w:tr>
      <w:tr>
        <w:trPr>
          <w:trHeight w:val="37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 * †</w:t>
            </w:r>
          </w:p>
        </w:tc>
        <w:tc>
          <w:tcPr>
            <w:tcW w:w="9920" w:type="dxa"/>
            <w:vAlign w:val="bottom"/>
            <w:gridSpan w:val="19"/>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2">
              <w:r>
                <w:rPr>
                  <w:rFonts w:ascii="Arial" w:cs="Arial" w:eastAsia="Arial" w:hAnsi="Arial"/>
                  <w:sz w:val="18"/>
                  <w:szCs w:val="18"/>
                  <w:color w:val="0000FF"/>
                </w:rPr>
                <w:t>Second Amendment dated March 22, 2018 to Plains AAP, L.P. Class B Restricted Units Agreement (Willie Chiang).</w:t>
              </w:r>
            </w:hyperlink>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10.2 * †</w:t>
            </w:r>
          </w:p>
        </w:tc>
        <w:tc>
          <w:tcPr>
            <w:tcW w:w="9920" w:type="dxa"/>
            <w:vAlign w:val="bottom"/>
            <w:gridSpan w:val="19"/>
          </w:tcPr>
          <w:p>
            <w:pPr>
              <w:ind w:left="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w:anchor="page65">
              <w:r>
                <w:rPr>
                  <w:rFonts w:ascii="Arial" w:cs="Arial" w:eastAsia="Arial" w:hAnsi="Arial"/>
                  <w:sz w:val="18"/>
                  <w:szCs w:val="18"/>
                  <w:color w:val="0000FF"/>
                  <w:w w:val="92"/>
                </w:rPr>
                <w:t>Form of First Amendment dated March 22, 2018 to Amended and Restated Plains AAP, L.P. Class B Restricted Units Agreement</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65">
              <w:r>
                <w:rPr>
                  <w:rFonts w:ascii="Arial" w:cs="Arial" w:eastAsia="Arial" w:hAnsi="Arial"/>
                  <w:sz w:val="18"/>
                  <w:szCs w:val="18"/>
                  <w:color w:val="0000FF"/>
                  <w:w w:val="90"/>
                </w:rPr>
                <w:t>dated August 25, 2016 (Officers).</w:t>
              </w:r>
            </w:hyperlink>
          </w:p>
        </w:tc>
        <w:tc>
          <w:tcPr>
            <w:tcW w:w="6880" w:type="dxa"/>
            <w:vAlign w:val="bottom"/>
            <w:tcBorders>
              <w:top w:val="single" w:sz="8" w:color="0000FF"/>
            </w:tcBorders>
            <w:gridSpan w:val="12"/>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37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10.3 * †</w:t>
            </w:r>
          </w:p>
        </w:tc>
        <w:tc>
          <w:tcPr>
            <w:tcW w:w="9920" w:type="dxa"/>
            <w:vAlign w:val="bottom"/>
            <w:gridSpan w:val="19"/>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8">
              <w:r>
                <w:rPr>
                  <w:rFonts w:ascii="Arial" w:cs="Arial" w:eastAsia="Arial" w:hAnsi="Arial"/>
                  <w:sz w:val="18"/>
                  <w:szCs w:val="18"/>
                  <w:color w:val="0000FF"/>
                </w:rPr>
                <w:t>Amendment dated March 22, 2018 to PAA LTIP Grant Letter dated August 24, 2015 (Willie Chiang).</w:t>
              </w:r>
            </w:hyperlink>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10.4 * †</w:t>
            </w:r>
          </w:p>
        </w:tc>
        <w:tc>
          <w:tcPr>
            <w:tcW w:w="9920" w:type="dxa"/>
            <w:vAlign w:val="bottom"/>
            <w:gridSpan w:val="19"/>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3">
              <w:r>
                <w:rPr>
                  <w:rFonts w:ascii="Arial" w:cs="Arial" w:eastAsia="Arial" w:hAnsi="Arial"/>
                  <w:sz w:val="18"/>
                  <w:szCs w:val="18"/>
                  <w:color w:val="0000FF"/>
                </w:rPr>
                <w:t>Form of Amendment dated March 22, 2018 to PAA LTIP Grant Letter dated August 25, 2016 (Officers).</w:t>
              </w:r>
            </w:hyperlink>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10.5 * †</w:t>
            </w:r>
          </w:p>
        </w:tc>
        <w:tc>
          <w:tcPr>
            <w:tcW w:w="9920" w:type="dxa"/>
            <w:vAlign w:val="bottom"/>
            <w:gridSpan w:val="19"/>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9">
              <w:r>
                <w:rPr>
                  <w:rFonts w:ascii="Arial" w:cs="Arial" w:eastAsia="Arial" w:hAnsi="Arial"/>
                  <w:sz w:val="18"/>
                  <w:szCs w:val="18"/>
                  <w:color w:val="0000FF"/>
                </w:rPr>
                <w:t>Form of PAA LTIP Grant Letter for Officers (March 2018).</w:t>
              </w:r>
            </w:hyperlink>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12.1 †</w:t>
            </w:r>
          </w:p>
        </w:tc>
        <w:tc>
          <w:tcPr>
            <w:tcW w:w="9920" w:type="dxa"/>
            <w:vAlign w:val="bottom"/>
            <w:gridSpan w:val="19"/>
          </w:tcPr>
          <w:p>
            <w:pPr>
              <w:ind w:left="80"/>
              <w:spacing w:after="0"/>
              <w:rPr>
                <w:rFonts w:ascii="Arial" w:cs="Arial" w:eastAsia="Arial" w:hAnsi="Arial"/>
                <w:sz w:val="18"/>
                <w:szCs w:val="18"/>
                <w:color w:val="auto"/>
                <w:w w:val="91"/>
              </w:rPr>
            </w:pPr>
            <w:r>
              <w:rPr>
                <w:rFonts w:ascii="Arial" w:cs="Arial" w:eastAsia="Arial" w:hAnsi="Arial"/>
                <w:sz w:val="18"/>
                <w:szCs w:val="18"/>
                <w:color w:val="auto"/>
                <w:w w:val="91"/>
              </w:rPr>
              <w:t xml:space="preserve">—   </w:t>
            </w:r>
            <w:hyperlink w:anchor="page84">
              <w:r>
                <w:rPr>
                  <w:rFonts w:ascii="Arial" w:cs="Arial" w:eastAsia="Arial" w:hAnsi="Arial"/>
                  <w:sz w:val="18"/>
                  <w:szCs w:val="18"/>
                  <w:color w:val="0000FF"/>
                  <w:w w:val="91"/>
                </w:rPr>
                <w:t>Statement of Computation of Ratio of Earnings to Fixed Charges and Ratio of Earnings to Combined Fixed Charges and Preferred</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8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84">
              <w:r>
                <w:rPr>
                  <w:rFonts w:ascii="Arial" w:cs="Arial" w:eastAsia="Arial" w:hAnsi="Arial"/>
                  <w:sz w:val="18"/>
                  <w:szCs w:val="18"/>
                  <w:color w:val="0000FF"/>
                </w:rPr>
                <w:t>Unit Distributions.</w:t>
              </w:r>
            </w:hyperlink>
          </w:p>
        </w:tc>
        <w:tc>
          <w:tcPr>
            <w:tcW w:w="40" w:type="dxa"/>
            <w:vAlign w:val="bottom"/>
          </w:tcPr>
          <w:p>
            <w:pPr>
              <w:spacing w:after="0"/>
              <w:rPr>
                <w:sz w:val="17"/>
                <w:szCs w:val="17"/>
                <w:color w:val="auto"/>
              </w:rPr>
            </w:pPr>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40" w:type="dxa"/>
            <w:vAlign w:val="bottom"/>
            <w:gridSpan w:val="12"/>
          </w:tcPr>
          <w:p>
            <w:pPr>
              <w:spacing w:after="0" w:line="20" w:lineRule="exact"/>
              <w:rPr>
                <w:sz w:val="1"/>
                <w:szCs w:val="1"/>
                <w:color w:val="auto"/>
              </w:rPr>
            </w:pPr>
          </w:p>
        </w:tc>
      </w:tr>
      <w:tr>
        <w:trPr>
          <w:trHeight w:val="37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31.1 †</w:t>
            </w:r>
          </w:p>
        </w:tc>
        <w:tc>
          <w:tcPr>
            <w:tcW w:w="9920" w:type="dxa"/>
            <w:vAlign w:val="bottom"/>
            <w:gridSpan w:val="19"/>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85">
              <w:r>
                <w:rPr>
                  <w:rFonts w:ascii="Arial" w:cs="Arial" w:eastAsia="Arial" w:hAnsi="Arial"/>
                  <w:sz w:val="18"/>
                  <w:szCs w:val="18"/>
                  <w:color w:val="0000FF"/>
                </w:rPr>
                <w:t>Certification of Principal Executive Officer pursuant to Exchange Act Rules 13a-14(a) and 15d-14(a).</w:t>
              </w:r>
            </w:hyperlink>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tcBorders>
              <w:left w:val="single" w:sz="8" w:color="0000FF"/>
            </w:tcBorders>
            <w:gridSpan w:val="12"/>
          </w:tcPr>
          <w:p>
            <w:pPr>
              <w:spacing w:after="0" w:line="20" w:lineRule="exact"/>
              <w:rPr>
                <w:sz w:val="1"/>
                <w:szCs w:val="1"/>
                <w:color w:val="auto"/>
              </w:rPr>
            </w:pPr>
          </w:p>
        </w:tc>
      </w:tr>
      <w:tr>
        <w:trPr>
          <w:trHeight w:val="37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31.2 †</w:t>
            </w:r>
          </w:p>
        </w:tc>
        <w:tc>
          <w:tcPr>
            <w:tcW w:w="9920" w:type="dxa"/>
            <w:vAlign w:val="bottom"/>
            <w:gridSpan w:val="19"/>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86">
              <w:r>
                <w:rPr>
                  <w:rFonts w:ascii="Arial" w:cs="Arial" w:eastAsia="Arial" w:hAnsi="Arial"/>
                  <w:sz w:val="18"/>
                  <w:szCs w:val="18"/>
                  <w:color w:val="0000FF"/>
                </w:rPr>
                <w:t>Certification of Principal Financial Officer pursuant to Exchange Act Rules 13a-14(a) and 15d-14(a).</w:t>
              </w:r>
            </w:hyperlink>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216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gridSpan w:val="12"/>
          </w:tcPr>
          <w:p>
            <w:pPr>
              <w:spacing w:after="0" w:line="20" w:lineRule="exact"/>
              <w:rPr>
                <w:sz w:val="1"/>
                <w:szCs w:val="1"/>
                <w:color w:val="auto"/>
              </w:rPr>
            </w:pPr>
          </w:p>
        </w:tc>
      </w:tr>
      <w:tr>
        <w:trPr>
          <w:trHeight w:val="37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32.1 ††</w:t>
            </w:r>
          </w:p>
        </w:tc>
        <w:tc>
          <w:tcPr>
            <w:tcW w:w="9920" w:type="dxa"/>
            <w:vAlign w:val="bottom"/>
            <w:gridSpan w:val="19"/>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87">
              <w:r>
                <w:rPr>
                  <w:rFonts w:ascii="Arial" w:cs="Arial" w:eastAsia="Arial" w:hAnsi="Arial"/>
                  <w:sz w:val="18"/>
                  <w:szCs w:val="18"/>
                  <w:color w:val="0000FF"/>
                </w:rPr>
                <w:t>Certification of Principal Executive Officer pursuant to 18 U.S.C. 1350.</w:t>
              </w:r>
            </w:hyperlink>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4300" w:type="dxa"/>
            <w:vAlign w:val="bottom"/>
            <w:tcBorders>
              <w:left w:val="single" w:sz="8" w:color="0000FF"/>
            </w:tcBorders>
            <w:gridSpan w:val="13"/>
          </w:tcPr>
          <w:p>
            <w:pPr>
              <w:spacing w:after="0" w:line="20" w:lineRule="exact"/>
              <w:rPr>
                <w:sz w:val="1"/>
                <w:szCs w:val="1"/>
                <w:color w:val="auto"/>
              </w:rPr>
            </w:pPr>
          </w:p>
        </w:tc>
      </w:tr>
      <w:tr>
        <w:trPr>
          <w:trHeight w:val="37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32.2 ††</w:t>
            </w:r>
          </w:p>
        </w:tc>
        <w:tc>
          <w:tcPr>
            <w:tcW w:w="9920" w:type="dxa"/>
            <w:vAlign w:val="bottom"/>
            <w:gridSpan w:val="19"/>
          </w:tcPr>
          <w:p>
            <w:pPr>
              <w:ind w:left="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88">
              <w:r>
                <w:rPr>
                  <w:rFonts w:ascii="Arial" w:cs="Arial" w:eastAsia="Arial" w:hAnsi="Arial"/>
                  <w:sz w:val="18"/>
                  <w:szCs w:val="18"/>
                  <w:color w:val="0000FF"/>
                </w:rPr>
                <w:t>Certification of Principal Financial Officer pursuant to 18 U.S.C. 1350.</w:t>
              </w:r>
            </w:hyperlink>
          </w:p>
        </w:tc>
      </w:tr>
      <w:tr>
        <w:trPr>
          <w:trHeight w:val="20"/>
        </w:trPr>
        <w:tc>
          <w:tcPr>
            <w:tcW w:w="1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4300" w:type="dxa"/>
            <w:vAlign w:val="bottom"/>
            <w:gridSpan w:val="13"/>
          </w:tcPr>
          <w:p>
            <w:pPr>
              <w:spacing w:after="0" w:line="20" w:lineRule="exact"/>
              <w:rPr>
                <w:sz w:val="1"/>
                <w:szCs w:val="1"/>
                <w:color w:val="auto"/>
              </w:rPr>
            </w:pPr>
          </w:p>
        </w:tc>
      </w:tr>
      <w:tr>
        <w:trPr>
          <w:trHeight w:val="41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101.INS†</w:t>
            </w:r>
          </w:p>
        </w:tc>
        <w:tc>
          <w:tcPr>
            <w:tcW w:w="9920" w:type="dxa"/>
            <w:vAlign w:val="bottom"/>
            <w:gridSpan w:val="19"/>
          </w:tcPr>
          <w:p>
            <w:pPr>
              <w:ind w:left="80"/>
              <w:spacing w:after="0"/>
              <w:rPr>
                <w:sz w:val="20"/>
                <w:szCs w:val="20"/>
                <w:color w:val="auto"/>
              </w:rPr>
            </w:pPr>
            <w:r>
              <w:rPr>
                <w:rFonts w:ascii="Arial" w:cs="Arial" w:eastAsia="Arial" w:hAnsi="Arial"/>
                <w:sz w:val="18"/>
                <w:szCs w:val="18"/>
                <w:color w:val="auto"/>
              </w:rPr>
              <w:t>—   XBRL Instance Document</w:t>
            </w:r>
          </w:p>
        </w:tc>
      </w:tr>
      <w:tr>
        <w:trPr>
          <w:trHeight w:val="39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101.SCH†</w:t>
            </w:r>
          </w:p>
        </w:tc>
        <w:tc>
          <w:tcPr>
            <w:tcW w:w="9920" w:type="dxa"/>
            <w:vAlign w:val="bottom"/>
            <w:gridSpan w:val="19"/>
          </w:tcPr>
          <w:p>
            <w:pPr>
              <w:ind w:left="80"/>
              <w:spacing w:after="0"/>
              <w:rPr>
                <w:sz w:val="20"/>
                <w:szCs w:val="20"/>
                <w:color w:val="auto"/>
              </w:rPr>
            </w:pPr>
            <w:r>
              <w:rPr>
                <w:rFonts w:ascii="Arial" w:cs="Arial" w:eastAsia="Arial" w:hAnsi="Arial"/>
                <w:sz w:val="18"/>
                <w:szCs w:val="18"/>
                <w:color w:val="auto"/>
              </w:rPr>
              <w:t>—   XBRL Taxonomy Extension Schema Document</w:t>
            </w:r>
          </w:p>
        </w:tc>
      </w:tr>
      <w:tr>
        <w:trPr>
          <w:trHeight w:val="39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101.CAL†</w:t>
            </w:r>
          </w:p>
        </w:tc>
        <w:tc>
          <w:tcPr>
            <w:tcW w:w="9920" w:type="dxa"/>
            <w:vAlign w:val="bottom"/>
            <w:gridSpan w:val="19"/>
          </w:tcPr>
          <w:p>
            <w:pPr>
              <w:ind w:left="8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39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101.DEF†</w:t>
            </w:r>
          </w:p>
        </w:tc>
        <w:tc>
          <w:tcPr>
            <w:tcW w:w="9920" w:type="dxa"/>
            <w:vAlign w:val="bottom"/>
            <w:gridSpan w:val="19"/>
          </w:tcPr>
          <w:p>
            <w:pPr>
              <w:ind w:left="80"/>
              <w:spacing w:after="0"/>
              <w:rPr>
                <w:sz w:val="20"/>
                <w:szCs w:val="20"/>
                <w:color w:val="auto"/>
              </w:rPr>
            </w:pPr>
            <w:r>
              <w:rPr>
                <w:rFonts w:ascii="Arial" w:cs="Arial" w:eastAsia="Arial" w:hAnsi="Arial"/>
                <w:sz w:val="18"/>
                <w:szCs w:val="18"/>
                <w:color w:val="auto"/>
              </w:rPr>
              <w:t>—   XBRL Taxonomy Extension Definition Linkbase Document</w:t>
            </w:r>
          </w:p>
        </w:tc>
      </w:tr>
      <w:tr>
        <w:trPr>
          <w:trHeight w:val="392"/>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101.LAB†</w:t>
            </w:r>
          </w:p>
        </w:tc>
        <w:tc>
          <w:tcPr>
            <w:tcW w:w="9920" w:type="dxa"/>
            <w:vAlign w:val="bottom"/>
            <w:gridSpan w:val="19"/>
          </w:tcPr>
          <w:p>
            <w:pPr>
              <w:ind w:left="80"/>
              <w:spacing w:after="0"/>
              <w:rPr>
                <w:sz w:val="20"/>
                <w:szCs w:val="20"/>
                <w:color w:val="auto"/>
              </w:rPr>
            </w:pPr>
            <w:r>
              <w:rPr>
                <w:rFonts w:ascii="Arial" w:cs="Arial" w:eastAsia="Arial" w:hAnsi="Arial"/>
                <w:sz w:val="18"/>
                <w:szCs w:val="18"/>
                <w:color w:val="auto"/>
              </w:rPr>
              <w:t>—   XBRL Taxonomy Extension Label Linkbase Document</w:t>
            </w:r>
          </w:p>
        </w:tc>
      </w:tr>
      <w:tr>
        <w:trPr>
          <w:trHeight w:val="392"/>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101.PRE†</w:t>
            </w:r>
          </w:p>
        </w:tc>
        <w:tc>
          <w:tcPr>
            <w:tcW w:w="9920" w:type="dxa"/>
            <w:vAlign w:val="bottom"/>
            <w:gridSpan w:val="19"/>
          </w:tcPr>
          <w:p>
            <w:pPr>
              <w:ind w:left="80"/>
              <w:spacing w:after="0"/>
              <w:rPr>
                <w:sz w:val="20"/>
                <w:szCs w:val="20"/>
                <w:color w:val="auto"/>
              </w:rPr>
            </w:pPr>
            <w:r>
              <w:rPr>
                <w:rFonts w:ascii="Arial" w:cs="Arial" w:eastAsia="Arial" w:hAnsi="Arial"/>
                <w:sz w:val="18"/>
                <w:szCs w:val="18"/>
                <w:color w:val="auto"/>
              </w:rPr>
              <w:t>—   XBRL Taxonomy Extension Presentation Linkbase Document</w:t>
            </w:r>
          </w:p>
        </w:tc>
      </w:tr>
    </w:tbl>
    <w:p>
      <w:pPr>
        <w:spacing w:after="0" w:line="283"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44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9">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97"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00"/>
          </w:cols>
          <w:pgMar w:left="240" w:top="108" w:right="3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ALL AMERICAN PIPELINE, L.P.</w:t>
      </w:r>
    </w:p>
    <w:p>
      <w:pPr>
        <w:spacing w:after="0" w:line="33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PAA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Plains AAP, L.P.,</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sole member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PLAINS ALL AMERICAN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i w:val="1"/>
                <w:iCs w:val="1"/>
                <w:color w:val="auto"/>
              </w:rPr>
              <w:t>its general partner</w:t>
            </w:r>
          </w:p>
        </w:tc>
      </w:tr>
      <w:tr>
        <w:trPr>
          <w:trHeight w:val="54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Greg L. Armstrong</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Greg L. Armstrong,</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Chief Executive Officer of Plains All American GP LLC</w:t>
            </w:r>
          </w:p>
        </w:tc>
      </w:tr>
      <w:tr>
        <w:trPr>
          <w:trHeight w:val="270"/>
        </w:trPr>
        <w:tc>
          <w:tcPr>
            <w:tcW w:w="64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(Principal Executive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9, 2018</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6"/>
          <w:szCs w:val="16"/>
          <w:b w:val="1"/>
          <w:bCs w:val="1"/>
          <w:i w:val="1"/>
          <w:iCs w:val="1"/>
          <w:color w:val="auto"/>
        </w:rPr>
        <w:t>Executive Vice President and Chief Financial Officer of Plains All</w:t>
      </w:r>
    </w:p>
    <w:p>
      <w:pPr>
        <w:spacing w:after="0" w:line="46"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American GP LLC</w:t>
      </w:r>
    </w:p>
    <w:p>
      <w:pPr>
        <w:spacing w:after="0" w:line="49"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9, 2018</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3"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7"/>
          <w:szCs w:val="17"/>
          <w:b w:val="1"/>
          <w:bCs w:val="1"/>
          <w:i w:val="1"/>
          <w:iCs w:val="1"/>
          <w:color w:val="auto"/>
        </w:rPr>
        <w:t>Vice President —Accounting and Chief Accounting Officer of</w:t>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Plains All American GP LLC</w:t>
      </w:r>
    </w:p>
    <w:p>
      <w:pPr>
        <w:spacing w:after="0" w:line="49"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10.1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PLAINS AAP, L.P. CLASS B</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UNITS AGREEMENT</w:t>
      </w:r>
    </w:p>
    <w:p>
      <w:pPr>
        <w:spacing w:after="0" w:line="3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This Second Amendment to Plains AAP, L.P. Class B Restricted Units Agreement (this “Amendment”) is entered into effective as of the 22nd day of March, 2018 by and between Plains AAP, L.P., a Delaware limited partnership (the “Partnership”) and the undersigned individual (“Executive”).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87" w:lineRule="exact"/>
        <w:rPr>
          <w:sz w:val="20"/>
          <w:szCs w:val="20"/>
          <w:color w:val="auto"/>
        </w:rPr>
      </w:pPr>
    </w:p>
    <w:p>
      <w:pPr>
        <w:jc w:val="both"/>
        <w:ind w:firstLine="324"/>
        <w:spacing w:after="0" w:line="350"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the Partnership and Executive have previously entered into that certain Plains AAP, L.P. Class B Restricted Unit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dated as of August 24, 2015 (such agreement being herein referred to as the “Class B Agreement”).</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Partnership and Executive have previously entered into that certain First Amendment to the Class B</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dated as of August 25, 2016 (the “First Amendment”).</w:t>
      </w:r>
    </w:p>
    <w:p>
      <w:pPr>
        <w:spacing w:after="0" w:line="20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Executive and the Partnership desire to enter into this Amendment for the purpose of evidencing certain mutually</w:t>
      </w:r>
      <w:r>
        <w:rPr>
          <w:rFonts w:ascii="Arial" w:cs="Arial" w:eastAsia="Arial" w:hAnsi="Arial"/>
          <w:sz w:val="22"/>
          <w:szCs w:val="22"/>
          <w:b w:val="1"/>
          <w:bCs w:val="1"/>
          <w:color w:val="auto"/>
        </w:rPr>
        <w:t xml:space="preserve"> </w:t>
      </w:r>
      <w:r>
        <w:rPr>
          <w:rFonts w:ascii="Arial" w:cs="Arial" w:eastAsia="Arial" w:hAnsi="Arial"/>
          <w:sz w:val="22"/>
          <w:szCs w:val="22"/>
          <w:color w:val="auto"/>
        </w:rPr>
        <w:t>beneficial amendments to the Class B Agreement.</w:t>
      </w:r>
    </w:p>
    <w:p>
      <w:pPr>
        <w:spacing w:after="0" w:line="203" w:lineRule="exact"/>
        <w:rPr>
          <w:sz w:val="20"/>
          <w:szCs w:val="20"/>
          <w:color w:val="auto"/>
        </w:rPr>
      </w:pPr>
    </w:p>
    <w:p>
      <w:pPr>
        <w:jc w:val="both"/>
        <w:ind w:firstLine="324"/>
        <w:spacing w:after="0" w:line="315"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agreements set forth herein and other good and valuable consideration,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receipt and sufficiency of which are hereby acknowledged, the Partnership and Executive hereby agree that Section 2.2(b) of the Class B Agreement, as amended by the First Amendment, is hereby deleted and replaced in its entirety as follows:</w:t>
      </w:r>
    </w:p>
    <w:p>
      <w:pPr>
        <w:spacing w:after="0" w:line="172" w:lineRule="exact"/>
        <w:rPr>
          <w:sz w:val="20"/>
          <w:szCs w:val="20"/>
          <w:color w:val="auto"/>
        </w:rPr>
      </w:pPr>
    </w:p>
    <w:p>
      <w:pPr>
        <w:ind w:left="960" w:hanging="304"/>
        <w:spacing w:after="0"/>
        <w:tabs>
          <w:tab w:leader="none" w:pos="960" w:val="left"/>
        </w:tabs>
        <w:numPr>
          <w:ilvl w:val="0"/>
          <w:numId w:val="49"/>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Earned Units. </w:t>
      </w:r>
      <w:r>
        <w:rPr>
          <w:rFonts w:ascii="Arial" w:cs="Arial" w:eastAsia="Arial" w:hAnsi="Arial"/>
          <w:sz w:val="19"/>
          <w:szCs w:val="19"/>
          <w:color w:val="auto"/>
        </w:rPr>
        <w:t>The Partnership and Executive acknowledge and agree that the Granted Units shall become Earned Units</w:t>
      </w:r>
    </w:p>
    <w:p>
      <w:pPr>
        <w:spacing w:after="0" w:line="56" w:lineRule="exact"/>
        <w:rPr>
          <w:rFonts w:ascii="Arial" w:cs="Arial" w:eastAsia="Arial" w:hAnsi="Arial"/>
          <w:sz w:val="19"/>
          <w:szCs w:val="19"/>
          <w:i w:val="1"/>
          <w:iCs w:val="1"/>
          <w:color w:val="auto"/>
        </w:rPr>
      </w:pPr>
    </w:p>
    <w:p>
      <w:pPr>
        <w:spacing w:after="0"/>
        <w:rPr>
          <w:rFonts w:ascii="Arial" w:cs="Arial" w:eastAsia="Arial" w:hAnsi="Arial"/>
          <w:sz w:val="19"/>
          <w:szCs w:val="19"/>
          <w:i w:val="1"/>
          <w:iCs w:val="1"/>
          <w:color w:val="auto"/>
        </w:rPr>
      </w:pPr>
      <w:r>
        <w:rPr>
          <w:rFonts w:ascii="Arial" w:cs="Arial" w:eastAsia="Arial" w:hAnsi="Arial"/>
          <w:sz w:val="22"/>
          <w:szCs w:val="22"/>
          <w:color w:val="auto"/>
        </w:rPr>
        <w:t>as follows:</w:t>
      </w:r>
    </w:p>
    <w:p>
      <w:pPr>
        <w:spacing w:after="0" w:line="201" w:lineRule="exact"/>
        <w:rPr>
          <w:rFonts w:ascii="Arial" w:cs="Arial" w:eastAsia="Arial" w:hAnsi="Arial"/>
          <w:sz w:val="19"/>
          <w:szCs w:val="19"/>
          <w:i w:val="1"/>
          <w:iCs w:val="1"/>
          <w:color w:val="auto"/>
        </w:rPr>
      </w:pPr>
    </w:p>
    <w:p>
      <w:pPr>
        <w:ind w:left="1620" w:right="20" w:hanging="315"/>
        <w:spacing w:after="0" w:line="263" w:lineRule="auto"/>
        <w:tabs>
          <w:tab w:leader="none" w:pos="1620" w:val="left"/>
        </w:tabs>
        <w:numPr>
          <w:ilvl w:val="1"/>
          <w:numId w:val="49"/>
        </w:numPr>
        <w:rPr>
          <w:rFonts w:ascii="Arial" w:cs="Arial" w:eastAsia="Arial" w:hAnsi="Arial"/>
          <w:sz w:val="22"/>
          <w:szCs w:val="22"/>
          <w:color w:val="auto"/>
        </w:rPr>
      </w:pPr>
      <w:r>
        <w:rPr>
          <w:rFonts w:ascii="Arial" w:cs="Arial" w:eastAsia="Arial" w:hAnsi="Arial"/>
          <w:sz w:val="22"/>
          <w:szCs w:val="22"/>
          <w:color w:val="auto"/>
        </w:rPr>
        <w:t>50% will become Earned Units when the MLP generates distributable cash flow (“DCF”) per MLP Common Unit on a trailing four quarter basis equal to $1.90;</w:t>
      </w:r>
    </w:p>
    <w:p>
      <w:pPr>
        <w:spacing w:after="0" w:line="174" w:lineRule="exact"/>
        <w:rPr>
          <w:rFonts w:ascii="Arial" w:cs="Arial" w:eastAsia="Arial" w:hAnsi="Arial"/>
          <w:sz w:val="22"/>
          <w:szCs w:val="22"/>
          <w:color w:val="auto"/>
        </w:rPr>
      </w:pPr>
    </w:p>
    <w:p>
      <w:pPr>
        <w:ind w:left="1620" w:right="20" w:hanging="315"/>
        <w:spacing w:after="0" w:line="263" w:lineRule="auto"/>
        <w:tabs>
          <w:tab w:leader="none" w:pos="1620" w:val="left"/>
        </w:tabs>
        <w:numPr>
          <w:ilvl w:val="1"/>
          <w:numId w:val="49"/>
        </w:numPr>
        <w:rPr>
          <w:rFonts w:ascii="Arial" w:cs="Arial" w:eastAsia="Arial" w:hAnsi="Arial"/>
          <w:sz w:val="22"/>
          <w:szCs w:val="22"/>
          <w:color w:val="auto"/>
        </w:rPr>
      </w:pPr>
      <w:r>
        <w:rPr>
          <w:rFonts w:ascii="Arial" w:cs="Arial" w:eastAsia="Arial" w:hAnsi="Arial"/>
          <w:sz w:val="22"/>
          <w:szCs w:val="22"/>
          <w:color w:val="auto"/>
        </w:rPr>
        <w:t>25% will become Earned Units when the MLP generates DCF per MLP Common Unit on a trailing four quarter basis equal to $2.10; and</w:t>
      </w:r>
    </w:p>
    <w:p>
      <w:pPr>
        <w:spacing w:after="0" w:line="174" w:lineRule="exact"/>
        <w:rPr>
          <w:rFonts w:ascii="Arial" w:cs="Arial" w:eastAsia="Arial" w:hAnsi="Arial"/>
          <w:sz w:val="22"/>
          <w:szCs w:val="22"/>
          <w:color w:val="auto"/>
        </w:rPr>
      </w:pPr>
    </w:p>
    <w:p>
      <w:pPr>
        <w:ind w:left="1620" w:right="20" w:hanging="315"/>
        <w:spacing w:after="0" w:line="263" w:lineRule="auto"/>
        <w:tabs>
          <w:tab w:leader="none" w:pos="1620" w:val="left"/>
        </w:tabs>
        <w:numPr>
          <w:ilvl w:val="1"/>
          <w:numId w:val="49"/>
        </w:numPr>
        <w:rPr>
          <w:rFonts w:ascii="Arial" w:cs="Arial" w:eastAsia="Arial" w:hAnsi="Arial"/>
          <w:sz w:val="22"/>
          <w:szCs w:val="22"/>
          <w:color w:val="auto"/>
        </w:rPr>
      </w:pPr>
      <w:r>
        <w:rPr>
          <w:rFonts w:ascii="Arial" w:cs="Arial" w:eastAsia="Arial" w:hAnsi="Arial"/>
          <w:sz w:val="22"/>
          <w:szCs w:val="22"/>
          <w:color w:val="auto"/>
        </w:rPr>
        <w:t>25% will become Earned Units when the MLP generates DCF per MLP Common Unit on a trailing four quarter basis equal to $2.30.</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For each of the above performance thresholds, the referenced DCF level will be subject to adjustment as determined by the Chief Executive Officer of the Company in his sole discretion to account for significant asset sales (and if at such time the Executive is the Chief Executive Officer of the Company, the determination as to whether there shall be any such adjustment shall be made by the Board in its sole discretion). Once a Granted Unit has become an Earned Unit pursuant to this Agreement, the Earned Unit shall remain an Earned Unit thereafter until it either becomes a Vested Unit or is purchased by the Partnership pursuant to the exercise of its Call Option.</w:t>
      </w:r>
    </w:p>
    <w:p>
      <w:pPr>
        <w:sectPr>
          <w:pgSz w:w="11900" w:h="16838" w:orient="portrait"/>
          <w:cols w:equalWidth="0" w:num="1">
            <w:col w:w="11420"/>
          </w:cols>
          <w:pgMar w:left="240" w:top="126" w:right="239" w:bottom="1440" w:gutter="0" w:footer="0" w:header="0"/>
        </w:sectPr>
      </w:pPr>
    </w:p>
    <w:bookmarkStart w:id="62" w:name="page63"/>
    <w:bookmarkEnd w:id="62"/>
    <w:p>
      <w:pPr>
        <w:jc w:val="both"/>
        <w:ind w:firstLine="648"/>
        <w:spacing w:after="0" w:line="253" w:lineRule="auto"/>
        <w:rPr>
          <w:sz w:val="20"/>
          <w:szCs w:val="20"/>
          <w:color w:val="auto"/>
        </w:rPr>
      </w:pPr>
      <w:r>
        <w:rPr>
          <w:rFonts w:ascii="Arial" w:cs="Arial" w:eastAsia="Arial" w:hAnsi="Arial"/>
          <w:sz w:val="22"/>
          <w:szCs w:val="22"/>
          <w:color w:val="auto"/>
        </w:rPr>
        <w:t>Except as amended by this Amendment and the First Amendment, the Class B Agreement shall remain in full force and effect according to its terms. Any capitalized term used herein but not defined shall have the meaning given such term in the Class B Agreement.</w:t>
      </w:r>
    </w:p>
    <w:p>
      <w:pPr>
        <w:spacing w:after="0" w:line="22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[Signature page follows]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63" w:name="page64"/>
    <w:bookmarkEnd w:id="63"/>
    <w:p>
      <w:pPr>
        <w:jc w:val="center"/>
        <w:ind w:right="-1200"/>
        <w:spacing w:after="0"/>
        <w:rPr>
          <w:sz w:val="20"/>
          <w:szCs w:val="20"/>
          <w:color w:val="auto"/>
        </w:rPr>
      </w:pPr>
      <w:r>
        <w:rPr>
          <w:rFonts w:ascii="Arial" w:cs="Arial" w:eastAsia="Arial" w:hAnsi="Arial"/>
          <w:sz w:val="22"/>
          <w:szCs w:val="22"/>
          <w:b w:val="1"/>
          <w:bCs w:val="1"/>
          <w:color w:val="auto"/>
        </w:rPr>
        <w:t>Signature Page to</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SECOND AMENDMENT TO</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PLAINS AAP, L.P. CLASS B</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RESTRICTED UNITS AGREEMENT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PARTNERSHIP:</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Plains AAP, L.P.</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By: Plains All American GP, LLC</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By:___________________________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Richard McGee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Title: Executive 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Willie Chiang</w:t>
      </w:r>
    </w:p>
    <w:p>
      <w:pPr>
        <w:sectPr>
          <w:pgSz w:w="11900" w:h="16838" w:orient="portrait"/>
          <w:cols w:equalWidth="0" w:num="1">
            <w:col w:w="10219"/>
          </w:cols>
          <w:pgMar w:left="240" w:top="895"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22"/>
          <w:szCs w:val="22"/>
          <w:b w:val="1"/>
          <w:bCs w:val="1"/>
          <w:color w:val="auto"/>
        </w:rPr>
        <w:t>Exhibit 10.2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PLAINS AAP, L.P. CLASS B</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UNITS AGREEMENT</w:t>
      </w:r>
    </w:p>
    <w:p>
      <w:pPr>
        <w:spacing w:after="0" w:line="293" w:lineRule="exact"/>
        <w:rPr>
          <w:sz w:val="20"/>
          <w:szCs w:val="20"/>
          <w:color w:val="auto"/>
        </w:rPr>
      </w:pPr>
    </w:p>
    <w:p>
      <w:pPr>
        <w:jc w:val="both"/>
        <w:ind w:firstLine="324"/>
        <w:spacing w:after="0" w:line="228" w:lineRule="auto"/>
        <w:rPr>
          <w:sz w:val="20"/>
          <w:szCs w:val="20"/>
          <w:color w:val="auto"/>
        </w:rPr>
      </w:pPr>
      <w:r>
        <w:rPr>
          <w:rFonts w:ascii="Arial" w:cs="Arial" w:eastAsia="Arial" w:hAnsi="Arial"/>
          <w:sz w:val="22"/>
          <w:szCs w:val="22"/>
          <w:color w:val="auto"/>
        </w:rPr>
        <w:t>This First Amendment to Amended and Restated Plains AAP, L.P. Class B Restricted Units Agreement (this “Amendment”) is entered into effective as of the 22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day of March, 2018 by and between Plains AAP, L.P., a Delaware limited partnership (the “Partnership”) and the undersigned individual (“Executive”).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8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Partnership and Executive have previously entered into that certain Amended and Restated Plains AAP, L.P.</w:t>
      </w:r>
      <w:r>
        <w:rPr>
          <w:rFonts w:ascii="Arial" w:cs="Arial" w:eastAsia="Arial" w:hAnsi="Arial"/>
          <w:sz w:val="22"/>
          <w:szCs w:val="22"/>
          <w:b w:val="1"/>
          <w:bCs w:val="1"/>
          <w:color w:val="auto"/>
        </w:rPr>
        <w:t xml:space="preserve"> </w:t>
      </w:r>
      <w:r>
        <w:rPr>
          <w:rFonts w:ascii="Arial" w:cs="Arial" w:eastAsia="Arial" w:hAnsi="Arial"/>
          <w:sz w:val="22"/>
          <w:szCs w:val="22"/>
          <w:color w:val="auto"/>
        </w:rPr>
        <w:t>Class B Restricted Unit Agreement dated as of August 25, 2016 (such agreement being herein referred to as the “Class B Agreement”).</w:t>
      </w:r>
    </w:p>
    <w:p>
      <w:pPr>
        <w:spacing w:after="0" w:line="2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Executive and the Partnership desire to enter into this Amendment for the purpose of evidencing certain mutually</w:t>
      </w:r>
      <w:r>
        <w:rPr>
          <w:rFonts w:ascii="Arial" w:cs="Arial" w:eastAsia="Arial" w:hAnsi="Arial"/>
          <w:sz w:val="22"/>
          <w:szCs w:val="22"/>
          <w:b w:val="1"/>
          <w:bCs w:val="1"/>
          <w:color w:val="auto"/>
        </w:rPr>
        <w:t xml:space="preserve"> </w:t>
      </w:r>
      <w:r>
        <w:rPr>
          <w:rFonts w:ascii="Arial" w:cs="Arial" w:eastAsia="Arial" w:hAnsi="Arial"/>
          <w:sz w:val="22"/>
          <w:szCs w:val="22"/>
          <w:color w:val="auto"/>
        </w:rPr>
        <w:t>beneficial amendments to the Class B Agreement.</w:t>
      </w:r>
    </w:p>
    <w:p>
      <w:pPr>
        <w:spacing w:after="0" w:line="20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agreements set forth herein and other good and valuable 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receipt and sufficiency of which are hereby acknowledged, the Partnership and Executive hereby agree that Section 2.2(b) of the Class B Agreement is hereby deleted and replaced in its entirety as follows:</w:t>
      </w:r>
    </w:p>
    <w:p>
      <w:pPr>
        <w:spacing w:after="0" w:line="223" w:lineRule="exact"/>
        <w:rPr>
          <w:sz w:val="20"/>
          <w:szCs w:val="20"/>
          <w:color w:val="auto"/>
        </w:rPr>
      </w:pPr>
    </w:p>
    <w:p>
      <w:pPr>
        <w:ind w:left="960" w:hanging="304"/>
        <w:spacing w:after="0"/>
        <w:tabs>
          <w:tab w:leader="none" w:pos="960" w:val="left"/>
        </w:tabs>
        <w:numPr>
          <w:ilvl w:val="0"/>
          <w:numId w:val="50"/>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Earned Units. </w:t>
      </w:r>
      <w:r>
        <w:rPr>
          <w:rFonts w:ascii="Arial" w:cs="Arial" w:eastAsia="Arial" w:hAnsi="Arial"/>
          <w:sz w:val="19"/>
          <w:szCs w:val="19"/>
          <w:color w:val="auto"/>
        </w:rPr>
        <w:t>The Partnership and Executive acknowledge and agree that the Granted Units shall become Earned Units</w:t>
      </w:r>
    </w:p>
    <w:p>
      <w:pPr>
        <w:spacing w:after="0" w:line="56" w:lineRule="exact"/>
        <w:rPr>
          <w:rFonts w:ascii="Arial" w:cs="Arial" w:eastAsia="Arial" w:hAnsi="Arial"/>
          <w:sz w:val="19"/>
          <w:szCs w:val="19"/>
          <w:i w:val="1"/>
          <w:iCs w:val="1"/>
          <w:color w:val="auto"/>
        </w:rPr>
      </w:pPr>
    </w:p>
    <w:p>
      <w:pPr>
        <w:spacing w:after="0"/>
        <w:rPr>
          <w:rFonts w:ascii="Arial" w:cs="Arial" w:eastAsia="Arial" w:hAnsi="Arial"/>
          <w:sz w:val="19"/>
          <w:szCs w:val="19"/>
          <w:i w:val="1"/>
          <w:iCs w:val="1"/>
          <w:color w:val="auto"/>
        </w:rPr>
      </w:pPr>
      <w:r>
        <w:rPr>
          <w:rFonts w:ascii="Arial" w:cs="Arial" w:eastAsia="Arial" w:hAnsi="Arial"/>
          <w:sz w:val="22"/>
          <w:szCs w:val="22"/>
          <w:color w:val="auto"/>
        </w:rPr>
        <w:t>as follows:</w:t>
      </w:r>
    </w:p>
    <w:p>
      <w:pPr>
        <w:spacing w:after="0" w:line="201" w:lineRule="exact"/>
        <w:rPr>
          <w:rFonts w:ascii="Arial" w:cs="Arial" w:eastAsia="Arial" w:hAnsi="Arial"/>
          <w:sz w:val="19"/>
          <w:szCs w:val="19"/>
          <w:i w:val="1"/>
          <w:iCs w:val="1"/>
          <w:color w:val="auto"/>
        </w:rPr>
      </w:pPr>
    </w:p>
    <w:p>
      <w:pPr>
        <w:ind w:left="1620" w:right="20" w:hanging="315"/>
        <w:spacing w:after="0" w:line="263" w:lineRule="auto"/>
        <w:tabs>
          <w:tab w:leader="none" w:pos="16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25% will become Earned Units when the MLP generates distributable cash flow (“DCF”) per MLP Common Unit on a trailing four quarter basis equal to $1.90;</w:t>
      </w:r>
    </w:p>
    <w:p>
      <w:pPr>
        <w:spacing w:after="0" w:line="174" w:lineRule="exact"/>
        <w:rPr>
          <w:rFonts w:ascii="Arial" w:cs="Arial" w:eastAsia="Arial" w:hAnsi="Arial"/>
          <w:sz w:val="22"/>
          <w:szCs w:val="22"/>
          <w:color w:val="auto"/>
        </w:rPr>
      </w:pPr>
    </w:p>
    <w:p>
      <w:pPr>
        <w:ind w:left="1620" w:right="20" w:hanging="315"/>
        <w:spacing w:after="0" w:line="263" w:lineRule="auto"/>
        <w:tabs>
          <w:tab w:leader="none" w:pos="16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25% will become Earned Units when the MLP generates DCF per MLP Common Unit on a trailing four quarter basis equal to $2.10;</w:t>
      </w:r>
    </w:p>
    <w:p>
      <w:pPr>
        <w:spacing w:after="0" w:line="174" w:lineRule="exact"/>
        <w:rPr>
          <w:rFonts w:ascii="Arial" w:cs="Arial" w:eastAsia="Arial" w:hAnsi="Arial"/>
          <w:sz w:val="22"/>
          <w:szCs w:val="22"/>
          <w:color w:val="auto"/>
        </w:rPr>
      </w:pPr>
    </w:p>
    <w:p>
      <w:pPr>
        <w:ind w:left="1620" w:right="20" w:hanging="315"/>
        <w:spacing w:after="0" w:line="263" w:lineRule="auto"/>
        <w:tabs>
          <w:tab w:leader="none" w:pos="16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25% will become Earned Units when the MLP generates DCF per MLP Common Unit on a trailing four quarter basis equal to $2.30; and</w:t>
      </w:r>
    </w:p>
    <w:p>
      <w:pPr>
        <w:spacing w:after="0" w:line="174" w:lineRule="exact"/>
        <w:rPr>
          <w:rFonts w:ascii="Arial" w:cs="Arial" w:eastAsia="Arial" w:hAnsi="Arial"/>
          <w:sz w:val="22"/>
          <w:szCs w:val="22"/>
          <w:color w:val="auto"/>
        </w:rPr>
      </w:pPr>
    </w:p>
    <w:p>
      <w:pPr>
        <w:ind w:left="1620" w:right="20" w:hanging="315"/>
        <w:spacing w:after="0" w:line="263" w:lineRule="auto"/>
        <w:tabs>
          <w:tab w:leader="none" w:pos="16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25% will become Earned Units when the MLP generates DCF per MLP Common Unit on a trailing four quarter basis equal to $2.50.</w:t>
      </w:r>
    </w:p>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For each of the above performance thresholds, the referenced DCF level will be subject to adjustment as determined by the Chief Executive Officer of the Company in his sole discretion to account for significant asset sales. Once a Granted Unit has become an Earned Unit pursuant to this Agreement, the Earned Unit shall remain an Earned Unit thereafter until it either becomes a Vested Unit or is purchased by the Partnership pursuant to the exercise of its Call Option.</w:t>
      </w:r>
    </w:p>
    <w:p>
      <w:pPr>
        <w:sectPr>
          <w:pgSz w:w="11900" w:h="16838" w:orient="portrait"/>
          <w:cols w:equalWidth="0" w:num="1">
            <w:col w:w="11420"/>
          </w:cols>
          <w:pgMar w:left="240" w:top="126"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9"/>
          <w:szCs w:val="19"/>
          <w:color w:val="auto"/>
        </w:rPr>
        <w:t>Except as amended by this Amendment, the Class B Agreement shall remain in full force and effect according to its terms.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Any capitalized term used herein but not defined shall have the meaning given such term in the Class B Agreement.</w:t>
      </w:r>
    </w:p>
    <w:p>
      <w:pPr>
        <w:spacing w:after="0" w:line="24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[Signature page follows]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375" w:right="259" w:bottom="1440" w:gutter="0" w:footer="0" w:header="0"/>
        </w:sectPr>
      </w:pPr>
    </w:p>
    <w:bookmarkStart w:id="66" w:name="page67"/>
    <w:bookmarkEnd w:id="66"/>
    <w:p>
      <w:pPr>
        <w:jc w:val="center"/>
        <w:ind w:right="-1200"/>
        <w:spacing w:after="0"/>
        <w:rPr>
          <w:sz w:val="20"/>
          <w:szCs w:val="20"/>
          <w:color w:val="auto"/>
        </w:rPr>
      </w:pPr>
      <w:r>
        <w:rPr>
          <w:rFonts w:ascii="Arial" w:cs="Arial" w:eastAsia="Arial" w:hAnsi="Arial"/>
          <w:sz w:val="22"/>
          <w:szCs w:val="22"/>
          <w:b w:val="1"/>
          <w:bCs w:val="1"/>
          <w:color w:val="auto"/>
        </w:rPr>
        <w:t>Signature Page to</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FIRST AMENDMENT TO</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AMENDED AND RESTATED PLAINS AAP, L.P. CLASS B</w:t>
      </w:r>
    </w:p>
    <w:p>
      <w:pPr>
        <w:spacing w:after="0" w:line="5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RESTRICTED UNITS AGREEMENT</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PARTNERSHIP:</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Plains AAP, L.P.</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By: Plains All American GP, LLC</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By:___________________________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Richard McGee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Title: Executive Vice President</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«Officer»</w:t>
      </w:r>
    </w:p>
    <w:p>
      <w:pPr>
        <w:sectPr>
          <w:pgSz w:w="11900" w:h="16838" w:orient="portrait"/>
          <w:cols w:equalWidth="0" w:num="1">
            <w:col w:w="10219"/>
          </w:cols>
          <w:pgMar w:left="240" w:top="895"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11430</wp:posOffset>
            </wp:positionV>
            <wp:extent cx="1998345" cy="5918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2">
                      <a:extLst>
                        <a:ext uri="{28A0092B-C50C-407E-A947-70E740481C1C}"/>
                      </a:extLst>
                    </a:blip>
                    <a:srcRect/>
                    <a:stretch>
                      <a:fillRect/>
                    </a:stretch>
                  </pic:blipFill>
                  <pic:spPr bwMode="auto">
                    <a:xfrm>
                      <a:off x="0" y="0"/>
                      <a:ext cx="199834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24, 2015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on August 25, 2016 and March 22, 2018)</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WCW (Willie) Chiang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42" w:lineRule="exact"/>
        <w:rPr>
          <w:sz w:val="20"/>
          <w:szCs w:val="20"/>
          <w:color w:val="auto"/>
        </w:rPr>
      </w:pPr>
    </w:p>
    <w:p>
      <w:pPr>
        <w:ind w:left="1420"/>
        <w:spacing w:after="0"/>
        <w:tabs>
          <w:tab w:leader="none" w:pos="1920" w:val="left"/>
        </w:tabs>
        <w:rPr>
          <w:sz w:val="20"/>
          <w:szCs w:val="20"/>
          <w:color w:val="auto"/>
        </w:rPr>
      </w:pPr>
      <w:r>
        <w:rPr>
          <w:rFonts w:ascii="Arial" w:cs="Arial" w:eastAsia="Arial" w:hAnsi="Arial"/>
          <w:sz w:val="22"/>
          <w:szCs w:val="22"/>
          <w:b w:val="1"/>
          <w:bCs w:val="1"/>
          <w:i w:val="1"/>
          <w:iCs w:val="1"/>
          <w:color w:val="auto"/>
        </w:rPr>
        <w:t>Re:</w:t>
      </w:r>
      <w:r>
        <w:rPr>
          <w:sz w:val="20"/>
          <w:szCs w:val="20"/>
          <w:color w:val="auto"/>
        </w:rPr>
        <w:tab/>
      </w:r>
      <w:r>
        <w:rPr>
          <w:rFonts w:ascii="Arial" w:cs="Arial" w:eastAsia="Arial" w:hAnsi="Arial"/>
          <w:sz w:val="19"/>
          <w:szCs w:val="19"/>
          <w:b w:val="1"/>
          <w:bCs w:val="1"/>
          <w:i w:val="1"/>
          <w:iCs w:val="1"/>
          <w:color w:val="auto"/>
        </w:rPr>
        <w:t>Grant of Phantom Units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Willie:</w:t>
      </w:r>
    </w:p>
    <w:p>
      <w:pPr>
        <w:spacing w:after="0" w:line="26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 am pleased to inform you that you have been granted 120,000 Phantom Units as of the above date pursuant to the Company’s PNG Successor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188" w:lineRule="exact"/>
        <w:rPr>
          <w:sz w:val="20"/>
          <w:szCs w:val="20"/>
          <w:color w:val="auto"/>
        </w:rPr>
      </w:pPr>
    </w:p>
    <w:p>
      <w:pPr>
        <w:jc w:val="both"/>
        <w:ind w:left="660" w:hanging="328"/>
        <w:spacing w:after="0" w:line="258" w:lineRule="auto"/>
        <w:tabs>
          <w:tab w:leader="none" w:pos="660" w:val="left"/>
        </w:tabs>
        <w:numPr>
          <w:ilvl w:val="0"/>
          <w:numId w:val="51"/>
        </w:numPr>
        <w:rPr>
          <w:rFonts w:ascii="Arial" w:cs="Arial" w:eastAsia="Arial" w:hAnsi="Arial"/>
          <w:sz w:val="21"/>
          <w:szCs w:val="21"/>
          <w:color w:val="auto"/>
        </w:rPr>
      </w:pPr>
      <w:r>
        <w:rPr>
          <w:rFonts w:ascii="Arial" w:cs="Arial" w:eastAsia="Arial" w:hAnsi="Arial"/>
          <w:sz w:val="21"/>
          <w:szCs w:val="21"/>
          <w:color w:val="auto"/>
        </w:rPr>
        <w:t>Subject to the further provisions of this Agreement, your Phantom Units shall vest (become payable in the form of one Common Unit of PAA for each Phantom Unit) as follows: (i) forty percent (40%) shall vest upon the later to occur of the August 2018 Distribution Date and the date on which the Partnership generates distributable cash flow (“DCF”) per common unit on a trailing four quarter basis of at least $2.30; (ii) thirty percent (30%) shall vest upon the later to occur of the August 2019 Distribution Date and the date on which the Partnership generates DCF per common unit on a trailing four quarter basis of at least $2.40 and (iii) thirty percent (30%) shall vest upon the later to occur of the August 2020 Distribution Date and the date on which the Partnership generates DCF per common unit on a trailing four quarter basis of at least $2.50. Any remaining Phantom Units that are not vested by the August 2021 Distribution Date, and any tandem DERs associated with such Phantom Units, shall expire on such date. The DCF per common unit amounts referenced in this paragraph are subject to adjustment in the reasonable discretion of the CEO to account for significant asset sales (and if at such time you are the CEO of the Company, the determination as to whether there shall be any adjustment shall be made by the Board in its sole discretion).</w:t>
      </w:r>
    </w:p>
    <w:p>
      <w:pPr>
        <w:spacing w:after="0" w:line="220" w:lineRule="exact"/>
        <w:rPr>
          <w:rFonts w:ascii="Arial" w:cs="Arial" w:eastAsia="Arial" w:hAnsi="Arial"/>
          <w:sz w:val="21"/>
          <w:szCs w:val="21"/>
          <w:color w:val="auto"/>
        </w:rPr>
      </w:pPr>
    </w:p>
    <w:p>
      <w:pPr>
        <w:ind w:left="660" w:hanging="328"/>
        <w:spacing w:after="0" w:line="263"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 following the date hereof.</w:t>
      </w:r>
    </w:p>
    <w:p>
      <w:pPr>
        <w:spacing w:after="0" w:line="215" w:lineRule="exact"/>
        <w:rPr>
          <w:rFonts w:ascii="Arial" w:cs="Arial" w:eastAsia="Arial" w:hAnsi="Arial"/>
          <w:sz w:val="22"/>
          <w:szCs w:val="22"/>
          <w:color w:val="auto"/>
        </w:rPr>
      </w:pPr>
    </w:p>
    <w:p>
      <w:pPr>
        <w:jc w:val="both"/>
        <w:ind w:left="660" w:hanging="328"/>
        <w:spacing w:after="0" w:line="253"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number of Phantom Units subject to this award and any distribution level required for vesting under paragraph 1 above shall be proportionately reduced or increased for any split or reverse split, as applicable, of the Units, or any event or transaction having similar effect.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000080"/>
        </w:rPr>
        <w:t xml:space="preserve">333 Clay Street, Suite 1600 </w:t>
      </w:r>
      <w:r>
        <w:rPr>
          <w:rFonts w:ascii="Arial" w:cs="Arial" w:eastAsia="Arial" w:hAnsi="Arial"/>
          <w:sz w:val="16"/>
          <w:szCs w:val="16"/>
          <w:color w:val="000080"/>
        </w:rPr>
        <w:t>g</w:t>
      </w:r>
      <w:r>
        <w:rPr>
          <w:rFonts w:ascii="Arial" w:cs="Arial" w:eastAsia="Arial" w:hAnsi="Arial"/>
          <w:sz w:val="20"/>
          <w:szCs w:val="20"/>
          <w:color w:val="000080"/>
        </w:rPr>
        <w:t xml:space="preserve"> Houston, Texas 77002 </w:t>
      </w:r>
      <w:r>
        <w:rPr>
          <w:rFonts w:ascii="Arial" w:cs="Arial" w:eastAsia="Arial" w:hAnsi="Arial"/>
          <w:sz w:val="16"/>
          <w:szCs w:val="16"/>
          <w:color w:val="000080"/>
        </w:rPr>
        <w:t>g</w:t>
      </w:r>
      <w:r>
        <w:rPr>
          <w:rFonts w:ascii="Arial" w:cs="Arial" w:eastAsia="Arial" w:hAnsi="Arial"/>
          <w:sz w:val="20"/>
          <w:szCs w:val="20"/>
          <w:color w:val="000080"/>
        </w:rPr>
        <w:t xml:space="preserve"> 713/646-4100 or 800-564-3036</w:t>
      </w:r>
    </w:p>
    <w:p>
      <w:pPr>
        <w:sectPr>
          <w:pgSz w:w="11900" w:h="16838" w:orient="portrait"/>
          <w:cols w:equalWidth="0" w:num="1">
            <w:col w:w="11420"/>
          </w:cols>
          <w:pgMar w:left="240" w:top="126" w:right="239" w:bottom="1440" w:gutter="0" w:footer="0" w:header="0"/>
        </w:sectPr>
      </w:pPr>
    </w:p>
    <w:bookmarkStart w:id="68" w:name="page69"/>
    <w:bookmarkEnd w:id="68"/>
    <w:p>
      <w:pPr>
        <w:ind w:left="660" w:hanging="328"/>
        <w:spacing w:after="0" w:line="263"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shall be payable on such Distribution Date prior to their expiration.</w:t>
      </w:r>
    </w:p>
    <w:p>
      <w:pPr>
        <w:spacing w:after="0" w:line="215" w:lineRule="exact"/>
        <w:rPr>
          <w:rFonts w:ascii="Arial" w:cs="Arial" w:eastAsia="Arial" w:hAnsi="Arial"/>
          <w:sz w:val="22"/>
          <w:szCs w:val="22"/>
          <w:color w:val="auto"/>
        </w:rPr>
      </w:pPr>
    </w:p>
    <w:p>
      <w:pPr>
        <w:jc w:val="both"/>
        <w:ind w:left="660" w:hanging="328"/>
        <w:spacing w:after="0" w:line="284" w:lineRule="auto"/>
        <w:tabs>
          <w:tab w:leader="none" w:pos="660" w:val="left"/>
        </w:tabs>
        <w:numPr>
          <w:ilvl w:val="0"/>
          <w:numId w:val="52"/>
        </w:numPr>
        <w:rPr>
          <w:rFonts w:ascii="Arial" w:cs="Arial" w:eastAsia="Arial" w:hAnsi="Arial"/>
          <w:sz w:val="19"/>
          <w:szCs w:val="19"/>
          <w:color w:val="auto"/>
        </w:rPr>
      </w:pPr>
      <w:r>
        <w:rPr>
          <w:rFonts w:ascii="Arial" w:cs="Arial" w:eastAsia="Arial" w:hAnsi="Arial"/>
          <w:sz w:val="19"/>
          <w:szCs w:val="19"/>
          <w:color w:val="auto"/>
        </w:rPr>
        <w:t>Except to the extent modified by either your Employment Letter with the Company dated effective as of July 10, 2015 (the “Employment Letter”) or paragraphs 6 and 7 below, in the event of the termination of your employment with the Company and its Affiliates, all of your then outstanding DERs and Phantom Units shall automatically be forfeited as of the date of termination; provided, however, that if the Company or its Affiliates terminate your employment other than as a result of a Termination for Cause: (i) any unvested Phantom Units that have satisfied all vesting criteria as of the date of termination but for the passage of time shall be deemed nonforfeitable on the date of termination, and shall vest on the next following Distribution Date; (ii) any DERs associated with the unvested, nonforfeitable Phantom Units described in clause (i) shall not be forfeited on the date of termination, but shall be payable and shall expire in accordance with paragraph 4 above; and</w:t>
      </w:r>
    </w:p>
    <w:p>
      <w:pPr>
        <w:spacing w:after="0" w:line="2" w:lineRule="exact"/>
        <w:rPr>
          <w:rFonts w:ascii="Arial" w:cs="Arial" w:eastAsia="Arial" w:hAnsi="Arial"/>
          <w:sz w:val="19"/>
          <w:szCs w:val="19"/>
          <w:color w:val="auto"/>
        </w:rPr>
      </w:pPr>
    </w:p>
    <w:p>
      <w:pPr>
        <w:ind w:left="660" w:hanging="4"/>
        <w:spacing w:after="0" w:line="323" w:lineRule="auto"/>
        <w:tabs>
          <w:tab w:leader="none" w:pos="1071" w:val="left"/>
        </w:tabs>
        <w:numPr>
          <w:ilvl w:val="1"/>
          <w:numId w:val="52"/>
        </w:numPr>
        <w:rPr>
          <w:rFonts w:ascii="Arial" w:cs="Arial" w:eastAsia="Arial" w:hAnsi="Arial"/>
          <w:sz w:val="19"/>
          <w:szCs w:val="19"/>
          <w:color w:val="auto"/>
        </w:rPr>
      </w:pPr>
      <w:r>
        <w:rPr>
          <w:rFonts w:ascii="Arial" w:cs="Arial" w:eastAsia="Arial" w:hAnsi="Arial"/>
          <w:sz w:val="19"/>
          <w:szCs w:val="19"/>
          <w:color w:val="auto"/>
        </w:rPr>
        <w:t>any unvested Phantom Units that have satisfied none of the vesting criteria as of the date of termination, and any tandem DERs associated with such Phantom Units, shall automatically be forfeited as of the date of termination.</w:t>
      </w:r>
    </w:p>
    <w:p>
      <w:pPr>
        <w:spacing w:after="0" w:line="163" w:lineRule="exact"/>
        <w:rPr>
          <w:rFonts w:ascii="Arial" w:cs="Arial" w:eastAsia="Arial" w:hAnsi="Arial"/>
          <w:sz w:val="19"/>
          <w:szCs w:val="19"/>
          <w:color w:val="auto"/>
        </w:rPr>
      </w:pPr>
    </w:p>
    <w:p>
      <w:pPr>
        <w:jc w:val="both"/>
        <w:ind w:left="660" w:hanging="328"/>
        <w:spacing w:after="0" w:line="258" w:lineRule="auto"/>
        <w:tabs>
          <w:tab w:leader="none" w:pos="660" w:val="left"/>
        </w:tabs>
        <w:numPr>
          <w:ilvl w:val="0"/>
          <w:numId w:val="52"/>
        </w:numPr>
        <w:rPr>
          <w:rFonts w:ascii="Arial" w:cs="Arial" w:eastAsia="Arial" w:hAnsi="Arial"/>
          <w:sz w:val="21"/>
          <w:szCs w:val="21"/>
          <w:color w:val="auto"/>
        </w:rPr>
      </w:pPr>
      <w:r>
        <w:rPr>
          <w:rFonts w:ascii="Arial" w:cs="Arial" w:eastAsia="Arial" w:hAnsi="Arial"/>
          <w:sz w:val="21"/>
          <w:szCs w:val="21"/>
          <w:color w:val="auto"/>
        </w:rPr>
        <w:t>In the event of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your then outstanding Phantom Units and tandem DERs shall not be forfeited on such date, and (i) such DERs shall expire in accordance with paragraph 1 or paragraph 4 above, as applicable, and (ii) such Phantom Units shall vest or expire in accordance with paragraph 1 above; provided, however, that such vesting of Phantom Units shall occur either (x) on the date the Partnership pays the quarterly distribution specified in clause (i), (ii) or (iii) of paragraph 1 (and in the proportion indicated therein) without regard to any requirement for further passage of time or (y) if the relevant quarterly distribution has been paid prior to the date of termination, on the next following Distribution Date. As soon as administratively practicable after the vesting of any Phantom Units pursuant to this paragraph 6, payment will be made in cash in an amount equal to the Market Value of the number of Phantom Units vesting.</w:t>
      </w:r>
    </w:p>
    <w:p>
      <w:pPr>
        <w:spacing w:after="0" w:line="223" w:lineRule="exact"/>
        <w:rPr>
          <w:rFonts w:ascii="Arial" w:cs="Arial" w:eastAsia="Arial" w:hAnsi="Arial"/>
          <w:sz w:val="21"/>
          <w:szCs w:val="21"/>
          <w:color w:val="auto"/>
        </w:rPr>
      </w:pPr>
    </w:p>
    <w:p>
      <w:pPr>
        <w:ind w:left="660" w:hanging="328"/>
        <w:spacing w:after="0" w:line="287" w:lineRule="auto"/>
        <w:tabs>
          <w:tab w:leader="none" w:pos="660" w:val="left"/>
        </w:tabs>
        <w:numPr>
          <w:ilvl w:val="0"/>
          <w:numId w:val="52"/>
        </w:numPr>
        <w:rPr>
          <w:rFonts w:ascii="Arial" w:cs="Arial" w:eastAsia="Arial" w:hAnsi="Arial"/>
          <w:sz w:val="21"/>
          <w:szCs w:val="21"/>
          <w:color w:val="auto"/>
        </w:rPr>
      </w:pPr>
      <w:r>
        <w:rPr>
          <w:rFonts w:ascii="Arial" w:cs="Arial" w:eastAsia="Arial" w:hAnsi="Arial"/>
          <w:sz w:val="21"/>
          <w:szCs w:val="21"/>
          <w:color w:val="auto"/>
        </w:rPr>
        <w:t>In the event of a Change in Status, all of your then outstanding Phantom Units and tandem DERs shall be deemed 100% nonforfeitable on such date, and such Phantom Units shall vest in full upon the next Distribution Date.</w:t>
      </w:r>
    </w:p>
    <w:p>
      <w:pPr>
        <w:spacing w:after="0" w:line="192" w:lineRule="exact"/>
        <w:rPr>
          <w:rFonts w:ascii="Arial" w:cs="Arial" w:eastAsia="Arial" w:hAnsi="Arial"/>
          <w:sz w:val="21"/>
          <w:szCs w:val="21"/>
          <w:color w:val="auto"/>
        </w:rPr>
      </w:pPr>
    </w:p>
    <w:p>
      <w:pPr>
        <w:jc w:val="both"/>
        <w:ind w:left="660" w:hanging="328"/>
        <w:spacing w:after="0" w:line="250"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Upon payment pursuant to a DER, you agree that the Company may withhold any taxes due from your compensation as required by law. Upon vesting of a Phantom Unit, you agree that the Company may withhold any taxes due from your compensation as required by law, which (in the sole discretion of the Company) may include withholding a number of Common Units otherwise payable to you.</w:t>
      </w:r>
    </w:p>
    <w:p>
      <w:pPr>
        <w:spacing w:after="0" w:line="22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5</w:t>
      </w:r>
    </w:p>
    <w:p>
      <w:pPr>
        <w:sectPr>
          <w:pgSz w:w="11900" w:h="16838" w:orient="portrait"/>
          <w:cols w:equalWidth="0" w:num="1">
            <w:col w:w="11420"/>
          </w:cols>
          <w:pgMar w:left="240" w:top="888" w:right="239" w:bottom="1440" w:gutter="0" w:footer="0" w:header="0"/>
        </w:sectPr>
      </w:pPr>
    </w:p>
    <w:bookmarkStart w:id="69" w:name="page70"/>
    <w:bookmarkEnd w:id="69"/>
    <w:p>
      <w:pPr>
        <w:jc w:val="both"/>
        <w:spacing w:after="0" w:line="253" w:lineRule="auto"/>
        <w:rPr>
          <w:sz w:val="20"/>
          <w:szCs w:val="20"/>
          <w:color w:val="auto"/>
        </w:rPr>
      </w:pPr>
      <w:r>
        <w:rPr>
          <w:rFonts w:ascii="Arial" w:cs="Arial" w:eastAsia="Arial" w:hAnsi="Arial"/>
          <w:sz w:val="22"/>
          <w:szCs w:val="22"/>
          <w:color w:val="auto"/>
        </w:rPr>
        <w:t>previous business day); and (iii) “Market Value” means the average of the closing sales prices for a Common Unit on the New York Stock Exchange for the five trading days preceding the then most recent “ex dividend” date for payment of a distribution by the Partnership.</w:t>
      </w:r>
    </w:p>
    <w:p>
      <w:pPr>
        <w:spacing w:after="0" w:line="22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or (B) the termination of your employment by you due to the occurrence during the Protected Period, without your written consent, of (i) any material diminution in your authority, duties or responsibilities (taking into account additional authority, responsibilities or duties associated with the initial transition of responsibilities to you, the overall growth of the Partnership or a promotion or lateral transfer accepted by you), or (ii) any other action or inaction that constitutes a material breach of this Agreement by the Company. A termination by you shall not be a Change in Status unless (1) you provide written notice to the Company of the condition in (B)</w:t>
      </w:r>
    </w:p>
    <w:p>
      <w:pPr>
        <w:spacing w:after="0" w:line="4" w:lineRule="exact"/>
        <w:rPr>
          <w:sz w:val="20"/>
          <w:szCs w:val="20"/>
          <w:color w:val="auto"/>
        </w:rPr>
      </w:pPr>
    </w:p>
    <w:p>
      <w:pPr>
        <w:jc w:val="both"/>
        <w:ind w:firstLine="8"/>
        <w:spacing w:after="0" w:line="245" w:lineRule="auto"/>
        <w:tabs>
          <w:tab w:leader="none" w:pos="265" w:val="left"/>
        </w:tabs>
        <w:numPr>
          <w:ilvl w:val="0"/>
          <w:numId w:val="53"/>
        </w:numPr>
        <w:rPr>
          <w:rFonts w:ascii="Arial" w:cs="Arial" w:eastAsia="Arial" w:hAnsi="Arial"/>
          <w:sz w:val="22"/>
          <w:szCs w:val="22"/>
          <w:color w:val="auto"/>
        </w:rPr>
      </w:pPr>
      <w:r>
        <w:rPr>
          <w:rFonts w:ascii="Arial" w:cs="Arial" w:eastAsia="Arial" w:hAnsi="Arial"/>
          <w:sz w:val="22"/>
          <w:szCs w:val="22"/>
          <w:color w:val="auto"/>
        </w:rPr>
        <w:t>or (ii) that would constitute a Change in Status within 90 days of the initial existence of the condition, (2) the Company fails to remedy the condition within the 30-day period following such notice and (3) you terminate your employment within 10 days following the end of such 30-day period.</w:t>
      </w:r>
    </w:p>
    <w:p>
      <w:pPr>
        <w:spacing w:after="0" w:line="23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The phrase “Change of Control” means, and shall be deemed to have occurred upon the occurrence of, one or more of the following events: (i) Plains GP Holdings, L.P. (“PAGP”) ceases to retain direct or indirect control of the general partner of the Partnership; (ii) PAGP ceases to beneficially own, directly or indirectly, more than 50% of the membership interest in the Company; (iii) any direct or indirect sale, lease, exchange or other transfer (in one transaction or a series of related transactions and whether by merger or otherwise) of all or substantially all of the assets of the Partnership, PAGP or the Company to one or more Persons who are not affiliates of PAGP (“third party or parties”), other than a transaction in which the Owner Affiliates (as defined below) continue to beneficially own, directly or indirectly, more than 50% of the issued and outstanding voting securities of such third party or parties immediately following such transaction; (iv) (x) a “person” or “group” (as such terms are defined in Sections 13(d) and 14(d) of the Securities Exchange Act of 1934, as amended) other than the Owner Affiliates becomes the “beneficial owner” directly or indirectly of 25% or more of the member interest in PAA GP Holdings LLC, a Delaware limited liability company and the general partner of PAGP (“PAGP GP”),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(y) the member interest beneficially owned by such "person" or "group" exceeds the aggregate member interest in PAGP GP beneficially owned, directly or indirectly, by the Owner Affiliates; (v) any Person (other than PAGP or its wholly owned subsidiaries), including any partnership, limited partnership, syndicate or other “person” or “group,” becomes the beneficial owner, directly or indirectly, of 50% or more of the membership interest in the Company or 50% or more of the outstanding limited partnership interests of PAGP; or (vi) any Person (other than PAGP or its wholly owned subsidiaries), including any partnership, limited partnership, syndicate or other “person” or “group,” becomes the beneficial owner, directly or indirectly, of 50% or more of the membership interest in PAGP GP.</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 used herein, the term “Owner Affiliates” shall mean KAFU Holdings, L.P. and its affiliates, EMG Investment, LLC and its affiliates, Oxy Holding Company (Pipeline), Inc. and its affiliates, Mark Strome and his affiliates, Windy, LLC and its affiliates, PAA Management, L.P. and its affiliates, PAGP and its affiliates, Jay Chernosky, Kipp PAA Trust, Paul Riddle, Russell Clingman, David Humphreys and Philip Trinder.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5</w:t>
      </w:r>
    </w:p>
    <w:p>
      <w:pPr>
        <w:sectPr>
          <w:pgSz w:w="11900" w:h="16838" w:orient="portrait"/>
          <w:cols w:equalWidth="0" w:num="1">
            <w:col w:w="11420"/>
          </w:cols>
          <w:pgMar w:left="240" w:top="888" w:right="239" w:bottom="1440" w:gutter="0" w:footer="0" w:header="0"/>
        </w:sectPr>
      </w:pPr>
    </w:p>
    <w:bookmarkStart w:id="70" w:name="page71"/>
    <w:bookmarkEnd w:id="70"/>
    <w:p>
      <w:pPr>
        <w:jc w:val="both"/>
        <w:ind w:firstLine="648"/>
        <w:spacing w:after="0" w:line="289"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substantial failure to perform the duties and responsibilities of your position at an acceptable level as reasonably determined in good faith by the CEO and President-COO of the Company (or if you are the CEO of the Company, by vote of the Board of Directors of the Company excluding you if you are a member thereof) and after written notice specifying such failure in detail and after a reasonable period under the circumstances (determined by the CEO of the Company, or alternatively the Board of Directors, in good faith) such failure has continued without full correction by you, (ii) conviction of or guilty plea to the committing of an act or acts constituting a felony under the laws of the United States or any state thereof or any misdemeanor involving moral turpitude, or (iii) violation of the Company’s Code of Business Conduct (unless waived in accordance with the terms thereof), in each case with the specific failure or violation described to you in writing.</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Fourth Amended and Restated Agreement of Limited Partnership of Plains All American Pipeline, L.P., as amended (the "Partnership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By signing below, you agree that the Phantom Units and DERs granted hereunder are governed by the terms of the Plan. Copies of the Plan and the Partnership Agreement are available upon request. In the event any provisions of this award conflict with provisions in the Employment Letter, the Employment Letter shall control.</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Unless you indicate otherwise by checking the appropriate box the named beneficiaries on this form will serve as your beneficiaries for all previous LTIP grants.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4 of 5</w:t>
      </w:r>
    </w:p>
    <w:p>
      <w:pPr>
        <w:sectPr>
          <w:pgSz w:w="11900" w:h="16838" w:orient="portrait"/>
          <w:cols w:equalWidth="0" w:num="1">
            <w:col w:w="11420"/>
          </w:cols>
          <w:pgMar w:left="240" w:top="1144"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22"/>
          <w:szCs w:val="22"/>
          <w:color w:val="auto"/>
        </w:rPr>
        <w:t>Please execute and return a copy of this grant letter to me and retain a copy for your records.</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PAA GP LLC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PLAINS AAP, L.P.</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PLAINS ALL AMERICAN GP LLC</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K.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383" w:lineRule="exact"/>
        <w:rPr>
          <w:sz w:val="20"/>
          <w:szCs w:val="20"/>
          <w:color w:val="auto"/>
        </w:rPr>
      </w:pPr>
    </w:p>
    <w:tbl>
      <w:tblPr>
        <w:tblLayout w:type="fixed"/>
        <w:tblInd w:w="210" w:type="dxa"/>
        <w:tblCellMar>
          <w:top w:w="0" w:type="dxa"/>
          <w:left w:w="0" w:type="dxa"/>
          <w:bottom w:w="0" w:type="dxa"/>
          <w:right w:w="0" w:type="dxa"/>
        </w:tblCellMar>
      </w:tblPr>
      <w:tr>
        <w:trPr>
          <w:trHeight w:val="304"/>
        </w:trPr>
        <w:tc>
          <w:tcPr>
            <w:tcW w:w="540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226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400" w:type="dxa"/>
            <w:vAlign w:val="bottom"/>
            <w:tcBorders>
              <w:left w:val="single" w:sz="8" w:color="00000A"/>
              <w:bottom w:val="single" w:sz="8" w:color="00000A"/>
              <w:right w:val="single" w:sz="8" w:color="00000A"/>
            </w:tcBorders>
          </w:tcPr>
          <w:p>
            <w:pPr>
              <w:spacing w:after="0"/>
              <w:rPr>
                <w:sz w:val="24"/>
                <w:szCs w:val="24"/>
                <w:color w:val="auto"/>
              </w:rPr>
            </w:pPr>
          </w:p>
        </w:tc>
        <w:tc>
          <w:tcPr>
            <w:tcW w:w="2260" w:type="dxa"/>
            <w:vAlign w:val="bottom"/>
            <w:tcBorders>
              <w:bottom w:val="single" w:sz="8" w:color="00000A"/>
              <w:right w:val="single" w:sz="8" w:color="00000A"/>
            </w:tcBorders>
          </w:tcPr>
          <w:p>
            <w:pPr>
              <w:spacing w:after="0"/>
              <w:rPr>
                <w:sz w:val="24"/>
                <w:szCs w:val="24"/>
                <w:color w:val="auto"/>
              </w:rPr>
            </w:pPr>
          </w:p>
        </w:tc>
        <w:tc>
          <w:tcPr>
            <w:tcW w:w="3580" w:type="dxa"/>
            <w:vAlign w:val="bottom"/>
            <w:tcBorders>
              <w:bottom w:val="single" w:sz="8" w:color="00000A"/>
              <w:right w:val="single" w:sz="8" w:color="00000A"/>
            </w:tcBorders>
          </w:tcPr>
          <w:p>
            <w:pPr>
              <w:spacing w:after="0"/>
              <w:rPr>
                <w:sz w:val="24"/>
                <w:szCs w:val="24"/>
                <w:color w:val="auto"/>
              </w:rPr>
            </w:pPr>
          </w:p>
        </w:tc>
      </w:tr>
      <w:tr>
        <w:trPr>
          <w:trHeight w:val="277"/>
        </w:trPr>
        <w:tc>
          <w:tcPr>
            <w:tcW w:w="5400" w:type="dxa"/>
            <w:vAlign w:val="bottom"/>
            <w:tcBorders>
              <w:left w:val="single" w:sz="8" w:color="00000A"/>
              <w:bottom w:val="single" w:sz="8" w:color="auto"/>
              <w:right w:val="single" w:sz="8" w:color="00000A"/>
            </w:tcBorders>
          </w:tcPr>
          <w:p>
            <w:pPr>
              <w:spacing w:after="0"/>
              <w:rPr>
                <w:sz w:val="24"/>
                <w:szCs w:val="24"/>
                <w:color w:val="auto"/>
              </w:rPr>
            </w:pPr>
          </w:p>
        </w:tc>
        <w:tc>
          <w:tcPr>
            <w:tcW w:w="2260" w:type="dxa"/>
            <w:vAlign w:val="bottom"/>
            <w:tcBorders>
              <w:bottom w:val="single" w:sz="8" w:color="auto"/>
              <w:right w:val="single" w:sz="8" w:color="00000A"/>
            </w:tcBorders>
          </w:tcPr>
          <w:p>
            <w:pPr>
              <w:spacing w:after="0"/>
              <w:rPr>
                <w:sz w:val="24"/>
                <w:szCs w:val="24"/>
                <w:color w:val="auto"/>
              </w:rPr>
            </w:pPr>
          </w:p>
        </w:tc>
        <w:tc>
          <w:tcPr>
            <w:tcW w:w="3580" w:type="dxa"/>
            <w:vAlign w:val="bottom"/>
            <w:tcBorders>
              <w:bottom w:val="single" w:sz="8" w:color="auto"/>
              <w:right w:val="single" w:sz="8" w:color="00000A"/>
            </w:tcBorders>
          </w:tcPr>
          <w:p>
            <w:pPr>
              <w:spacing w:after="0"/>
              <w:rPr>
                <w:sz w:val="24"/>
                <w:szCs w:val="24"/>
                <w:color w:val="auto"/>
              </w:rPr>
            </w:pPr>
          </w:p>
        </w:tc>
      </w:tr>
      <w:tr>
        <w:trPr>
          <w:trHeight w:val="277"/>
        </w:trPr>
        <w:tc>
          <w:tcPr>
            <w:tcW w:w="5400" w:type="dxa"/>
            <w:vAlign w:val="bottom"/>
            <w:tcBorders>
              <w:left w:val="single" w:sz="8" w:color="00000A"/>
              <w:bottom w:val="single" w:sz="8" w:color="auto"/>
              <w:right w:val="single" w:sz="8" w:color="00000A"/>
            </w:tcBorders>
          </w:tcPr>
          <w:p>
            <w:pPr>
              <w:spacing w:after="0"/>
              <w:rPr>
                <w:sz w:val="24"/>
                <w:szCs w:val="24"/>
                <w:color w:val="auto"/>
              </w:rPr>
            </w:pPr>
          </w:p>
        </w:tc>
        <w:tc>
          <w:tcPr>
            <w:tcW w:w="2260" w:type="dxa"/>
            <w:vAlign w:val="bottom"/>
            <w:tcBorders>
              <w:bottom w:val="single" w:sz="8" w:color="auto"/>
              <w:right w:val="single" w:sz="8" w:color="00000A"/>
            </w:tcBorders>
          </w:tcPr>
          <w:p>
            <w:pPr>
              <w:spacing w:after="0"/>
              <w:rPr>
                <w:sz w:val="24"/>
                <w:szCs w:val="24"/>
                <w:color w:val="auto"/>
              </w:rPr>
            </w:pPr>
          </w:p>
        </w:tc>
        <w:tc>
          <w:tcPr>
            <w:tcW w:w="3580" w:type="dxa"/>
            <w:vAlign w:val="bottom"/>
            <w:tcBorders>
              <w:bottom w:val="single" w:sz="8" w:color="auto"/>
              <w:right w:val="single" w:sz="8" w:color="00000A"/>
            </w:tcBorders>
          </w:tcPr>
          <w:p>
            <w:pPr>
              <w:spacing w:after="0"/>
              <w:rPr>
                <w:sz w:val="24"/>
                <w:szCs w:val="24"/>
                <w:color w:val="auto"/>
              </w:rPr>
            </w:pPr>
          </w:p>
        </w:tc>
      </w:tr>
      <w:tr>
        <w:trPr>
          <w:trHeight w:val="284"/>
        </w:trPr>
        <w:tc>
          <w:tcPr>
            <w:tcW w:w="540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226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5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400" w:type="dxa"/>
            <w:vAlign w:val="bottom"/>
            <w:tcBorders>
              <w:left w:val="single" w:sz="8" w:color="00000A"/>
              <w:bottom w:val="single" w:sz="8" w:color="00000A"/>
              <w:right w:val="single" w:sz="8" w:color="00000A"/>
            </w:tcBorders>
          </w:tcPr>
          <w:p>
            <w:pPr>
              <w:spacing w:after="0"/>
              <w:rPr>
                <w:sz w:val="24"/>
                <w:szCs w:val="24"/>
                <w:color w:val="auto"/>
              </w:rPr>
            </w:pPr>
          </w:p>
        </w:tc>
        <w:tc>
          <w:tcPr>
            <w:tcW w:w="2260" w:type="dxa"/>
            <w:vAlign w:val="bottom"/>
            <w:tcBorders>
              <w:bottom w:val="single" w:sz="8" w:color="00000A"/>
              <w:right w:val="single" w:sz="8" w:color="00000A"/>
            </w:tcBorders>
          </w:tcPr>
          <w:p>
            <w:pPr>
              <w:spacing w:after="0"/>
              <w:rPr>
                <w:sz w:val="24"/>
                <w:szCs w:val="24"/>
                <w:color w:val="auto"/>
              </w:rPr>
            </w:pPr>
          </w:p>
        </w:tc>
        <w:tc>
          <w:tcPr>
            <w:tcW w:w="3580" w:type="dxa"/>
            <w:vAlign w:val="bottom"/>
            <w:tcBorders>
              <w:bottom w:val="single" w:sz="8" w:color="00000A"/>
              <w:right w:val="single" w:sz="8" w:color="00000A"/>
            </w:tcBorders>
          </w:tcPr>
          <w:p>
            <w:pPr>
              <w:spacing w:after="0"/>
              <w:rPr>
                <w:sz w:val="24"/>
                <w:szCs w:val="24"/>
                <w:color w:val="auto"/>
              </w:rPr>
            </w:pPr>
          </w:p>
        </w:tc>
      </w:tr>
      <w:tr>
        <w:trPr>
          <w:trHeight w:val="277"/>
        </w:trPr>
        <w:tc>
          <w:tcPr>
            <w:tcW w:w="5400" w:type="dxa"/>
            <w:vAlign w:val="bottom"/>
            <w:tcBorders>
              <w:left w:val="single" w:sz="8" w:color="00000A"/>
              <w:bottom w:val="single" w:sz="8" w:color="00000A"/>
              <w:right w:val="single" w:sz="8" w:color="00000A"/>
            </w:tcBorders>
          </w:tcPr>
          <w:p>
            <w:pPr>
              <w:spacing w:after="0"/>
              <w:rPr>
                <w:sz w:val="24"/>
                <w:szCs w:val="24"/>
                <w:color w:val="auto"/>
              </w:rPr>
            </w:pPr>
          </w:p>
        </w:tc>
        <w:tc>
          <w:tcPr>
            <w:tcW w:w="2260" w:type="dxa"/>
            <w:vAlign w:val="bottom"/>
            <w:tcBorders>
              <w:bottom w:val="single" w:sz="8" w:color="00000A"/>
              <w:right w:val="single" w:sz="8" w:color="00000A"/>
            </w:tcBorders>
          </w:tcPr>
          <w:p>
            <w:pPr>
              <w:spacing w:after="0"/>
              <w:rPr>
                <w:sz w:val="24"/>
                <w:szCs w:val="24"/>
                <w:color w:val="auto"/>
              </w:rPr>
            </w:pPr>
          </w:p>
        </w:tc>
        <w:tc>
          <w:tcPr>
            <w:tcW w:w="3580" w:type="dxa"/>
            <w:vAlign w:val="bottom"/>
            <w:tcBorders>
              <w:bottom w:val="single" w:sz="8" w:color="00000A"/>
              <w:right w:val="single" w:sz="8" w:color="00000A"/>
            </w:tcBorders>
          </w:tcPr>
          <w:p>
            <w:pPr>
              <w:spacing w:after="0"/>
              <w:rPr>
                <w:sz w:val="24"/>
                <w:szCs w:val="24"/>
                <w:color w:val="auto"/>
              </w:rPr>
            </w:pPr>
          </w:p>
        </w:tc>
      </w:tr>
      <w:tr>
        <w:trPr>
          <w:trHeight w:val="277"/>
        </w:trPr>
        <w:tc>
          <w:tcPr>
            <w:tcW w:w="5400" w:type="dxa"/>
            <w:vAlign w:val="bottom"/>
            <w:tcBorders>
              <w:left w:val="single" w:sz="8" w:color="00000A"/>
              <w:bottom w:val="single" w:sz="8" w:color="00000A"/>
              <w:right w:val="single" w:sz="8" w:color="00000A"/>
            </w:tcBorders>
          </w:tcPr>
          <w:p>
            <w:pPr>
              <w:spacing w:after="0"/>
              <w:rPr>
                <w:sz w:val="24"/>
                <w:szCs w:val="24"/>
                <w:color w:val="auto"/>
              </w:rPr>
            </w:pPr>
          </w:p>
        </w:tc>
        <w:tc>
          <w:tcPr>
            <w:tcW w:w="2260" w:type="dxa"/>
            <w:vAlign w:val="bottom"/>
            <w:tcBorders>
              <w:bottom w:val="single" w:sz="8" w:color="00000A"/>
              <w:right w:val="single" w:sz="8" w:color="00000A"/>
            </w:tcBorders>
          </w:tcPr>
          <w:p>
            <w:pPr>
              <w:spacing w:after="0"/>
              <w:rPr>
                <w:sz w:val="24"/>
                <w:szCs w:val="24"/>
                <w:color w:val="auto"/>
              </w:rPr>
            </w:pPr>
          </w:p>
        </w:tc>
        <w:tc>
          <w:tcPr>
            <w:tcW w:w="3580" w:type="dxa"/>
            <w:vAlign w:val="bottom"/>
            <w:tcBorders>
              <w:bottom w:val="single" w:sz="8" w:color="00000A"/>
              <w:right w:val="single" w:sz="8" w:color="00000A"/>
            </w:tcBorders>
          </w:tcPr>
          <w:p>
            <w:pPr>
              <w:spacing w:after="0"/>
              <w:rPr>
                <w:sz w:val="24"/>
                <w:szCs w:val="24"/>
                <w:color w:val="auto"/>
              </w:rPr>
            </w:pPr>
          </w:p>
        </w:tc>
      </w:tr>
    </w:tbl>
    <w:p>
      <w:pPr>
        <w:ind w:left="920" w:hanging="264"/>
        <w:spacing w:after="0" w:line="235" w:lineRule="auto"/>
        <w:tabs>
          <w:tab w:leader="none" w:pos="920" w:val="left"/>
        </w:tabs>
        <w:numPr>
          <w:ilvl w:val="0"/>
          <w:numId w:val="54"/>
        </w:numPr>
        <w:rPr>
          <w:rFonts w:ascii="Arial" w:cs="Arial" w:eastAsia="Arial" w:hAnsi="Arial"/>
          <w:sz w:val="32"/>
          <w:szCs w:val="32"/>
          <w:color w:val="auto"/>
        </w:rPr>
      </w:pPr>
      <w:r>
        <w:rPr>
          <w:rFonts w:ascii="Arial" w:cs="Arial" w:eastAsia="Arial" w:hAnsi="Arial"/>
          <w:sz w:val="22"/>
          <w:szCs w:val="22"/>
          <w:color w:val="auto"/>
        </w:rPr>
        <w:t>Check this box only if designation does not apply to prior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42"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Units:</w:t>
        <w:tab/>
        <w:t>120,000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9950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3">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________________________</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Page 5 of 5</w:t>
      </w:r>
    </w:p>
    <w:p>
      <w:pPr>
        <w:sectPr>
          <w:pgSz w:w="11900" w:h="16838" w:orient="portrait"/>
          <w:cols w:equalWidth="0" w:num="1">
            <w:col w:w="11440"/>
          </w:cols>
          <w:pgMar w:left="240" w:top="1401" w:right="21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28575</wp:posOffset>
            </wp:positionV>
            <wp:extent cx="1998345" cy="5918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4">
                      <a:extLst>
                        <a:ext uri="{28A0092B-C50C-407E-A947-70E740481C1C}"/>
                      </a:extLst>
                    </a:blip>
                    <a:srcRect/>
                    <a:stretch>
                      <a:fillRect/>
                    </a:stretch>
                  </pic:blipFill>
                  <pic:spPr bwMode="auto">
                    <a:xfrm>
                      <a:off x="0" y="0"/>
                      <a:ext cx="199834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25, 2016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on March 22, 2018)</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Units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[name]:</w:t>
      </w:r>
    </w:p>
    <w:p>
      <w:pPr>
        <w:spacing w:after="0" w:line="26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I am pleased to inform you that you have been granted [number] Phantom Units as of the above date pursuant to the Company’s 2013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32" w:lineRule="exact"/>
        <w:rPr>
          <w:sz w:val="20"/>
          <w:szCs w:val="20"/>
          <w:color w:val="auto"/>
        </w:rPr>
      </w:pPr>
    </w:p>
    <w:p>
      <w:pPr>
        <w:ind w:left="1960" w:hanging="1304"/>
        <w:spacing w:after="0" w:line="258" w:lineRule="auto"/>
        <w:tabs>
          <w:tab w:leader="none" w:pos="988" w:val="left"/>
        </w:tabs>
        <w:numPr>
          <w:ilvl w:val="0"/>
          <w:numId w:val="55"/>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Phantom Units shall vest (become payable in the form of one Common Unit of PAA for each Phantom Unit) as follows:</w:t>
      </w:r>
    </w:p>
    <w:p>
      <w:pPr>
        <w:spacing w:after="0" w:line="1" w:lineRule="exact"/>
        <w:rPr>
          <w:sz w:val="20"/>
          <w:szCs w:val="20"/>
          <w:color w:val="auto"/>
        </w:rPr>
      </w:pPr>
    </w:p>
    <w:p>
      <w:pPr>
        <w:jc w:val="both"/>
        <w:ind w:left="3080" w:hanging="1782"/>
        <w:spacing w:after="0" w:line="256" w:lineRule="auto"/>
        <w:rPr>
          <w:sz w:val="20"/>
          <w:szCs w:val="20"/>
          <w:color w:val="auto"/>
        </w:rPr>
      </w:pPr>
      <w:r>
        <w:rPr>
          <w:rFonts w:ascii="Arial" w:cs="Arial" w:eastAsia="Arial" w:hAnsi="Arial"/>
          <w:sz w:val="22"/>
          <w:szCs w:val="22"/>
          <w:color w:val="auto"/>
        </w:rPr>
        <w:t>a.Tranche A, which shall consist of one-third of the total number of Phantom Units covered by this grant letter, shall vest on the August 2019 Distribution Date;</w:t>
      </w:r>
    </w:p>
    <w:p>
      <w:pPr>
        <w:spacing w:after="0" w:line="1" w:lineRule="exact"/>
        <w:rPr>
          <w:sz w:val="20"/>
          <w:szCs w:val="20"/>
          <w:color w:val="auto"/>
        </w:rPr>
      </w:pPr>
    </w:p>
    <w:p>
      <w:pPr>
        <w:jc w:val="both"/>
        <w:ind w:left="3080" w:hanging="1782"/>
        <w:spacing w:after="0" w:line="256" w:lineRule="auto"/>
        <w:rPr>
          <w:sz w:val="20"/>
          <w:szCs w:val="20"/>
          <w:color w:val="auto"/>
        </w:rPr>
      </w:pPr>
      <w:r>
        <w:rPr>
          <w:rFonts w:ascii="Arial" w:cs="Arial" w:eastAsia="Arial" w:hAnsi="Arial"/>
          <w:sz w:val="22"/>
          <w:szCs w:val="22"/>
          <w:color w:val="auto"/>
        </w:rPr>
        <w:t>b.Tranche B, which shall consist of one-third of the total number of Phantom Units covered by this grant letter, shall vest as follows: (i) one-sixth (half of Tranche B) shall vest on the August 2020 Distribution Date; and (ii) one-sixth (the remaining half of Tranche B) shall vest upon the first date following the date hereof on which the Partnership generates distributable cash flow (“DCF”) per common unit on a trailing four quarter basis of at least $2.50; however, in the event such $2.50 DCF per common unit threshold is not met on or prior to the August 2022 distribution date (the “Outside Vesting Date”), the applicable Phantom Units will vest on such Outside Vesting Date, provided that following the date hereof but on or prior to such Outside Vesting Date PAA shall have achieved a trailing four quarter DCF per common unit of at least $2.30; and</w:t>
      </w:r>
    </w:p>
    <w:p>
      <w:pPr>
        <w:spacing w:after="0" w:line="3" w:lineRule="exact"/>
        <w:rPr>
          <w:sz w:val="20"/>
          <w:szCs w:val="20"/>
          <w:color w:val="auto"/>
        </w:rPr>
      </w:pPr>
    </w:p>
    <w:p>
      <w:pPr>
        <w:jc w:val="both"/>
        <w:ind w:left="3080" w:hanging="1782"/>
        <w:spacing w:after="0" w:line="274" w:lineRule="auto"/>
        <w:rPr>
          <w:sz w:val="20"/>
          <w:szCs w:val="20"/>
          <w:color w:val="auto"/>
        </w:rPr>
      </w:pPr>
      <w:r>
        <w:rPr>
          <w:rFonts w:ascii="Arial" w:cs="Arial" w:eastAsia="Arial" w:hAnsi="Arial"/>
          <w:sz w:val="21"/>
          <w:szCs w:val="21"/>
          <w:color w:val="auto"/>
        </w:rPr>
        <w:t>c.Tranche C, which shall consist of one-third of the total number of Phantom Units covered by this grant letter, shall vest as follows: (i) one-sixth (half of Tranche C) shall vest on the August 2021 Distribution Date; and (ii) one-sixth (the remaining half of Tranche C) shall vest upon the first date following the date hereof on which the Partnership generates DCF per common unit on a trailing four quarter basis of at least $2.65; however, in the event such $2.65 DCF per common unit threshold is not met on or prior to the Outside Vesting Date, the</w:t>
      </w:r>
    </w:p>
    <w:p>
      <w:pPr>
        <w:spacing w:after="0" w:line="208"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420"/>
          </w:cols>
          <w:pgMar w:left="240" w:top="139" w:right="23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620"/>
        <w:spacing w:after="0" w:line="266" w:lineRule="auto"/>
        <w:rPr>
          <w:sz w:val="20"/>
          <w:szCs w:val="20"/>
          <w:color w:val="auto"/>
        </w:rPr>
      </w:pPr>
      <w:r>
        <w:rPr>
          <w:rFonts w:ascii="Arial" w:cs="Arial" w:eastAsia="Arial" w:hAnsi="Arial"/>
          <w:sz w:val="22"/>
          <w:szCs w:val="22"/>
          <w:color w:val="auto"/>
        </w:rPr>
        <w:t>applicable Phantom Units will vest on such Outside Vesting Date, provided that following the date hereof but on or prior to such Outside Vesting Date PAA shall have achieved a trailing four quarter DCF per common unit of at least $2.30.</w:t>
      </w:r>
    </w:p>
    <w:p>
      <w:pPr>
        <w:spacing w:after="0" w:line="185" w:lineRule="exact"/>
        <w:rPr>
          <w:sz w:val="20"/>
          <w:szCs w:val="20"/>
          <w:color w:val="auto"/>
        </w:rPr>
      </w:pPr>
    </w:p>
    <w:p>
      <w:pPr>
        <w:jc w:val="both"/>
        <w:ind w:left="1060"/>
        <w:spacing w:after="0" w:line="327" w:lineRule="auto"/>
        <w:rPr>
          <w:sz w:val="20"/>
          <w:szCs w:val="20"/>
          <w:color w:val="auto"/>
        </w:rPr>
      </w:pPr>
      <w:r>
        <w:rPr>
          <w:rFonts w:ascii="Arial" w:cs="Arial" w:eastAsia="Arial" w:hAnsi="Arial"/>
          <w:sz w:val="19"/>
          <w:szCs w:val="19"/>
          <w:color w:val="auto"/>
        </w:rPr>
        <w:t>Any remaining Phantom Units that have not vested on or before the Outside Vesting Date, and any associated DERs (regardless of vesting), shall expire on such date. The DCF per common unit amounts referenced in this paragraph are subject to adjustment in the reasonable discretion of the CEO to account for significant asset sales.</w:t>
      </w:r>
    </w:p>
    <w:p>
      <w:pPr>
        <w:spacing w:after="0" w:line="200" w:lineRule="exact"/>
        <w:rPr>
          <w:sz w:val="20"/>
          <w:szCs w:val="20"/>
          <w:color w:val="auto"/>
        </w:rPr>
      </w:pPr>
    </w:p>
    <w:p>
      <w:pPr>
        <w:spacing w:after="0" w:line="203" w:lineRule="exact"/>
        <w:rPr>
          <w:sz w:val="20"/>
          <w:szCs w:val="20"/>
          <w:color w:val="auto"/>
        </w:rPr>
      </w:pPr>
    </w:p>
    <w:p>
      <w:pPr>
        <w:ind w:left="2100" w:hanging="1444"/>
        <w:spacing w:after="0" w:line="302" w:lineRule="auto"/>
        <w:tabs>
          <w:tab w:leader="none" w:pos="1056" w:val="left"/>
        </w:tabs>
        <w:numPr>
          <w:ilvl w:val="0"/>
          <w:numId w:val="56"/>
        </w:numPr>
        <w:rPr>
          <w:rFonts w:ascii="Arial" w:cs="Arial" w:eastAsia="Arial" w:hAnsi="Arial"/>
          <w:sz w:val="19"/>
          <w:szCs w:val="19"/>
          <w:color w:val="auto"/>
        </w:rPr>
      </w:pPr>
      <w:r>
        <w:rPr>
          <w:rFonts w:ascii="Arial" w:cs="Arial" w:eastAsia="Arial" w:hAnsi="Arial"/>
          <w:sz w:val="19"/>
          <w:szCs w:val="19"/>
          <w:color w:val="auto"/>
        </w:rPr>
        <w:t>Subject to the further provisions of this Agreement, your DERs shall vest (become payable in cash) as follows: (i) one-third of your DERs (the DERs associated with Tranche (A)) shall vest upon and effective with the earlier to occur of the August 2018 Distribution Date and the first date following the date hereof on which the Partnership generates DCF per common unit on a trailing four quarter basis of at least $2.30, (ii) one-third of your DERs (the DERs associated with Tranche (B)) shall vest upon and effective with the earlier to occur of the August 2019 Distribution Date and the first date following the date hereof on which the Partnership generates DCF per common unit on a trailing four quarter basis of at least $2.40, and (iii) one-third of your DERs (the DERs associated with Tranche (C)) shall vest upon and effective with the earlier to occur of the August 2020 Distribution Date and the first date following the date hereof on which the Partnership generates DCF per common unit on a trailing four quarter basis of at least $2.50. The DCF per common unit amounts referenced in this paragraph are subject to adjustment in the reasonable discretion of the CEO to account for significant asset sales.</w:t>
      </w:r>
    </w:p>
    <w:p>
      <w:pPr>
        <w:spacing w:after="0" w:line="158" w:lineRule="exact"/>
        <w:rPr>
          <w:rFonts w:ascii="Arial" w:cs="Arial" w:eastAsia="Arial" w:hAnsi="Arial"/>
          <w:sz w:val="19"/>
          <w:szCs w:val="19"/>
          <w:color w:val="auto"/>
        </w:rPr>
      </w:pPr>
    </w:p>
    <w:p>
      <w:pPr>
        <w:ind w:left="1040" w:hanging="384"/>
        <w:spacing w:after="0"/>
        <w:tabs>
          <w:tab w:leader="none" w:pos="10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Your DERs shall not accrue payments prior to vesting.</w:t>
      </w:r>
    </w:p>
    <w:p>
      <w:pPr>
        <w:spacing w:after="0" w:line="287" w:lineRule="exact"/>
        <w:rPr>
          <w:rFonts w:ascii="Arial" w:cs="Arial" w:eastAsia="Arial" w:hAnsi="Arial"/>
          <w:sz w:val="22"/>
          <w:szCs w:val="22"/>
          <w:color w:val="auto"/>
        </w:rPr>
      </w:pPr>
    </w:p>
    <w:p>
      <w:pPr>
        <w:ind w:left="2120" w:hanging="1464"/>
        <w:spacing w:after="0" w:line="266" w:lineRule="auto"/>
        <w:tabs>
          <w:tab w:leader="none" w:pos="10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number of Phantom Units subject to this award and any distribution level required for vesting under paragraphs 1 or 2 above shall be proportionately reduced or increased for any split or reverse split, respectively, of the Units, or any event or transaction having a similar effect.</w:t>
      </w:r>
    </w:p>
    <w:p>
      <w:pPr>
        <w:spacing w:after="0" w:line="200" w:lineRule="exact"/>
        <w:rPr>
          <w:rFonts w:ascii="Arial" w:cs="Arial" w:eastAsia="Arial" w:hAnsi="Arial"/>
          <w:sz w:val="22"/>
          <w:szCs w:val="22"/>
          <w:color w:val="auto"/>
        </w:rPr>
      </w:pPr>
    </w:p>
    <w:p>
      <w:pPr>
        <w:spacing w:after="0" w:line="214" w:lineRule="exact"/>
        <w:rPr>
          <w:rFonts w:ascii="Arial" w:cs="Arial" w:eastAsia="Arial" w:hAnsi="Arial"/>
          <w:sz w:val="22"/>
          <w:szCs w:val="22"/>
          <w:color w:val="auto"/>
        </w:rPr>
      </w:pPr>
    </w:p>
    <w:p>
      <w:pPr>
        <w:ind w:left="2120" w:hanging="1464"/>
        <w:spacing w:after="0" w:line="284" w:lineRule="auto"/>
        <w:tabs>
          <w:tab w:leader="none" w:pos="1040" w:val="left"/>
        </w:tabs>
        <w:numPr>
          <w:ilvl w:val="0"/>
          <w:numId w:val="56"/>
        </w:numPr>
        <w:rPr>
          <w:rFonts w:ascii="Arial" w:cs="Arial" w:eastAsia="Arial" w:hAnsi="Arial"/>
          <w:sz w:val="21"/>
          <w:szCs w:val="21"/>
          <w:color w:val="auto"/>
        </w:rPr>
      </w:pPr>
      <w:r>
        <w:rPr>
          <w:rFonts w:ascii="Arial" w:cs="Arial" w:eastAsia="Arial" w:hAnsi="Arial"/>
          <w:sz w:val="21"/>
          <w:szCs w:val="21"/>
          <w:color w:val="auto"/>
        </w:rPr>
        <w:t>Upon vesting of any Phantom Units, an equivalent number of DERs (from the associated Tranche) will expire. Any such DERs that are vested prior to, or that would vest as of, the Distribution Date on which the Phantom Units vest, shall be payable on such Distribution Date prior to their expiration.</w:t>
      </w:r>
    </w:p>
    <w:p>
      <w:pPr>
        <w:spacing w:after="0" w:line="398" w:lineRule="exact"/>
        <w:rPr>
          <w:rFonts w:ascii="Arial" w:cs="Arial" w:eastAsia="Arial" w:hAnsi="Arial"/>
          <w:sz w:val="21"/>
          <w:szCs w:val="21"/>
          <w:color w:val="auto"/>
        </w:rPr>
      </w:pPr>
    </w:p>
    <w:p>
      <w:pPr>
        <w:ind w:left="2120" w:hanging="1464"/>
        <w:spacing w:after="0" w:line="263" w:lineRule="auto"/>
        <w:tabs>
          <w:tab w:leader="none" w:pos="10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In the event of the termination of your employment with the Company and its Affiliates for any reason (other than in connection with a Change in Status or by reason of your death or “disability,” as defined in paragraph 7 below), all of your then outstanding DERs (regardless of vesting) and Phantom Units shall automatically be forfeited as of</w:t>
      </w:r>
    </w:p>
    <w:p>
      <w:pPr>
        <w:sectPr>
          <w:pgSz w:w="11900" w:h="16838" w:orient="portrait"/>
          <w:cols w:equalWidth="0" w:num="1">
            <w:col w:w="11420"/>
          </w:cols>
          <w:pgMar w:left="240" w:top="145" w:right="239" w:bottom="1440" w:gutter="0" w:footer="0" w:header="0"/>
        </w:sectPr>
      </w:pPr>
    </w:p>
    <w:bookmarkStart w:id="74" w:name="page75"/>
    <w:bookmarkEnd w:id="74"/>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080"/>
        <w:spacing w:after="0" w:line="297" w:lineRule="auto"/>
        <w:rPr>
          <w:sz w:val="20"/>
          <w:szCs w:val="20"/>
          <w:color w:val="auto"/>
        </w:rPr>
      </w:pPr>
      <w:r>
        <w:rPr>
          <w:rFonts w:ascii="Arial" w:cs="Arial" w:eastAsia="Arial" w:hAnsi="Arial"/>
          <w:sz w:val="19"/>
          <w:szCs w:val="19"/>
          <w:color w:val="auto"/>
        </w:rPr>
        <w:t>the date of termination; provided, however, that if the Company or its Affiliates terminate your employment other than as a result of a Termination for Cause: (i) any unvested Phantom Units that would, but for such termination and forfeiture, vest on a specified Distribution Date (August 2019, August 2020, August 2021 or August 2022) during the twelve month period immediately following such termination, shall be deemed nonforfeitable on the date of termination, and shall vest on the next following Distribution Date; (ii) any unvested Phantom Units covered by paragraphs 1(b)(ii) and 1(c)(ii) above with respect to which the Company has, as of the date of termination, declared but not yet paid a quarterly distribution that would upon payment thereof satisfy the applicable distribution criteria for such Phantom Units, shall be deemed nonforfeitable on the date of termination, and shall vest on the next following Distribution Date; and (iii) any DERs associated with such unvested, nonforfeitable Phantom Units described in clause</w:t>
      </w:r>
    </w:p>
    <w:p>
      <w:pPr>
        <w:spacing w:after="0" w:line="2" w:lineRule="exact"/>
        <w:rPr>
          <w:sz w:val="20"/>
          <w:szCs w:val="20"/>
          <w:color w:val="auto"/>
        </w:rPr>
      </w:pPr>
    </w:p>
    <w:p>
      <w:pPr>
        <w:jc w:val="both"/>
        <w:ind w:left="1080" w:firstLine="8"/>
        <w:spacing w:after="0" w:line="353" w:lineRule="auto"/>
        <w:tabs>
          <w:tab w:leader="none" w:pos="1362" w:val="left"/>
        </w:tabs>
        <w:numPr>
          <w:ilvl w:val="1"/>
          <w:numId w:val="57"/>
        </w:numPr>
        <w:rPr>
          <w:rFonts w:ascii="Arial" w:cs="Arial" w:eastAsia="Arial" w:hAnsi="Arial"/>
          <w:sz w:val="19"/>
          <w:szCs w:val="19"/>
          <w:color w:val="auto"/>
        </w:rPr>
      </w:pPr>
      <w:r>
        <w:rPr>
          <w:rFonts w:ascii="Arial" w:cs="Arial" w:eastAsia="Arial" w:hAnsi="Arial"/>
          <w:sz w:val="19"/>
          <w:szCs w:val="19"/>
          <w:color w:val="auto"/>
        </w:rPr>
        <w:t>or (ii) immediately preceding shall not be forfeited on the date of termination, but shall vest in accordance with paragraph 2 above and if vested shall be payable and shall expire in accordance with paragraph 1 or paragraph 5 above.</w:t>
      </w:r>
    </w:p>
    <w:p>
      <w:pPr>
        <w:spacing w:after="0" w:line="163" w:lineRule="exact"/>
        <w:rPr>
          <w:rFonts w:ascii="Arial" w:cs="Arial" w:eastAsia="Arial" w:hAnsi="Arial"/>
          <w:sz w:val="19"/>
          <w:szCs w:val="19"/>
          <w:color w:val="auto"/>
        </w:rPr>
      </w:pPr>
    </w:p>
    <w:p>
      <w:pPr>
        <w:ind w:left="2120" w:hanging="1464"/>
        <w:spacing w:after="0" w:line="302" w:lineRule="auto"/>
        <w:tabs>
          <w:tab w:leader="none" w:pos="10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second anniversary of the date of this grant, all of your then outstanding Phantom Units and DERs shall automatically be forfeited as of the date of termination; and (ii) if such termination takes place on or after the second anniversary of the date of this grant, your then outstanding Phantom Units shall be deemed nonforfeitable on the date of termination and shall vest on the next following Distribution Date (and any DERs associated with such unvested, nonforfeitable Phantom Units shall not be forfeited on the date of termination, but shall vest in accordance with paragraph 2 above and if vested shall be payable and shall expire in accordance with paragraph 1 or paragraph 5 above). As soon as administratively practicable after the vesting of any Phantom Units pursuant to this paragraph 7, payment will be made in cash in an amount equal to the Market Value of the number of Phantom Units vesting.</w:t>
      </w:r>
    </w:p>
    <w:p>
      <w:pPr>
        <w:spacing w:after="0" w:line="200" w:lineRule="exact"/>
        <w:rPr>
          <w:rFonts w:ascii="Arial" w:cs="Arial" w:eastAsia="Arial" w:hAnsi="Arial"/>
          <w:sz w:val="19"/>
          <w:szCs w:val="19"/>
          <w:color w:val="auto"/>
        </w:rPr>
      </w:pPr>
    </w:p>
    <w:p>
      <w:pPr>
        <w:spacing w:after="0" w:line="282" w:lineRule="exact"/>
        <w:rPr>
          <w:rFonts w:ascii="Arial" w:cs="Arial" w:eastAsia="Arial" w:hAnsi="Arial"/>
          <w:sz w:val="19"/>
          <w:szCs w:val="19"/>
          <w:color w:val="auto"/>
        </w:rPr>
      </w:pPr>
    </w:p>
    <w:p>
      <w:pPr>
        <w:ind w:left="2120" w:hanging="1464"/>
        <w:spacing w:after="0" w:line="266" w:lineRule="auto"/>
        <w:tabs>
          <w:tab w:leader="none" w:pos="10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 the event of a Change in Status, all of your then outstanding Phantom Units and tandem DERs shall be deemed 100% nonforfeitable on such date, and such Phantom Units shall vest in full upon the next Distribution Date.</w:t>
      </w:r>
    </w:p>
    <w:p>
      <w:pPr>
        <w:spacing w:after="0" w:line="239" w:lineRule="exact"/>
        <w:rPr>
          <w:rFonts w:ascii="Arial" w:cs="Arial" w:eastAsia="Arial" w:hAnsi="Arial"/>
          <w:sz w:val="22"/>
          <w:szCs w:val="22"/>
          <w:color w:val="auto"/>
        </w:rPr>
      </w:pPr>
    </w:p>
    <w:p>
      <w:pPr>
        <w:ind w:left="2120" w:hanging="1464"/>
        <w:spacing w:after="0" w:line="263" w:lineRule="auto"/>
        <w:tabs>
          <w:tab w:leader="none" w:pos="1040" w:val="left"/>
        </w:tabs>
        <w:numPr>
          <w:ilvl w:val="0"/>
          <w:numId w:val="58"/>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ectPr>
          <w:pgSz w:w="11900" w:h="16838" w:orient="portrait"/>
          <w:cols w:equalWidth="0" w:num="1">
            <w:col w:w="11420"/>
          </w:cols>
          <w:pgMar w:left="240" w:top="145" w:right="23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the New York Stock Exchange for the five trading days preceding the then most recent “ex dividend” date for payment of a distribution by the Partnership.</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phrase “Change in Status” means (A) the termination of your employment by the Company other than a Termination for Cause, within two and a half months prior to or one year following a Change of Control (the “Protected Period”), or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A termination by you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The phrase “Change of Control” means, and shall be deemed to have occurred upon the occurrence of, one or more of the following events: (i) Plains GP Holdings, L.P. (“PAGP”) ceases to retain direct or indirect control of the general partner of the Partnership; (ii) PAGP ceases to beneficially own, directly or indirectly, more than 50% of the membership interest in the Company; (iii) any direct or indirect sale, lease, exchange or other transfer (in one transaction or a series of related transactions and whether by merger or otherwise) of all or substantially all of the assets of the Partnership, PAGP or the Company to one or more Persons who are not affiliates of PAGP (“third party or parties”), other than a transaction in which the Owner Affiliates (as defined below) continue to beneficially own, directly or indirectly, more than 50% of the issued and outstanding voting securities of such third party or parties immediately following such transaction; (iv) (x) a “person” or “group” (as such terms are defined in Sections 13(d) and 14(d) of the Securities Exchange Act of 1934, as amended) other than the Owner Affiliates becomes the “beneficial owner” directly or indirectly of 25% or more of the member interest in PAA GP Holdings LLC, a Delaware limited liability company and the general partner of PAGP (“PAGP GP”),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(y) the member interest beneficially owned by such “person” or “group” exceeds the aggregate member interest in PAGP GP beneficially owned, directly or indirectly, by the Owner Affiliates; (v) any Person (other than PAGP, the Partnership or their respective affiliates), including any partnership, limited partnership, syndicate or other “person” or “group,” becomes the beneficial owner, directly or indirectly, of 50% or more of the membership interest in the Company or 50% or more of the outstanding limited partnership interests of PAGP; or (vi) any Person (other than PAGP or its wholly owned subsidiaries), including any partnership, limited partnership, syndicate or other “person” or “group,” becomes the beneficial owner, directly or indirectly, of 50% or more of the membership interest in PAGP GP.</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As used herein, the term “Owner Affiliates” shall mean KAFU Holdings, L.P. and its affiliates, EMG Investment, LLC and its affiliates, Oxy Holding Company (Pipeline), Inc. and its</w:t>
      </w:r>
    </w:p>
    <w:p>
      <w:pPr>
        <w:sectPr>
          <w:pgSz w:w="11900" w:h="16838" w:orient="portrait"/>
          <w:cols w:equalWidth="0" w:num="1">
            <w:col w:w="11420"/>
          </w:cols>
          <w:pgMar w:left="240" w:top="145" w:right="239" w:bottom="1440" w:gutter="0" w:footer="0" w:header="0"/>
        </w:sectPr>
      </w:pPr>
    </w:p>
    <w:bookmarkStart w:id="76" w:name="page77"/>
    <w:bookmarkEnd w:id="76"/>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affiliates, Mark Strome and his affiliates, Windy, LLC and its affiliates, PAA Management, L.P. and its affiliates, PAGP and its affiliates, Jay Chernosky, Kipp PAA Trust, Paul Riddle, Russell Clingman, David Humphreys and Philip Trinder.</w:t>
      </w:r>
    </w:p>
    <w:p>
      <w:pPr>
        <w:spacing w:after="0" w:line="19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of the 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1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Fifth Amended and Restated Agreement of Limited Partnership of Plains All American Pipeline, L.P., as amended (the “Partnership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Copies of the Plan and the Partnership Agreement are available upon request.</w:t>
      </w:r>
    </w:p>
    <w:p>
      <w:pPr>
        <w:sectPr>
          <w:pgSz w:w="11900" w:h="16838" w:orient="portrait"/>
          <w:cols w:equalWidth="0" w:num="1">
            <w:col w:w="11420"/>
          </w:cols>
          <w:pgMar w:left="240" w:top="145" w:right="23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Unless you indicate otherwise by checking the appropriate box the named beneficiaries on this form will serve as your beneficiaries for all previous LTIP grants. Please execute and return a copy of this grant letter to me and retain a copy for your records</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20"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By:PLAINS ALL AMERICAN GP LLC,</w:t>
      </w:r>
    </w:p>
    <w:p>
      <w:pPr>
        <w:spacing w:after="0" w:line="4" w:lineRule="exact"/>
        <w:rPr>
          <w:sz w:val="20"/>
          <w:szCs w:val="20"/>
          <w:color w:val="auto"/>
        </w:rPr>
      </w:pPr>
    </w:p>
    <w:p>
      <w:pPr>
        <w:ind w:left="812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 &amp; General Counsel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84"/>
        </w:trPr>
        <w:tc>
          <w:tcPr>
            <w:tcW w:w="552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bl>
    <w:p>
      <w:pPr>
        <w:spacing w:after="0" w:line="249" w:lineRule="exact"/>
        <w:rPr>
          <w:sz w:val="20"/>
          <w:szCs w:val="20"/>
          <w:color w:val="auto"/>
        </w:rPr>
      </w:pPr>
    </w:p>
    <w:p>
      <w:pPr>
        <w:ind w:left="60"/>
        <w:spacing w:after="0"/>
        <w:rPr>
          <w:sz w:val="20"/>
          <w:szCs w:val="20"/>
          <w:color w:val="auto"/>
        </w:rPr>
      </w:pPr>
      <w:r>
        <w:rPr>
          <w:rFonts w:ascii="Arial" w:cs="Arial" w:eastAsia="Arial" w:hAnsi="Arial"/>
          <w:sz w:val="22"/>
          <w:szCs w:val="22"/>
          <w:color w:val="auto"/>
        </w:rPr>
        <w:t>Check this box only if designation does not apply to prior grants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Units: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9220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5">
                      <a:extLst>
                        <a:ext uri="{28A0092B-C50C-407E-A947-70E740481C1C}"/>
                      </a:extLst>
                    </a:blip>
                    <a:srcRect/>
                    <a:stretch>
                      <a:fillRect/>
                    </a:stretch>
                  </pic:blipFill>
                  <pic:spPr bwMode="auto">
                    <a:xfrm>
                      <a:off x="0" y="0"/>
                      <a:ext cx="9220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ectPr>
          <w:pgSz w:w="11900" w:h="16838" w:orient="portrait"/>
          <w:cols w:equalWidth="0" w:num="1">
            <w:col w:w="11440"/>
          </w:cols>
          <w:pgMar w:left="240" w:top="145" w:right="21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11430</wp:posOffset>
            </wp:positionV>
            <wp:extent cx="1998345" cy="5918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6">
                      <a:extLst>
                        <a:ext uri="{28A0092B-C50C-407E-A947-70E740481C1C}"/>
                      </a:extLst>
                    </a:blip>
                    <a:srcRect/>
                    <a:stretch>
                      <a:fillRect/>
                    </a:stretch>
                  </pic:blipFill>
                  <pic:spPr bwMode="auto">
                    <a:xfrm>
                      <a:off x="0" y="0"/>
                      <a:ext cx="199834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22, 2018</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Grant of Phantom Units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«Salutation»:</w:t>
      </w:r>
    </w:p>
    <w:p>
      <w:pPr>
        <w:spacing w:after="0" w:line="26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 am pleased to inform you that you have been granted «Amount» Phantom Units as of the above date pursuant to the Company’s «LTIP_Plan» Long-Term Incentive Plan (the “Plan”). In addition, in tandem with each Phantom Unit you have been granted a distribution equivalent right (a “DER”). A DER represents the right to receive a cash payment equivalent to the amount, if any, paid in cash distributions on one Common Unit of Plains All American Pipeline, L.P. (“PAA” or the “Partnership”) to the holder of such Common Unit. The terms and conditions of this grant are as set forth below.</w:t>
      </w:r>
    </w:p>
    <w:p>
      <w:pPr>
        <w:spacing w:after="0" w:line="200" w:lineRule="exact"/>
        <w:rPr>
          <w:sz w:val="20"/>
          <w:szCs w:val="20"/>
          <w:color w:val="auto"/>
        </w:rPr>
      </w:pPr>
    </w:p>
    <w:p>
      <w:pPr>
        <w:ind w:left="2120" w:hanging="1464"/>
        <w:spacing w:after="0" w:line="275" w:lineRule="auto"/>
        <w:tabs>
          <w:tab w:leader="none" w:pos="1058" w:val="left"/>
        </w:tabs>
        <w:numPr>
          <w:ilvl w:val="0"/>
          <w:numId w:val="59"/>
        </w:numPr>
        <w:rPr>
          <w:rFonts w:ascii="Arial" w:cs="Arial" w:eastAsia="Arial" w:hAnsi="Arial"/>
          <w:sz w:val="21"/>
          <w:szCs w:val="21"/>
          <w:color w:val="auto"/>
        </w:rPr>
      </w:pPr>
      <w:r>
        <w:rPr>
          <w:rFonts w:ascii="Arial" w:cs="Arial" w:eastAsia="Arial" w:hAnsi="Arial"/>
          <w:sz w:val="21"/>
          <w:szCs w:val="21"/>
          <w:color w:val="auto"/>
        </w:rPr>
        <w:t>Subject to the further provisions of this Agreement, your Phantom Units shall vest (become payable in the form of one Common Unit of PAA for each Phantom Unit) on the May 2021 Distribution Date, assuming your continued service through such date; however, 50% of such Phantom Units may vest prior to the May 2021 Distribution Date if and when PAA shall have generated distributable cash flow per Common Unit on a trailing four quarter basis of at least $2.30 (such amount being subject to adjustment in the reasonable discretion of the CEO to account for significant asset sales).</w:t>
      </w:r>
    </w:p>
    <w:p>
      <w:pPr>
        <w:spacing w:after="0" w:line="230" w:lineRule="exact"/>
        <w:rPr>
          <w:rFonts w:ascii="Arial" w:cs="Arial" w:eastAsia="Arial" w:hAnsi="Arial"/>
          <w:sz w:val="21"/>
          <w:szCs w:val="21"/>
          <w:color w:val="auto"/>
        </w:rPr>
      </w:pPr>
    </w:p>
    <w:p>
      <w:pPr>
        <w:ind w:left="2120" w:right="20" w:hanging="1464"/>
        <w:spacing w:after="0" w:line="276" w:lineRule="auto"/>
        <w:tabs>
          <w:tab w:leader="none" w:pos="1058" w:val="left"/>
        </w:tabs>
        <w:numPr>
          <w:ilvl w:val="0"/>
          <w:numId w:val="59"/>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vest (become payable in cash) upon and effective with the May 2018 Distribution Date.</w:t>
      </w:r>
    </w:p>
    <w:p>
      <w:pPr>
        <w:spacing w:after="0" w:line="228" w:lineRule="exact"/>
        <w:rPr>
          <w:rFonts w:ascii="Arial" w:cs="Arial" w:eastAsia="Arial" w:hAnsi="Arial"/>
          <w:sz w:val="22"/>
          <w:szCs w:val="22"/>
          <w:color w:val="auto"/>
        </w:rPr>
      </w:pPr>
    </w:p>
    <w:p>
      <w:pPr>
        <w:ind w:left="1040" w:hanging="384"/>
        <w:spacing w:after="0"/>
        <w:tabs>
          <w:tab w:leader="none" w:pos="10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Your DERs shall not accrue payments prior to vesting.</w:t>
      </w:r>
    </w:p>
    <w:p>
      <w:pPr>
        <w:spacing w:after="0" w:line="287" w:lineRule="exact"/>
        <w:rPr>
          <w:rFonts w:ascii="Arial" w:cs="Arial" w:eastAsia="Arial" w:hAnsi="Arial"/>
          <w:sz w:val="22"/>
          <w:szCs w:val="22"/>
          <w:color w:val="auto"/>
        </w:rPr>
      </w:pPr>
    </w:p>
    <w:p>
      <w:pPr>
        <w:ind w:left="2120" w:hanging="1464"/>
        <w:spacing w:after="0" w:line="284" w:lineRule="auto"/>
        <w:tabs>
          <w:tab w:leader="none" w:pos="104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number of Phantom Units subject to this award and the distributable cash flow level required for vesting under paragraph 1 above shall be proportionately reduced or increased for any split or reverse split, respectively, of PAA Common Units, or any event or transaction having a similar effect.</w:t>
      </w:r>
    </w:p>
    <w:p>
      <w:pPr>
        <w:spacing w:after="0" w:line="223" w:lineRule="exact"/>
        <w:rPr>
          <w:rFonts w:ascii="Arial" w:cs="Arial" w:eastAsia="Arial" w:hAnsi="Arial"/>
          <w:sz w:val="21"/>
          <w:szCs w:val="21"/>
          <w:color w:val="auto"/>
        </w:rPr>
      </w:pPr>
    </w:p>
    <w:p>
      <w:pPr>
        <w:ind w:left="2120" w:hanging="1464"/>
        <w:spacing w:after="0" w:line="266" w:lineRule="auto"/>
        <w:tabs>
          <w:tab w:leader="none" w:pos="10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Upon vesting of any Phantom Units, an equivalent number of DERs will expire. Any such DERs that are payable on the Distribution Date on which the Phantom Units vest, shall be payable on such Distribution Date prior to their expiration.</w:t>
      </w:r>
    </w:p>
    <w:p>
      <w:pPr>
        <w:spacing w:after="0" w:line="239" w:lineRule="exact"/>
        <w:rPr>
          <w:rFonts w:ascii="Arial" w:cs="Arial" w:eastAsia="Arial" w:hAnsi="Arial"/>
          <w:sz w:val="22"/>
          <w:szCs w:val="22"/>
          <w:color w:val="auto"/>
        </w:rPr>
      </w:pPr>
    </w:p>
    <w:p>
      <w:pPr>
        <w:ind w:left="2120" w:hanging="1464"/>
        <w:spacing w:after="0" w:line="266" w:lineRule="auto"/>
        <w:tabs>
          <w:tab w:leader="none" w:pos="10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 the event of the termination of your employment with the Company and its Affiliates for any reason (other than in connection with a Change in Status or by reason of your death or “disability,” as defined in paragraph 7 below), all of your then outstanding</w:t>
      </w:r>
    </w:p>
    <w:p>
      <w:pPr>
        <w:spacing w:after="0" w:line="215"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000080"/>
        </w:rPr>
        <w:t>333 Clay Street, Suite 1600 (77002)</w:t>
      </w:r>
      <w:r>
        <w:rPr>
          <w:sz w:val="20"/>
          <w:szCs w:val="20"/>
          <w:color w:val="auto"/>
        </w:rPr>
        <w:tab/>
      </w:r>
      <w:r>
        <w:rPr>
          <w:rFonts w:ascii="Arial" w:cs="Arial" w:eastAsia="Arial" w:hAnsi="Arial"/>
          <w:sz w:val="16"/>
          <w:szCs w:val="16"/>
          <w:b w:val="1"/>
          <w:bCs w:val="1"/>
          <w:color w:val="000080"/>
        </w:rPr>
        <w:t>■ P.O. Box 4648 ■ Houston, Texas 77210-4648 ■ 713-646-4100</w:t>
      </w:r>
    </w:p>
    <w:p>
      <w:pPr>
        <w:sectPr>
          <w:pgSz w:w="11900" w:h="16838" w:orient="portrait"/>
          <w:cols w:equalWidth="0" w:num="1">
            <w:col w:w="11420"/>
          </w:cols>
          <w:pgMar w:left="240" w:top="125" w:right="2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«Officer»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March 22, 2018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1080"/>
        <w:spacing w:after="0" w:line="312" w:lineRule="auto"/>
        <w:rPr>
          <w:sz w:val="20"/>
          <w:szCs w:val="20"/>
          <w:color w:val="auto"/>
        </w:rPr>
      </w:pPr>
      <w:r>
        <w:rPr>
          <w:rFonts w:ascii="Arial" w:cs="Arial" w:eastAsia="Arial" w:hAnsi="Arial"/>
          <w:sz w:val="19"/>
          <w:szCs w:val="19"/>
          <w:color w:val="auto"/>
        </w:rPr>
        <w:t>Phantom Units and DERs shall automatically be forfeited as of the date of termination; provided, however, that if the Company or its Affiliates terminate your employment other than as a result of a Termination for Cause, (i) all of your then outstanding Phantom Units shall be deemed nonforfeitable on the date of termination and shall vest on the next following Distribution Date, and (ii) any DERs associated with such unvested, nonforfeitable Phantom Units shall not be forfeited on the date of termination, but shall be payable and shall expire on the next following Distribution Date.</w:t>
      </w:r>
    </w:p>
    <w:p>
      <w:pPr>
        <w:spacing w:after="0" w:line="200" w:lineRule="exact"/>
        <w:rPr>
          <w:sz w:val="20"/>
          <w:szCs w:val="20"/>
          <w:color w:val="auto"/>
        </w:rPr>
      </w:pPr>
    </w:p>
    <w:p>
      <w:pPr>
        <w:ind w:left="2120" w:hanging="1464"/>
        <w:spacing w:after="0" w:line="302" w:lineRule="auto"/>
        <w:tabs>
          <w:tab w:leader="none" w:pos="10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In the event of the termination of your employment with the Company and its Affiliates by reason of your death or your “disability” (a physical or mental infirmity that impairs your ability substantially to perform your duties for a period of eighteen months or that the Company otherwise determines constitutes a “disability”), the following provisions shall apply: (i) if such termination takes place prior to the first anniversary of the date of this grant, all of your then outstanding Phantom Units and DERs shall automatically be forfeited as of the date of termination; and (ii) if such termination takes place on or after the first anniversary of the date of this grant, (x) all of your then outstanding Phantom Units shall be deemed nonforfeitable on the date of termination and shall vest on the next following Distribution Date, and (y) any DERs associated with such unvested, nonforfeitable Phantom Units shall not be forfeited on the date of termination, but shall be payable and shall expire on the next following Distribution Date. As soon as administratively practicable after the vesting of any Phantom Units pursuant to this paragraph 7, payment will be made in cash in an amount equal to the Market Value of the number of Phantom Units vesting.</w:t>
      </w:r>
    </w:p>
    <w:p>
      <w:pPr>
        <w:spacing w:after="0" w:line="212" w:lineRule="exact"/>
        <w:rPr>
          <w:rFonts w:ascii="Arial" w:cs="Arial" w:eastAsia="Arial" w:hAnsi="Arial"/>
          <w:sz w:val="19"/>
          <w:szCs w:val="19"/>
          <w:color w:val="auto"/>
        </w:rPr>
      </w:pPr>
    </w:p>
    <w:p>
      <w:pPr>
        <w:ind w:left="2120" w:hanging="1464"/>
        <w:spacing w:after="0" w:line="263" w:lineRule="auto"/>
        <w:tabs>
          <w:tab w:leader="none" w:pos="10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In the event of a Change in Status, (i) all of your then outstanding Phantom Units shall be deemed nonforfeitable on such date and shall vest on the next following Distribution Date, and (ii) any DERs associated with such unvested, nonforfeitable Phantom Units shall not be forfeited on such date, but shall be payable and shall expire on the next following Distribution Date.</w:t>
      </w:r>
    </w:p>
    <w:p>
      <w:pPr>
        <w:spacing w:after="0" w:line="241" w:lineRule="exact"/>
        <w:rPr>
          <w:rFonts w:ascii="Arial" w:cs="Arial" w:eastAsia="Arial" w:hAnsi="Arial"/>
          <w:sz w:val="22"/>
          <w:szCs w:val="22"/>
          <w:color w:val="auto"/>
        </w:rPr>
      </w:pPr>
    </w:p>
    <w:p>
      <w:pPr>
        <w:ind w:left="2120" w:hanging="1464"/>
        <w:spacing w:after="0" w:line="263" w:lineRule="auto"/>
        <w:tabs>
          <w:tab w:leader="none" w:pos="10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Upon payment pursuant to a DER, the Company will withhold any taxes due from your compensation as required by law. Upon vesting of a Phantom Unit, the Company will withhold any taxes due from your compensation as required by law, which (in the sole discretion of the Company) may include withholding a number of Common Units otherwise payable to you.</w:t>
      </w:r>
    </w:p>
    <w:p>
      <w:pPr>
        <w:spacing w:after="0" w:line="22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As used herein, (i) the “Company” refers to Plains All American GP LLC; (ii) “Distribution Date” means the day in February, May, August or November in any year (as context dictates) that is 45 days after the end of the most recently completed calendar quarter (or, if not a business day, the closest previous business day); and (iii) “Market Value” means the average of the closing sales prices for a Common Unit on the New York Stock Exchange for the five trading days preceding the then most recent “ex dividend” date for payment of a distribution by the Partnership.</w:t>
      </w:r>
    </w:p>
    <w:p>
      <w:pPr>
        <w:sectPr>
          <w:pgSz w:w="11900" w:h="16838" w:orient="portrait"/>
          <w:cols w:equalWidth="0" w:num="1">
            <w:col w:w="11420"/>
          </w:cols>
          <w:pgMar w:left="240" w:top="132" w:right="239"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«Officer»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March 22, 2018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phrase “Change in Status” means (A) the termination of your employment by the Company other than a Termination for Cause, within two and a half months prior to or one year following a Change of Control (the “Protected Period”), (B) the termination of your employment by you due to the occurrence during the Protected Period, without your written consent, of (i) any material diminution in your authority, duties or responsibilities, (ii) any material reduction in your base salary, or (iii) any other action or inaction that constitutes a material breach of this Agreement by the Company, or (C) the termination of your employment by you as a result of your retirement on terms and timing that are approved by the CEO. A termination by you pursuant to (B) above shall not be a Change in Status unless (1) you provide written notice to the Company of the condition in (B)(i), (ii) or (iii) that would constitute a Change in Status within 90 days of the initial existence of the condition, and (2) the Company fails to remedy the condition within the 30-day period following such notice.</w:t>
      </w:r>
    </w:p>
    <w:p>
      <w:pPr>
        <w:spacing w:after="0" w:line="19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The phrase “Change of Control” means, and shall be deemed to have occurred upon the occurrence of, one or more of the following events: (i) Plains GP Holdings, L.P. (“PAGP”) ceases to retain direct or indirect control of the general partner of the Partnership; (ii) PAGP ceases to beneficially own, directly or indirectly, more than 50% of the membership interest in the Company; (iii) any direct or indirect sale, lease, exchange or other transfer (in one transaction or a series of related transactions and whether by merger or otherwise) of all or substantially all of the assets of the Partnership, PAGP or the Company to one or more Persons who are not affiliates of PAGP (“third party or parties”), other than a transaction in which the Owner Affiliates (as defined below) continue to beneficially own, directly or indirectly, more than 50% of the issued and outstanding voting securities of such third party or parties immediately following such transaction; (iv) (x) a “person” or “group” (as such terms are defined in Sections 13(d) and 14(d) of the Securities Exchange Act of 1934, as amended) other than the Owner Affiliates becomes the “beneficial owner” directly or indirectly of 25% or more of the member interest in PAA GP Holdings LLC, a Delaware limited liability company and the general partner of PAGP (“PAGP GP”),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(y) the member interest beneficially owned by such “person” or “group” exceeds the aggregate member interest in PAGP GP beneficially owned, directly or indirectly, by the Owner Affiliates; (v) any Person (other than PAGP, the Partnership or their respective affiliates), including any partnership, limited partnership, syndicate or other “person” or “group,” becomes the beneficial owner, directly or indirectly, of 50% or more of the membership interest in the Company or 50% or more of the outstanding limited partnership interests of PAGP; or (vi) any Person (other than PAGP or its wholly owned subsidiaries), including any partnership, limited partnership, syndicate or other “person” or “group,” becomes the beneficial owner, directly or indirectly, of 50% or more of the membership interest in PAGP GP.</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As used herein, the term “Owner Affiliates” shall mean KAFU Holdings, L.P. and its affiliates, EMG Investment, LLC and its affiliates, Oxy Holding Company (Pipeline), Inc. and its affiliates, Mark Strome and his affiliates, Windy, LLC and its affiliates, PAGP and its affiliates, Jay Chernosky, Kipp PAA Trust, Paul Riddle, Russell Clingman, David Humphreys and Philip Trinder.</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phrase “Termination for Cause” shall mean severance of your employment with the Company or its Affiliates based on your (i) failure to perform the duties and responsibilities of your position at an acceptable level as reasonably determined in good faith by the CEO and COO of the</w:t>
      </w:r>
    </w:p>
    <w:p>
      <w:pPr>
        <w:sectPr>
          <w:pgSz w:w="11900" w:h="16838" w:orient="portrait"/>
          <w:cols w:equalWidth="0" w:num="1">
            <w:col w:w="11420"/>
          </w:cols>
          <w:pgMar w:left="240" w:top="132" w:right="239" w:bottom="1440" w:gutter="0" w:footer="0" w:header="0"/>
        </w:sectPr>
      </w:pPr>
    </w:p>
    <w:bookmarkStart w:id="81" w:name="page82"/>
    <w:bookmarkEnd w:id="81"/>
    <w:p>
      <w:pPr>
        <w:spacing w:after="0"/>
        <w:rPr>
          <w:sz w:val="20"/>
          <w:szCs w:val="20"/>
          <w:color w:val="auto"/>
        </w:rPr>
      </w:pPr>
      <w:r>
        <w:rPr>
          <w:rFonts w:ascii="Arial" w:cs="Arial" w:eastAsia="Arial" w:hAnsi="Arial"/>
          <w:sz w:val="22"/>
          <w:szCs w:val="22"/>
          <w:color w:val="auto"/>
        </w:rPr>
        <w:t>«Officer»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March 22, 2018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Company, (ii) conviction of or guilty plea to the committing of an act or acts constituting a felony under the laws of the United States or any state thereof (or Canada or any province thereof) or any misdemeanor involving moral turpitude, or (iii) violation of the Company’s Code of Business Conduct (unless waived in accordance with the terms thereof), in the case of clauses (i) and (iii), with the specific failure or violation described to you in writing.</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Terms used herein that are not defined herein shall have the meanings set forth in the Plan or, if not defined in the Plan, in the Seventh Amended and Restated Agreement of Limited Partnership of Plains All American Pipeline, L.P. (the “Partnership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award is intended to either (i) qualify as a “short-term deferral” under Section 409A of the Internal Revenue Code of 1986, as amended, or (ii) comply with the provisions of Section 409A. If it is determined that any payments or benefits to be made or provided under this Agreement do not comply with Section 409A, the parties agree to amend this Agreement or take such other actions as reasonably necessary or appropriate to comply with Section 409A while preserving the economic agreement of the parties.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signing below, you agree that the Phantom Units and DERs granted hereunder are governed by the terms of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Copies of the Plan and the Partnership Agreement are available upon request.</w:t>
      </w:r>
    </w:p>
    <w:p>
      <w:pPr>
        <w:sectPr>
          <w:pgSz w:w="11900" w:h="16838" w:orient="portrait"/>
          <w:cols w:equalWidth="0" w:num="1">
            <w:col w:w="11420"/>
          </w:cols>
          <w:pgMar w:left="240" w:top="132" w:right="239" w:bottom="1440" w:gutter="0" w:footer="0" w:header="0"/>
        </w:sectPr>
      </w:pPr>
    </w:p>
    <w:bookmarkStart w:id="82" w:name="page83"/>
    <w:bookmarkEnd w:id="82"/>
    <w:p>
      <w:pPr>
        <w:spacing w:after="0"/>
        <w:rPr>
          <w:sz w:val="20"/>
          <w:szCs w:val="20"/>
          <w:color w:val="auto"/>
        </w:rPr>
      </w:pPr>
      <w:r>
        <w:rPr>
          <w:rFonts w:ascii="Arial" w:cs="Arial" w:eastAsia="Arial" w:hAnsi="Arial"/>
          <w:sz w:val="22"/>
          <w:szCs w:val="22"/>
          <w:color w:val="auto"/>
        </w:rPr>
        <w:t>«Officer»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March 22, 2018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In order for this grant to be effective you must designate a beneficiary that will be entitled to receive any benefits payable under this grant in the event of your death. Unless you indicate otherwise by checking the appropriate box the named beneficiaries on this form will serve as your beneficiaries for all previous LTIP grants. Please execute and return a copy of this grant letter to me and retain a copy for your records</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PLAINS ALL AMERICAN PIPELINE, L.P.</w:t>
      </w:r>
    </w:p>
    <w:p>
      <w:pPr>
        <w:spacing w:after="0" w:line="220"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PAA GP LLC, its general partner</w:t>
      </w:r>
    </w:p>
    <w:p>
      <w:pPr>
        <w:spacing w:after="0" w:line="22"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AAP, L.P., its sole member</w:t>
      </w:r>
    </w:p>
    <w:p>
      <w:pPr>
        <w:spacing w:after="0" w:line="4"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PLAINS ALL AMERICAN GP LLC, its general partner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Name:Richard McGee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Title:Executive Vice President &amp; General Counsel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Beneficiary Designation</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520" w:type="dxa"/>
            <w:vAlign w:val="bottom"/>
            <w:tcBorders>
              <w:top w:val="single" w:sz="8" w:color="00000A"/>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228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top w:val="single" w:sz="8" w:color="00000A"/>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auto"/>
              <w:right w:val="single" w:sz="8" w:color="00000A"/>
            </w:tcBorders>
          </w:tcPr>
          <w:p>
            <w:pPr>
              <w:spacing w:after="0"/>
              <w:rPr>
                <w:sz w:val="24"/>
                <w:szCs w:val="24"/>
                <w:color w:val="auto"/>
              </w:rPr>
            </w:pPr>
          </w:p>
        </w:tc>
        <w:tc>
          <w:tcPr>
            <w:tcW w:w="2280" w:type="dxa"/>
            <w:vAlign w:val="bottom"/>
            <w:tcBorders>
              <w:bottom w:val="single" w:sz="8" w:color="auto"/>
              <w:right w:val="single" w:sz="8" w:color="00000A"/>
            </w:tcBorders>
          </w:tcPr>
          <w:p>
            <w:pPr>
              <w:spacing w:after="0"/>
              <w:rPr>
                <w:sz w:val="24"/>
                <w:szCs w:val="24"/>
                <w:color w:val="auto"/>
              </w:rPr>
            </w:pPr>
          </w:p>
        </w:tc>
        <w:tc>
          <w:tcPr>
            <w:tcW w:w="3640" w:type="dxa"/>
            <w:vAlign w:val="bottom"/>
            <w:tcBorders>
              <w:bottom w:val="single" w:sz="8" w:color="auto"/>
              <w:right w:val="single" w:sz="8" w:color="00000A"/>
            </w:tcBorders>
          </w:tcPr>
          <w:p>
            <w:pPr>
              <w:spacing w:after="0"/>
              <w:rPr>
                <w:sz w:val="24"/>
                <w:szCs w:val="24"/>
                <w:color w:val="auto"/>
              </w:rPr>
            </w:pPr>
          </w:p>
        </w:tc>
      </w:tr>
      <w:tr>
        <w:trPr>
          <w:trHeight w:val="284"/>
        </w:trPr>
        <w:tc>
          <w:tcPr>
            <w:tcW w:w="5520" w:type="dxa"/>
            <w:vAlign w:val="bottom"/>
            <w:tcBorders>
              <w:left w:val="single" w:sz="8" w:color="00000A"/>
              <w:bottom w:val="single" w:sz="8" w:color="00000A"/>
              <w:right w:val="single" w:sz="8" w:color="00000A"/>
            </w:tcBorders>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228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Relationship</w:t>
            </w:r>
          </w:p>
        </w:tc>
        <w:tc>
          <w:tcPr>
            <w:tcW w:w="3640" w:type="dxa"/>
            <w:vAlign w:val="bottom"/>
            <w:tcBorders>
              <w:bottom w:val="single" w:sz="8" w:color="00000A"/>
              <w:right w:val="single" w:sz="8" w:color="00000A"/>
            </w:tcBorders>
            <w:shd w:val="clear" w:color="auto" w:fill="C0C0C0"/>
          </w:tcPr>
          <w:p>
            <w:pPr>
              <w:ind w:left="20"/>
              <w:spacing w:after="0"/>
              <w:rPr>
                <w:sz w:val="20"/>
                <w:szCs w:val="20"/>
                <w:color w:val="auto"/>
              </w:rPr>
            </w:pPr>
            <w:r>
              <w:rPr>
                <w:rFonts w:ascii="Arial" w:cs="Arial" w:eastAsia="Arial" w:hAnsi="Arial"/>
                <w:sz w:val="22"/>
                <w:szCs w:val="22"/>
                <w:color w:val="auto"/>
              </w:rPr>
              <w:t>Percent (Must total 100%)</w:t>
            </w:r>
          </w:p>
        </w:tc>
      </w:tr>
      <w:tr>
        <w:trPr>
          <w:trHeight w:val="284"/>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r>
        <w:trPr>
          <w:trHeight w:val="277"/>
        </w:trPr>
        <w:tc>
          <w:tcPr>
            <w:tcW w:w="5520" w:type="dxa"/>
            <w:vAlign w:val="bottom"/>
            <w:tcBorders>
              <w:left w:val="single" w:sz="8" w:color="00000A"/>
              <w:bottom w:val="single" w:sz="8" w:color="00000A"/>
              <w:right w:val="single" w:sz="8" w:color="00000A"/>
            </w:tcBorders>
          </w:tcPr>
          <w:p>
            <w:pPr>
              <w:spacing w:after="0"/>
              <w:rPr>
                <w:sz w:val="24"/>
                <w:szCs w:val="24"/>
                <w:color w:val="auto"/>
              </w:rPr>
            </w:pPr>
          </w:p>
        </w:tc>
        <w:tc>
          <w:tcPr>
            <w:tcW w:w="2280" w:type="dxa"/>
            <w:vAlign w:val="bottom"/>
            <w:tcBorders>
              <w:bottom w:val="single" w:sz="8" w:color="00000A"/>
              <w:right w:val="single" w:sz="8" w:color="00000A"/>
            </w:tcBorders>
          </w:tcPr>
          <w:p>
            <w:pPr>
              <w:spacing w:after="0"/>
              <w:rPr>
                <w:sz w:val="24"/>
                <w:szCs w:val="24"/>
                <w:color w:val="auto"/>
              </w:rPr>
            </w:pPr>
          </w:p>
        </w:tc>
        <w:tc>
          <w:tcPr>
            <w:tcW w:w="3640" w:type="dxa"/>
            <w:vAlign w:val="bottom"/>
            <w:tcBorders>
              <w:bottom w:val="single" w:sz="8" w:color="00000A"/>
              <w:right w:val="single" w:sz="8" w:color="00000A"/>
            </w:tcBorders>
          </w:tcPr>
          <w:p>
            <w:pPr>
              <w:spacing w:after="0"/>
              <w:rPr>
                <w:sz w:val="24"/>
                <w:szCs w:val="24"/>
                <w:color w:val="auto"/>
              </w:rPr>
            </w:pPr>
          </w:p>
        </w:tc>
      </w:tr>
    </w:tbl>
    <w:p>
      <w:pPr>
        <w:spacing w:after="0" w:line="249" w:lineRule="exact"/>
        <w:rPr>
          <w:sz w:val="20"/>
          <w:szCs w:val="20"/>
          <w:color w:val="auto"/>
        </w:rPr>
      </w:pPr>
    </w:p>
    <w:p>
      <w:pPr>
        <w:ind w:left="60"/>
        <w:spacing w:after="0"/>
        <w:rPr>
          <w:sz w:val="20"/>
          <w:szCs w:val="20"/>
          <w:color w:val="auto"/>
        </w:rPr>
      </w:pPr>
      <w:r>
        <w:rPr>
          <w:rFonts w:ascii="Arial" w:cs="Arial" w:eastAsia="Arial" w:hAnsi="Arial"/>
          <w:sz w:val="22"/>
          <w:szCs w:val="22"/>
          <w:color w:val="auto"/>
        </w:rPr>
        <w:t>Check this box only if designation does not apply to prior grants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«Officer»</w:t>
      </w:r>
    </w:p>
    <w:p>
      <w:pPr>
        <w:spacing w:after="0" w:line="20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color w:val="auto"/>
        </w:rPr>
        <w:t>Units:</w:t>
        <w:tab/>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-17780</wp:posOffset>
            </wp:positionV>
            <wp:extent cx="12045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7">
                      <a:extLst>
                        <a:ext uri="{28A0092B-C50C-407E-A947-70E740481C1C}"/>
                      </a:extLst>
                    </a:blip>
                    <a:srcRect/>
                    <a:stretch>
                      <a:fillRect/>
                    </a:stretch>
                  </pic:blipFill>
                  <pic:spPr bwMode="auto">
                    <a:xfrm>
                      <a:off x="0" y="0"/>
                      <a:ext cx="120459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w:t>
      </w:r>
    </w:p>
    <w:p>
      <w:pPr>
        <w:sectPr>
          <w:pgSz w:w="11900" w:h="16838" w:orient="portrait"/>
          <w:cols w:equalWidth="0" w:num="1">
            <w:col w:w="11440"/>
          </w:cols>
          <w:pgMar w:left="240" w:top="131" w:right="21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left="260" w:right="1540"/>
        <w:spacing w:after="0" w:line="266" w:lineRule="auto"/>
        <w:rPr>
          <w:sz w:val="20"/>
          <w:szCs w:val="20"/>
          <w:color w:val="auto"/>
        </w:rPr>
      </w:pPr>
      <w:r>
        <w:rPr>
          <w:rFonts w:ascii="Arial" w:cs="Arial" w:eastAsia="Arial" w:hAnsi="Arial"/>
          <w:sz w:val="18"/>
          <w:szCs w:val="18"/>
          <w:b w:val="1"/>
          <w:bCs w:val="1"/>
          <w:color w:val="auto"/>
        </w:rPr>
        <w:t>STATEMENT OF COMPUTATION OF RATIO OF EARNINGS TO FIXED CHARGES AND RATIO OF EARNINGS TO COMBINED FIXED CHARGES AND PREFERRED UNIT DISTRIBUTIONS (in millions, except ratio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vMerge w:val="restart"/>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vMerge w:val="continue"/>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6"/>
        </w:trPr>
        <w:tc>
          <w:tcPr>
            <w:tcW w:w="436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25"/>
                <w:szCs w:val="25"/>
                <w:b w:val="1"/>
                <w:bCs w:val="1"/>
                <w:color w:val="auto"/>
                <w:vertAlign w:val="superscript"/>
              </w:rPr>
              <w:t>(1)</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180"/>
              <w:spacing w:after="0"/>
              <w:rPr>
                <w:sz w:val="20"/>
                <w:szCs w:val="20"/>
                <w:color w:val="auto"/>
              </w:rPr>
            </w:pPr>
            <w:r>
              <w:rPr>
                <w:rFonts w:ascii="Arial" w:cs="Arial" w:eastAsia="Arial" w:hAnsi="Arial"/>
                <w:sz w:val="18"/>
                <w:szCs w:val="18"/>
                <w:color w:val="auto"/>
              </w:rPr>
              <w:t>Pre-tax income from continuing operations before</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40"/>
              <w:spacing w:after="0"/>
              <w:rPr>
                <w:sz w:val="20"/>
                <w:szCs w:val="20"/>
                <w:color w:val="auto"/>
              </w:rPr>
            </w:pPr>
            <w:r>
              <w:rPr>
                <w:rFonts w:ascii="Arial" w:cs="Arial" w:eastAsia="Arial" w:hAnsi="Arial"/>
                <w:sz w:val="18"/>
                <w:szCs w:val="18"/>
                <w:color w:val="auto"/>
              </w:rPr>
              <w:t>noncontrolling interests and income from equity</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40"/>
              <w:spacing w:after="0"/>
              <w:rPr>
                <w:sz w:val="20"/>
                <w:szCs w:val="20"/>
                <w:color w:val="auto"/>
              </w:rPr>
            </w:pPr>
            <w:r>
              <w:rPr>
                <w:rFonts w:ascii="Arial" w:cs="Arial" w:eastAsia="Arial" w:hAnsi="Arial"/>
                <w:sz w:val="18"/>
                <w:szCs w:val="18"/>
                <w:color w:val="auto"/>
              </w:rPr>
              <w:t>investees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Fixed charges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add: Distributed income of equity investees</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Amortization of capitalized interest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less: Capitalized interest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Earnings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5"/>
                <w:szCs w:val="25"/>
                <w:b w:val="1"/>
                <w:bCs w:val="1"/>
                <w:color w:val="auto"/>
                <w:vertAlign w:val="superscript"/>
              </w:rPr>
              <w:t>(1)</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Interest expensed and capitalized</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Portion of rent expense related to interest (33.33%)</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4360" w:type="dxa"/>
            <w:vAlign w:val="bottom"/>
          </w:tcPr>
          <w:p>
            <w:pPr>
              <w:ind w:left="340"/>
              <w:spacing w:after="0"/>
              <w:rPr>
                <w:sz w:val="20"/>
                <w:szCs w:val="20"/>
                <w:color w:val="auto"/>
              </w:rPr>
            </w:pPr>
            <w:r>
              <w:rPr>
                <w:rFonts w:ascii="Arial" w:cs="Arial" w:eastAsia="Arial" w:hAnsi="Arial"/>
                <w:sz w:val="18"/>
                <w:szCs w:val="18"/>
                <w:color w:val="auto"/>
              </w:rPr>
              <w:t>Total Fixed Charges</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Series A preferred unit distributions </w:t>
            </w:r>
            <w:r>
              <w:rPr>
                <w:rFonts w:ascii="Arial" w:cs="Arial" w:eastAsia="Arial" w:hAnsi="Arial"/>
                <w:sz w:val="25"/>
                <w:szCs w:val="25"/>
                <w:color w:val="auto"/>
                <w:vertAlign w:val="superscript"/>
              </w:rPr>
              <w:t>(2)(3)</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Series B preferred unit distributions </w:t>
            </w:r>
            <w:r>
              <w:rPr>
                <w:rFonts w:ascii="Arial" w:cs="Arial" w:eastAsia="Arial" w:hAnsi="Arial"/>
                <w:sz w:val="25"/>
                <w:szCs w:val="25"/>
                <w:color w:val="auto"/>
                <w:vertAlign w:val="superscript"/>
              </w:rPr>
              <w:t>(2)(4)</w:t>
            </w:r>
          </w:p>
        </w:tc>
        <w:tc>
          <w:tcPr>
            <w:tcW w:w="2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Combined Fixed Charges and Preferred Unit</w:t>
            </w: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766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710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457</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5"/>
                <w:szCs w:val="25"/>
                <w:b w:val="1"/>
                <w:bCs w:val="1"/>
                <w:color w:val="auto"/>
                <w:vertAlign w:val="superscript"/>
              </w:rPr>
              <w:t>(5)</w:t>
            </w: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3.91x</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2.45x</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2.25x</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2.80x</w:t>
            </w:r>
          </w:p>
        </w:tc>
        <w:tc>
          <w:tcPr>
            <w:tcW w:w="2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4.30x</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4.41x</w:t>
            </w:r>
          </w:p>
        </w:tc>
        <w:tc>
          <w:tcPr>
            <w:tcW w:w="0" w:type="dxa"/>
            <w:vAlign w:val="bottom"/>
          </w:tcPr>
          <w:p>
            <w:pPr>
              <w:spacing w:after="0"/>
              <w:rPr>
                <w:sz w:val="1"/>
                <w:szCs w:val="1"/>
                <w:color w:val="auto"/>
              </w:rPr>
            </w:pPr>
          </w:p>
        </w:tc>
      </w:tr>
      <w:tr>
        <w:trPr>
          <w:trHeight w:val="284"/>
        </w:trPr>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RATIO OF EARNINGS TO COMBINED FIXED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CHARGES AND PREFERRED UNIT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360" w:type="dxa"/>
            <w:vAlign w:val="bottom"/>
            <w:shd w:val="clear" w:color="auto" w:fill="CCEEFF"/>
          </w:tcPr>
          <w:p>
            <w:pPr>
              <w:ind w:left="200"/>
              <w:spacing w:after="0" w:line="262" w:lineRule="exact"/>
              <w:rPr>
                <w:sz w:val="20"/>
                <w:szCs w:val="20"/>
                <w:color w:val="auto"/>
              </w:rPr>
            </w:pPr>
            <w:r>
              <w:rPr>
                <w:rFonts w:ascii="Arial" w:cs="Arial" w:eastAsia="Arial" w:hAnsi="Arial"/>
                <w:sz w:val="18"/>
                <w:szCs w:val="18"/>
                <w:b w:val="1"/>
                <w:bCs w:val="1"/>
                <w:color w:val="auto"/>
              </w:rPr>
              <w:t xml:space="preserve">DISTRIBUTIONS </w:t>
            </w:r>
            <w:r>
              <w:rPr>
                <w:rFonts w:ascii="Arial" w:cs="Arial" w:eastAsia="Arial" w:hAnsi="Arial"/>
                <w:sz w:val="25"/>
                <w:szCs w:val="25"/>
                <w:b w:val="1"/>
                <w:bCs w:val="1"/>
                <w:color w:val="auto"/>
                <w:vertAlign w:val="superscript"/>
              </w:rPr>
              <w:t>(2)(5)</w:t>
            </w:r>
          </w:p>
        </w:tc>
        <w:tc>
          <w:tcPr>
            <w:tcW w:w="2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2.82x</w:t>
            </w: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1.96x</w:t>
            </w:r>
          </w:p>
        </w:tc>
        <w:tc>
          <w:tcPr>
            <w:tcW w:w="2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1.86x</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5044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90" w:lineRule="exact"/>
        <w:rPr>
          <w:sz w:val="20"/>
          <w:szCs w:val="20"/>
          <w:color w:val="auto"/>
        </w:rPr>
      </w:pPr>
    </w:p>
    <w:p>
      <w:pPr>
        <w:ind w:left="660" w:right="40" w:hanging="652"/>
        <w:spacing w:after="0" w:line="235" w:lineRule="auto"/>
        <w:tabs>
          <w:tab w:leader="none" w:pos="660" w:val="left"/>
        </w:tabs>
        <w:numPr>
          <w:ilvl w:val="0"/>
          <w:numId w:val="61"/>
        </w:numPr>
        <w:rPr>
          <w:rFonts w:ascii="Arial" w:cs="Arial" w:eastAsia="Arial" w:hAnsi="Arial"/>
          <w:sz w:val="25"/>
          <w:szCs w:val="25"/>
          <w:color w:val="auto"/>
          <w:vertAlign w:val="superscript"/>
        </w:rPr>
      </w:pPr>
      <w:r>
        <w:rPr>
          <w:rFonts w:ascii="Arial" w:cs="Arial" w:eastAsia="Arial" w:hAnsi="Arial"/>
          <w:sz w:val="18"/>
          <w:szCs w:val="18"/>
          <w:color w:val="auto"/>
        </w:rPr>
        <w:t>For purposes of computing the ratio of earnings to fixed charges and the ratio of earnings to combined fixed charges and preferred unit distributions,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96" w:lineRule="exact"/>
        <w:rPr>
          <w:rFonts w:ascii="Arial" w:cs="Arial" w:eastAsia="Arial" w:hAnsi="Arial"/>
          <w:sz w:val="25"/>
          <w:szCs w:val="25"/>
          <w:color w:val="auto"/>
          <w:vertAlign w:val="superscript"/>
        </w:rPr>
      </w:pPr>
    </w:p>
    <w:p>
      <w:pPr>
        <w:ind w:left="660" w:right="280" w:hanging="652"/>
        <w:spacing w:after="0" w:line="216" w:lineRule="auto"/>
        <w:tabs>
          <w:tab w:leader="none" w:pos="660" w:val="left"/>
        </w:tabs>
        <w:numPr>
          <w:ilvl w:val="0"/>
          <w:numId w:val="61"/>
        </w:numPr>
        <w:rPr>
          <w:rFonts w:ascii="Arial" w:cs="Arial" w:eastAsia="Arial" w:hAnsi="Arial"/>
          <w:sz w:val="25"/>
          <w:szCs w:val="25"/>
          <w:color w:val="auto"/>
          <w:vertAlign w:val="superscript"/>
        </w:rPr>
      </w:pPr>
      <w:r>
        <w:rPr>
          <w:rFonts w:ascii="Arial" w:cs="Arial" w:eastAsia="Arial" w:hAnsi="Arial"/>
          <w:sz w:val="18"/>
          <w:szCs w:val="18"/>
          <w:color w:val="auto"/>
        </w:rPr>
        <w:t>As no preferred units were outstanding for any of the years ended December 31, 2015, 2014 and 2013, no historical ratio of earnings to combined fixed charges and preferred unit distributions is presented for those years.</w:t>
      </w:r>
    </w:p>
    <w:p>
      <w:pPr>
        <w:spacing w:after="0" w:line="95" w:lineRule="exact"/>
        <w:rPr>
          <w:rFonts w:ascii="Arial" w:cs="Arial" w:eastAsia="Arial" w:hAnsi="Arial"/>
          <w:sz w:val="25"/>
          <w:szCs w:val="25"/>
          <w:color w:val="auto"/>
          <w:vertAlign w:val="superscript"/>
        </w:rPr>
      </w:pPr>
    </w:p>
    <w:p>
      <w:pPr>
        <w:jc w:val="both"/>
        <w:ind w:left="660" w:right="360" w:hanging="652"/>
        <w:spacing w:after="0" w:line="268" w:lineRule="auto"/>
        <w:tabs>
          <w:tab w:leader="none" w:pos="660" w:val="left"/>
        </w:tabs>
        <w:numPr>
          <w:ilvl w:val="0"/>
          <w:numId w:val="61"/>
        </w:numPr>
        <w:rPr>
          <w:rFonts w:ascii="Arial" w:cs="Arial" w:eastAsia="Arial" w:hAnsi="Arial"/>
          <w:sz w:val="22"/>
          <w:szCs w:val="22"/>
          <w:color w:val="auto"/>
          <w:vertAlign w:val="superscript"/>
        </w:rPr>
      </w:pPr>
      <w:r>
        <w:rPr>
          <w:rFonts w:ascii="Arial" w:cs="Arial" w:eastAsia="Arial" w:hAnsi="Arial"/>
          <w:sz w:val="16"/>
          <w:szCs w:val="16"/>
          <w:color w:val="auto"/>
        </w:rPr>
        <w:t>Distributions on our Series A convertible preferred units (the “Series A preferred units”) were paid in additional Series A preferred units for the years ended December 31, 2017 and 2016. We issued 5,413,842 and 4,646,499 additional Series A preferred units in lieu of cash distributions of $142 million and $122 million for the distributions pertaining to the years ended December 31, 2017 and 2016, respectively. Beginning with the distribution pertaining to the quarter ended March 31, 2018, distributions on our Series A preferred units will be paid in cash.</w:t>
      </w:r>
    </w:p>
    <w:p>
      <w:pPr>
        <w:spacing w:after="0" w:line="73" w:lineRule="exact"/>
        <w:rPr>
          <w:rFonts w:ascii="Arial" w:cs="Arial" w:eastAsia="Arial" w:hAnsi="Arial"/>
          <w:sz w:val="22"/>
          <w:szCs w:val="22"/>
          <w:color w:val="auto"/>
          <w:vertAlign w:val="superscript"/>
        </w:rPr>
      </w:pPr>
    </w:p>
    <w:p>
      <w:pPr>
        <w:ind w:left="660" w:right="340" w:hanging="652"/>
        <w:spacing w:after="0" w:line="216" w:lineRule="auto"/>
        <w:tabs>
          <w:tab w:leader="none" w:pos="660" w:val="left"/>
        </w:tabs>
        <w:numPr>
          <w:ilvl w:val="0"/>
          <w:numId w:val="61"/>
        </w:numPr>
        <w:rPr>
          <w:rFonts w:ascii="Arial" w:cs="Arial" w:eastAsia="Arial" w:hAnsi="Arial"/>
          <w:sz w:val="25"/>
          <w:szCs w:val="25"/>
          <w:color w:val="auto"/>
          <w:vertAlign w:val="superscript"/>
        </w:rPr>
      </w:pPr>
      <w:r>
        <w:rPr>
          <w:rFonts w:ascii="Arial" w:cs="Arial" w:eastAsia="Arial" w:hAnsi="Arial"/>
          <w:sz w:val="18"/>
          <w:szCs w:val="18"/>
          <w:color w:val="auto"/>
        </w:rPr>
        <w:t>Distributions on our Series B perpetual preferred units accrue and are cumulative at a rate of 6.125% per year from October 10, 2017, the date of original issue, and are payable in cash semiannually.</w:t>
      </w:r>
    </w:p>
    <w:p>
      <w:pPr>
        <w:spacing w:after="0" w:line="78"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61"/>
        </w:numPr>
        <w:rPr>
          <w:rFonts w:ascii="Arial" w:cs="Arial" w:eastAsia="Arial" w:hAnsi="Arial"/>
          <w:sz w:val="25"/>
          <w:szCs w:val="25"/>
          <w:color w:val="auto"/>
          <w:vertAlign w:val="superscript"/>
        </w:rPr>
      </w:pPr>
      <w:r>
        <w:rPr>
          <w:rFonts w:ascii="Arial" w:cs="Arial" w:eastAsia="Arial" w:hAnsi="Arial"/>
          <w:sz w:val="18"/>
          <w:szCs w:val="18"/>
          <w:color w:val="auto"/>
        </w:rPr>
        <w:t>Ratios may not recalculate due to rounding.</w:t>
      </w:r>
    </w:p>
    <w:p>
      <w:pPr>
        <w:sectPr>
          <w:pgSz w:w="11900" w:h="16838" w:orient="portrait"/>
          <w:cols w:equalWidth="0" w:num="1">
            <w:col w:w="11420"/>
          </w:cols>
          <w:pgMar w:left="240" w:top="58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225" w:lineRule="exact"/>
        <w:rPr>
          <w:sz w:val="20"/>
          <w:szCs w:val="20"/>
          <w:color w:val="auto"/>
        </w:rPr>
      </w:pPr>
    </w:p>
    <w:p>
      <w:pPr>
        <w:ind w:left="880" w:hanging="224"/>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 L. Armstrong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0" w:firstLine="656"/>
        <w:spacing w:after="0" w:line="264" w:lineRule="auto"/>
        <w:tabs>
          <w:tab w:leader="none" w:pos="134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656"/>
        <w:spacing w:after="0" w:line="264" w:lineRule="auto"/>
        <w:tabs>
          <w:tab w:leader="none" w:pos="13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60" w:firstLine="656"/>
        <w:spacing w:after="0" w:line="308" w:lineRule="auto"/>
        <w:tabs>
          <w:tab w:leader="none" w:pos="1343" w:val="left"/>
        </w:tabs>
        <w:numPr>
          <w:ilvl w:val="0"/>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right="320" w:firstLine="656"/>
        <w:spacing w:after="0" w:line="264" w:lineRule="auto"/>
        <w:tabs>
          <w:tab w:leader="none" w:pos="13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656"/>
        <w:spacing w:after="0" w:line="308" w:lineRule="auto"/>
        <w:tabs>
          <w:tab w:leader="none" w:pos="873"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580" w:firstLine="656"/>
        <w:spacing w:after="0" w:line="308" w:lineRule="auto"/>
        <w:tabs>
          <w:tab w:leader="none" w:pos="1343" w:val="left"/>
        </w:tabs>
        <w:numPr>
          <w:ilvl w:val="0"/>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60" w:firstLine="656"/>
        <w:spacing w:after="0" w:line="277" w:lineRule="auto"/>
        <w:tabs>
          <w:tab w:leader="none" w:pos="13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8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2018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Greg L. Armstrong</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May 9, 2018</w:t>
      </w:r>
    </w:p>
    <w:p>
      <w:pPr>
        <w:sectPr>
          <w:pgSz w:w="11900" w:h="16838" w:orient="portrait"/>
          <w:cols w:equalWidth="0" w:num="1">
            <w:col w:w="11420"/>
          </w:cols>
          <w:pgMar w:left="240" w:top="580"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200" w:firstLine="656"/>
        <w:spacing w:after="0" w:line="264" w:lineRule="auto"/>
        <w:tabs>
          <w:tab w:leader="none" w:pos="135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March 31, 2018 and filed with the Securities and Exchange Commission on the date hereof (the “Report”) by the Company fully complies with the requirements of Section 13(a) or 15(d) of the Securities Exchange Act of 1934, as amended; and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38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May 9,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o"/>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1)"/>
      <w:numFmt w:val="decimal"/>
      <w:start w:val="1"/>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1)"/>
      <w:numFmt w:val="decimal"/>
      <w:start w:val="1"/>
    </w:lvl>
  </w:abstractNum>
  <w:abstractNum w:abstractNumId="15">
    <w:nsid w:val="1D4ED43B"/>
    <w:multiLevelType w:val="hybridMultilevel"/>
    <w:lvl w:ilvl="0">
      <w:lvlJc w:val="left"/>
      <w:lvlText w:val="(%1)"/>
      <w:numFmt w:val="decimal"/>
      <w:start w:val="5"/>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1)"/>
      <w:numFmt w:val="decimal"/>
      <w:start w:val="1"/>
    </w:lvl>
  </w:abstractNum>
  <w:abstractNum w:abstractNumId="19">
    <w:nsid w:val="7A6D8D3C"/>
    <w:multiLevelType w:val="hybridMultilevel"/>
    <w:lvl w:ilvl="0">
      <w:lvlJc w:val="left"/>
      <w:lvlText w:val="(%1)"/>
      <w:numFmt w:val="decimal"/>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1)"/>
      <w:numFmt w:val="decimal"/>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1)"/>
      <w:numFmt w:val="decimal"/>
      <w:start w:val="1"/>
    </w:lvl>
  </w:abstractNum>
  <w:abstractNum w:abstractNumId="24">
    <w:nsid w:val="7644A45C"/>
    <w:multiLevelType w:val="hybridMultilevel"/>
    <w:lvl w:ilvl="0">
      <w:lvlJc w:val="left"/>
      <w:lvlText w:val="(%1)"/>
      <w:numFmt w:val="decimal"/>
      <w:start w:val="3"/>
    </w:lvl>
  </w:abstractNum>
  <w:abstractNum w:abstractNumId="25">
    <w:nsid w:val="32FFF902"/>
    <w:multiLevelType w:val="hybridMultilevel"/>
    <w:lvl w:ilvl="0">
      <w:lvlJc w:val="left"/>
      <w:lvlText w:val="(%1)"/>
      <w:numFmt w:val="decimal"/>
      <w:start w:val="13"/>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1)"/>
      <w:numFmt w:val="decimal"/>
      <w:start w:val="3"/>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1)"/>
      <w:numFmt w:val="decimal"/>
      <w:start w:val="1"/>
    </w:lvl>
  </w:abstractNum>
  <w:abstractNum w:abstractNumId="39">
    <w:nsid w:val="649BB77C"/>
    <w:multiLevelType w:val="hybridMultilevel"/>
    <w:lvl w:ilvl="0">
      <w:lvlJc w:val="left"/>
      <w:lvlText w:val="(%1)"/>
      <w:numFmt w:val="decimal"/>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1)"/>
      <w:numFmt w:val="lowerLetter"/>
      <w:start w:val="2"/>
    </w:lvl>
    <w:lvl w:ilvl="1">
      <w:lvlJc w:val="left"/>
      <w:lvlText w:val="%2)"/>
      <w:numFmt w:val="decimal"/>
      <w:start w:val="1"/>
    </w:lvl>
  </w:abstractNum>
  <w:abstractNum w:abstractNumId="49">
    <w:nsid w:val="D34B6A8"/>
    <w:multiLevelType w:val="hybridMultilevel"/>
    <w:lvl w:ilvl="0">
      <w:lvlJc w:val="left"/>
      <w:lvlText w:val="(%1)"/>
      <w:numFmt w:val="lowerLetter"/>
      <w:start w:val="2"/>
    </w:lvl>
    <w:lvl w:ilvl="1">
      <w:lvlJc w:val="left"/>
      <w:lvlText w:val="%2)"/>
      <w:numFmt w:val="decimal"/>
      <w:start w:val="1"/>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4"/>
    </w:lvl>
    <w:lvl w:ilvl="1">
      <w:lvlJc w:val="left"/>
      <w:lvlText w:val="(%2)"/>
      <w:numFmt w:val="lowerRoman"/>
      <w:start w:val="3"/>
    </w:lvl>
  </w:abstractNum>
  <w:abstractNum w:abstractNumId="52">
    <w:nsid w:val="61574095"/>
    <w:multiLevelType w:val="hybridMultilevel"/>
    <w:lvl w:ilvl="0">
      <w:lvlJc w:val="left"/>
      <w:lvlText w:val="(%1)"/>
      <w:numFmt w:val="lowerRoman"/>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decimal"/>
      <w:start w:val="2"/>
    </w:lvl>
  </w:abstractNum>
  <w:abstractNum w:abstractNumId="56">
    <w:nsid w:val="310C50B3"/>
    <w:multiLevelType w:val="hybridMultilevel"/>
    <w:lvl w:ilvl="0">
      <w:lvlJc w:val="left"/>
      <w:lvlText w:val="%1"/>
      <w:numFmt w:val="decimal"/>
      <w:start w:val="1"/>
    </w:lvl>
    <w:lvl w:ilvl="1">
      <w:lvlJc w:val="left"/>
      <w:lvlText w:val="(%2)"/>
      <w:numFmt w:val="lowerRoman"/>
      <w:start w:val="1"/>
    </w:lvl>
  </w:abstractNum>
  <w:abstractNum w:abstractNumId="57">
    <w:nsid w:val="5FF87E05"/>
    <w:multiLevelType w:val="hybridMultilevel"/>
    <w:lvl w:ilvl="0">
      <w:lvlJc w:val="left"/>
      <w:lvlText w:val="%1."/>
      <w:numFmt w:val="decimal"/>
      <w:start w:val="7"/>
    </w:lvl>
    <w:lvl w:ilvl="1">
      <w:lvlJc w:val="left"/>
      <w:lvlText w:val="%2"/>
      <w:numFmt w:val="lowerRoman"/>
      <w:start w:val="1"/>
    </w:lvl>
  </w:abstractNum>
  <w:abstractNum w:abstractNumId="58">
    <w:nsid w:val="2F305DEF"/>
    <w:multiLevelType w:val="hybridMultilevel"/>
    <w:lvl w:ilvl="0">
      <w:lvlJc w:val="left"/>
      <w:lvlText w:val="%1."/>
      <w:numFmt w:val="decimal"/>
      <w:start w:val="1"/>
    </w:lvl>
  </w:abstractNum>
  <w:abstractNum w:abstractNumId="59">
    <w:nsid w:val="25A70BF7"/>
    <w:multiLevelType w:val="hybridMultilevel"/>
    <w:lvl w:ilvl="0">
      <w:lvlJc w:val="left"/>
      <w:lvlText w:val="%1."/>
      <w:numFmt w:val="decimal"/>
      <w:start w:val="7"/>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lowerLetter"/>
      <w:start w:val="1"/>
    </w:lvl>
  </w:abstractNum>
  <w:abstractNum w:abstractNumId="63">
    <w:nsid w:val="1381823A"/>
    <w:multiLevelType w:val="hybridMultilevel"/>
    <w:lvl w:ilvl="0">
      <w:lvlJc w:val="left"/>
      <w:lvlText w:val="%1."/>
      <w:numFmt w:val="decimal"/>
      <w:start w:val="5"/>
    </w:lvl>
  </w:abstractNum>
  <w:abstractNum w:abstractNumId="64">
    <w:nsid w:val="5DB70AE5"/>
    <w:multiLevelType w:val="hybridMultilevel"/>
    <w:lvl w:ilvl="0">
      <w:lvlJc w:val="left"/>
      <w:lvlText w:val="(%1)"/>
      <w:numFmt w:val="lowerLetter"/>
      <w:start w:val="1"/>
    </w:lvl>
  </w:abstractNum>
  <w:abstractNum w:abstractNumId="65">
    <w:nsid w:val="100F8FCA"/>
    <w:multiLevelType w:val="hybridMultilevel"/>
    <w:lvl w:ilvl="0">
      <w:lvlJc w:val="left"/>
      <w:lvlText w:val="%1."/>
      <w:numFmt w:val="decimal"/>
      <w:start w:val="1"/>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decimal"/>
      <w:start w:val="5"/>
    </w:lvl>
  </w:abstractNum>
  <w:abstractNum w:abstractNumId="68">
    <w:nsid w:val="5F5E7FD0"/>
    <w:multiLevelType w:val="hybridMultilevel"/>
    <w:lvl w:ilvl="0">
      <w:lvlJc w:val="left"/>
      <w:lvlText w:val="(%1)"/>
      <w:numFmt w:val="lowerLetter"/>
      <w:start w:val="1"/>
    </w:lvl>
  </w:abstractNum>
  <w:abstractNum w:abstractNumId="69">
    <w:nsid w:val="98A3148"/>
    <w:multiLevelType w:val="hybridMultilevel"/>
    <w:lvl w:ilvl="0">
      <w:lvlJc w:val="left"/>
      <w:lvlText w:val="(%1)"/>
      <w:numFmt w:val="lowerRoman"/>
      <w:start w:val="1"/>
    </w:lvl>
  </w:abstractNum>
  <w:abstractNum w:abstractNumId="70">
    <w:nsid w:val="799D024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79" Type="http://schemas.openxmlformats.org/officeDocument/2006/relationships/image" Target="media/image36.png"/><Relationship Id="rId80" Type="http://schemas.openxmlformats.org/officeDocument/2006/relationships/image" Target="media/image37.png"/><Relationship Id="rId81" Type="http://schemas.openxmlformats.org/officeDocument/2006/relationships/image" Target="media/image38.png"/><Relationship Id="rId82" Type="http://schemas.openxmlformats.org/officeDocument/2006/relationships/image" Target="media/image39.jpeg"/><Relationship Id="rId83" Type="http://schemas.openxmlformats.org/officeDocument/2006/relationships/image" Target="media/image40.png"/><Relationship Id="rId84" Type="http://schemas.openxmlformats.org/officeDocument/2006/relationships/image" Target="media/image41.jpeg"/><Relationship Id="rId85" Type="http://schemas.openxmlformats.org/officeDocument/2006/relationships/image" Target="media/image42.png"/><Relationship Id="rId86" Type="http://schemas.openxmlformats.org/officeDocument/2006/relationships/image" Target="media/image43.jpeg"/><Relationship Id="rId87" Type="http://schemas.openxmlformats.org/officeDocument/2006/relationships/image" Target="media/image44.png"/><Relationship Id="rId88" Type="http://schemas.openxmlformats.org/officeDocument/2006/relationships/image" Target="media/image45.png"/><Relationship Id="rId89" Type="http://schemas.openxmlformats.org/officeDocument/2006/relationships/image" Target="media/image46.png"/><Relationship Id="rId90" Type="http://schemas.openxmlformats.org/officeDocument/2006/relationships/image" Target="media/image47.png"/><Relationship Id="rId91" Type="http://schemas.openxmlformats.org/officeDocument/2006/relationships/image" Target="media/image48.png"/><Relationship Id="rId92" Type="http://schemas.openxmlformats.org/officeDocument/2006/relationships/image" Target="media/image49.png"/><Relationship Id="rId43" Type="http://schemas.openxmlformats.org/officeDocument/2006/relationships/hyperlink" Target="http://www.sec.gov/Archives/edgar/data/1070423/000110465917061889/a17-22685_5ex3d1.htm#Exhibit3_1_122228" TargetMode="External"/><Relationship Id="rId44" Type="http://schemas.openxmlformats.org/officeDocument/2006/relationships/hyperlink" Target="http://www.sec.gov/Archives/edgar/data/1070423/000104746904016502/a2135501zex-3_2.htm" TargetMode="External"/><Relationship Id="rId45" Type="http://schemas.openxmlformats.org/officeDocument/2006/relationships/hyperlink" Target="http://www.sec.gov/Archives/edgar/data/1070423/000110465911010359/a11-2319_1ex3d9.htm" TargetMode="External"/><Relationship Id="rId46" Type="http://schemas.openxmlformats.org/officeDocument/2006/relationships/hyperlink" Target="http://www.sec.gov/Archives/edgar/data/1070423/000110465911010359/a11-2319_1ex3d10.htm" TargetMode="External"/><Relationship Id="rId47" Type="http://schemas.openxmlformats.org/officeDocument/2006/relationships/hyperlink" Target="http://www.sec.gov/Archives/edgar/data/1070423/000110465914014322/a13-25941_1ex3d7.htm" TargetMode="External"/><Relationship Id="rId48" Type="http://schemas.openxmlformats.org/officeDocument/2006/relationships/hyperlink" Target="http://www.sec.gov/Archives/edgar/data/1070423/000110465914014322/a13-25941_1ex3d8.htm" TargetMode="External"/><Relationship Id="rId49" Type="http://schemas.openxmlformats.org/officeDocument/2006/relationships/hyperlink" Target="http://www.sec.gov/Archives/edgar/data/1070423/000104746904016502/a2135501zex-3_3.htm" TargetMode="External"/><Relationship Id="rId50" Type="http://schemas.openxmlformats.org/officeDocument/2006/relationships/hyperlink" Target="http://www.sec.gov/Archives/edgar/data/1070423/000110465914014322/a13-25941_1ex3d10.htm" TargetMode="External"/><Relationship Id="rId51" Type="http://schemas.openxmlformats.org/officeDocument/2006/relationships/hyperlink" Target="http://www.sec.gov/Archives/edgar/data/1070423/000110465916158355/a16-21841_1ex3d3.htm" TargetMode="External"/><Relationship Id="rId52" Type="http://schemas.openxmlformats.org/officeDocument/2006/relationships/hyperlink" Target="http://www.sec.gov/Archives/edgar/data/1070423/000110465916158355/a16-21841_1ex3d4.htm" TargetMode="External"/><Relationship Id="rId53" Type="http://schemas.openxmlformats.org/officeDocument/2006/relationships/hyperlink" Target="http://www.sec.gov/Archives/edgar/data/1070423/000095012907001096/h43224exv3w10.htm" TargetMode="External"/><Relationship Id="rId54" Type="http://schemas.openxmlformats.org/officeDocument/2006/relationships/hyperlink" Target="http://www.sec.gov/Archives/edgar/data/1070423/000095012907001096/h43224exv3w11.htm" TargetMode="External"/><Relationship Id="rId55" Type="http://schemas.openxmlformats.org/officeDocument/2006/relationships/hyperlink" Target="http://www.sec.gov/Archives/edgar/data/1070423/000095012908000071/h52770exv3w3.htm" TargetMode="External"/><Relationship Id="rId56" Type="http://schemas.openxmlformats.org/officeDocument/2006/relationships/hyperlink" Target="http://www.sec.gov/Archives/edgar/data/1581990/000104746913007875/a2216069zex-3_1.htm" TargetMode="External"/><Relationship Id="rId57" Type="http://schemas.openxmlformats.org/officeDocument/2006/relationships/hyperlink" Target="http://www.sec.gov/Archives/edgar/data/1581990/000110465916158356/a16-21845_1ex3d2.htm" TargetMode="External"/><Relationship Id="rId58" Type="http://schemas.openxmlformats.org/officeDocument/2006/relationships/hyperlink" Target="http://www.sec.gov/Archives/edgar/data/1581990/000104746913007875/a2216069zex-3_3.htm" TargetMode="External"/><Relationship Id="rId59" Type="http://schemas.openxmlformats.org/officeDocument/2006/relationships/hyperlink" Target="http://www.sec.gov/Archives/edgar/data/1070423/000110465917010601/a17-6891_1ex3d1.htm" TargetMode="External"/><Relationship Id="rId60" Type="http://schemas.openxmlformats.org/officeDocument/2006/relationships/hyperlink" Target="http://www.sec.gov/Archives/edgar/data/1070423/000089924302002834/dex41.txt" TargetMode="External"/><Relationship Id="rId61" Type="http://schemas.openxmlformats.org/officeDocument/2006/relationships/hyperlink" Target="http://www.sec.gov/Archives/edgar/data/1070423/000110465906034368/a06-11663_1ex4d1.htm" TargetMode="External"/><Relationship Id="rId62" Type="http://schemas.openxmlformats.org/officeDocument/2006/relationships/hyperlink" Target="http://www.sec.gov/Archives/edgar/data/1070423/000095012906009235/h40667exv4w2.htm" TargetMode="External"/><Relationship Id="rId63" Type="http://schemas.openxmlformats.org/officeDocument/2006/relationships/hyperlink" Target="http://www.sec.gov/Archives/edgar/data/1070423/000095012309041075/h67912exv4w1.htm" TargetMode="External"/><Relationship Id="rId64" Type="http://schemas.openxmlformats.org/officeDocument/2006/relationships/hyperlink" Target="http://www.sec.gov/Archives/edgar/data/1070423/000095012311002051/h78739exv4w1.htm" TargetMode="External"/><Relationship Id="rId65" Type="http://schemas.openxmlformats.org/officeDocument/2006/relationships/hyperlink" Target="http://www.sec.gov/Archives/edgar/data/1070423/000119312512132295/d321017dex41.htm" TargetMode="External"/><Relationship Id="rId66" Type="http://schemas.openxmlformats.org/officeDocument/2006/relationships/hyperlink" Target="http://www.sec.gov/Archives/edgar/data/1070423/000119312512132295/d321017dex43.htm" TargetMode="External"/><Relationship Id="rId67" Type="http://schemas.openxmlformats.org/officeDocument/2006/relationships/hyperlink" Target="http://www.sec.gov/Archives/edgar/data/1070423/000119312512499932/d453762dex41.htm" TargetMode="External"/><Relationship Id="rId68" Type="http://schemas.openxmlformats.org/officeDocument/2006/relationships/hyperlink" Target="http://www.sec.gov/Archives/edgar/data/1070423/000119312512499932/d453762dex43.htm" TargetMode="External"/><Relationship Id="rId69" Type="http://schemas.openxmlformats.org/officeDocument/2006/relationships/hyperlink" Target="http://www.sec.gov/Archives/edgar/data/1070423/000119312513336066/d581734dex41.htm" TargetMode="External"/><Relationship Id="rId70" Type="http://schemas.openxmlformats.org/officeDocument/2006/relationships/hyperlink" Target="http://www.sec.gov/Archives/edgar/data/1070423/000119312514164183/d713938dex41.htm" TargetMode="External"/><Relationship Id="rId71" Type="http://schemas.openxmlformats.org/officeDocument/2006/relationships/hyperlink" Target="http://www.sec.gov/Archives/edgar/data/1070423/000119312514338289/d787160dex41.htm" TargetMode="External"/><Relationship Id="rId72" Type="http://schemas.openxmlformats.org/officeDocument/2006/relationships/hyperlink" Target="http://www.sec.gov/Archives/edgar/data/1070423/000119312514440007/d833885dex41.htm" TargetMode="External"/><Relationship Id="rId73" Type="http://schemas.openxmlformats.org/officeDocument/2006/relationships/hyperlink" Target="http://www.sec.gov/Archives/edgar/data/1070423/000119312514440007/d833885dex43.htm" TargetMode="External"/><Relationship Id="rId74" Type="http://schemas.openxmlformats.org/officeDocument/2006/relationships/hyperlink" Target="http://www.sec.gov/Archives/edgar/data/1070423/000119312515302829/d45393dex41.htm" TargetMode="External"/><Relationship Id="rId75" Type="http://schemas.openxmlformats.org/officeDocument/2006/relationships/hyperlink" Target="http://www.sec.gov/Archives/edgar/data/1070423/000110465916159593/a16-22232_1ex4d1.htm" TargetMode="External"/><Relationship Id="rId76" Type="http://schemas.openxmlformats.org/officeDocument/2006/relationships/hyperlink" Target="http://www.sec.gov/Archives/edgar/data/1070423/000095012309050401/h68193exv4w1.htm" TargetMode="External"/><Relationship Id="rId77" Type="http://schemas.openxmlformats.org/officeDocument/2006/relationships/hyperlink" Target="http://www.sec.gov/Archives/edgar/data/1070423/000110465916093299/a16-3362_1ex4d1.htm" TargetMode="External"/><Relationship Id="rId78" Type="http://schemas.openxmlformats.org/officeDocument/2006/relationships/hyperlink" Target="http://www.sec.gov/Archives/edgar/data/1070423/000110465916158355/a16-21841_1ex10d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2020-01-15T09:42:11Z</dcterms:created>
  <dcterms:modified xsi:type="dcterms:W3CDTF">2020-01-15T09:42:11Z</dcterms:modified>
</cp:coreProperties>
</file>