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Plains All American Pipeline, L.P.</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726503105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31" w:lineRule="exact"/>
        <w:rPr>
          <w:sz w:val="24"/>
          <w:szCs w:val="24"/>
          <w:color w:val="auto"/>
        </w:rPr>
      </w:pPr>
    </w:p>
    <w:p>
      <w:pPr>
        <w:ind w:left="460" w:right="1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No.726503105</w:t>
      </w:r>
    </w:p>
    <w:p>
      <w:pPr>
        <w:spacing w:after="0" w:line="14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53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ALPS Advisors, Inc. (Tax ID: 84-1583423)</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10940" w:type="dxa"/>
            <w:vAlign w:val="bottom"/>
            <w:gridSpan w:val="5"/>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gridSpan w:val="2"/>
          </w:tcPr>
          <w:p>
            <w:pPr>
              <w:jc w:val="right"/>
              <w:ind w:right="270"/>
              <w:spacing w:after="0" w:line="181" w:lineRule="exact"/>
              <w:rPr>
                <w:sz w:val="20"/>
                <w:szCs w:val="20"/>
                <w:color w:val="auto"/>
              </w:rPr>
            </w:pPr>
            <w:r>
              <w:rPr>
                <w:rFonts w:ascii="MS PGothic" w:cs="MS PGothic" w:eastAsia="MS PGothic" w:hAnsi="MS PGothic"/>
                <w:sz w:val="18"/>
                <w:szCs w:val="18"/>
                <w:color w:val="auto"/>
                <w:w w:val="77"/>
              </w:rPr>
              <w:t>☐</w:t>
            </w:r>
          </w:p>
        </w:tc>
        <w:tc>
          <w:tcPr>
            <w:tcW w:w="100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w w:val="95"/>
              </w:rPr>
              <w:t>Colorado</w:t>
            </w:r>
          </w:p>
        </w:tc>
        <w:tc>
          <w:tcPr>
            <w:tcW w:w="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19"/>
                <w:szCs w:val="19"/>
                <w:color w:val="auto"/>
              </w:rPr>
            </w:pPr>
          </w:p>
        </w:tc>
        <w:tc>
          <w:tcPr>
            <w:tcW w:w="10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00" w:type="dxa"/>
            <w:vAlign w:val="bottom"/>
            <w:tcBorders>
              <w:right w:val="single" w:sz="8" w:color="auto"/>
            </w:tcBorders>
            <w:gridSpan w:val="4"/>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00" w:type="dxa"/>
            <w:vAlign w:val="bottom"/>
            <w:tcBorders>
              <w:right w:val="single" w:sz="8" w:color="auto"/>
            </w:tcBorders>
            <w:gridSpan w:val="4"/>
            <w:vMerge w:val="continue"/>
          </w:tcPr>
          <w:p>
            <w:pPr>
              <w:spacing w:after="0"/>
              <w:rPr>
                <w:sz w:val="3"/>
                <w:szCs w:val="3"/>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3"/>
                <w:szCs w:val="3"/>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86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9"/>
              </w:rPr>
              <w:t>Shares</w:t>
            </w:r>
          </w:p>
        </w:tc>
        <w:tc>
          <w:tcPr>
            <w:tcW w:w="240" w:type="dxa"/>
            <w:vAlign w:val="bottom"/>
            <w:tcBorders>
              <w:right w:val="single" w:sz="8" w:color="auto"/>
            </w:tcBorders>
          </w:tcPr>
          <w:p>
            <w:pPr>
              <w:spacing w:after="0"/>
              <w:rPr>
                <w:sz w:val="15"/>
                <w:szCs w:val="15"/>
                <w:color w:val="auto"/>
              </w:rPr>
            </w:pPr>
          </w:p>
        </w:tc>
        <w:tc>
          <w:tcPr>
            <w:tcW w:w="2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60" w:type="dxa"/>
            <w:vAlign w:val="bottom"/>
            <w:gridSpan w:val="3"/>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39,064,805**see Note 1**</w:t>
            </w:r>
          </w:p>
        </w:tc>
        <w:tc>
          <w:tcPr>
            <w:tcW w:w="0" w:type="dxa"/>
            <w:vAlign w:val="bottom"/>
          </w:tcPr>
          <w:p>
            <w:pPr>
              <w:spacing w:after="0"/>
              <w:rPr>
                <w:sz w:val="1"/>
                <w:szCs w:val="1"/>
                <w:color w:val="auto"/>
              </w:rPr>
            </w:pPr>
          </w:p>
        </w:tc>
      </w:tr>
      <w:tr>
        <w:trPr>
          <w:trHeight w:val="234"/>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46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240" w:type="dxa"/>
            <w:vAlign w:val="bottom"/>
            <w:tcBorders>
              <w:right w:val="single" w:sz="8" w:color="auto"/>
            </w:tcBorders>
          </w:tcPr>
          <w:p>
            <w:pPr>
              <w:spacing w:after="0"/>
              <w:rPr>
                <w:sz w:val="15"/>
                <w:szCs w:val="15"/>
                <w:color w:val="auto"/>
              </w:rPr>
            </w:pPr>
          </w:p>
        </w:tc>
        <w:tc>
          <w:tcPr>
            <w:tcW w:w="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right w:val="single" w:sz="8" w:color="auto"/>
            </w:tcBorders>
          </w:tcPr>
          <w:p>
            <w:pPr>
              <w:spacing w:after="0"/>
              <w:rPr>
                <w:sz w:val="15"/>
                <w:szCs w:val="15"/>
                <w:color w:val="auto"/>
              </w:rPr>
            </w:pPr>
          </w:p>
        </w:tc>
        <w:tc>
          <w:tcPr>
            <w:tcW w:w="1000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7"/>
              </w:rPr>
              <w:t>Person</w:t>
            </w:r>
          </w:p>
        </w:tc>
        <w:tc>
          <w:tcPr>
            <w:tcW w:w="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0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240" w:type="dxa"/>
            <w:vAlign w:val="bottom"/>
            <w:tcBorders>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right w:val="single" w:sz="8" w:color="auto"/>
            </w:tcBorders>
          </w:tcPr>
          <w:p>
            <w:pPr>
              <w:spacing w:after="0"/>
              <w:rPr>
                <w:sz w:val="11"/>
                <w:szCs w:val="11"/>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39,064,805**see Note 1**</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39,064,805**see Note 1**</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5.38%</w:t>
            </w:r>
          </w:p>
        </w:tc>
        <w:tc>
          <w:tcPr>
            <w:tcW w:w="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726503105</w:t>
      </w:r>
    </w:p>
    <w:p>
      <w:pPr>
        <w:spacing w:after="0" w:line="14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531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Alerian MLP ETF (Tax ID: 27-3041076)</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10940" w:type="dxa"/>
            <w:vAlign w:val="bottom"/>
            <w:gridSpan w:val="5"/>
          </w:tcPr>
          <w:p>
            <w:pPr>
              <w:ind w:left="8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100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0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auto"/>
            </w:tcBorders>
          </w:tcPr>
          <w:p>
            <w:pPr>
              <w:spacing w:after="0"/>
              <w:rPr>
                <w:sz w:val="19"/>
                <w:szCs w:val="19"/>
                <w:color w:val="auto"/>
              </w:rPr>
            </w:pPr>
          </w:p>
        </w:tc>
        <w:tc>
          <w:tcPr>
            <w:tcW w:w="10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100" w:type="dxa"/>
            <w:vAlign w:val="bottom"/>
            <w:tcBorders>
              <w:right w:val="single" w:sz="8" w:color="auto"/>
            </w:tcBorders>
            <w:gridSpan w:val="4"/>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100" w:type="dxa"/>
            <w:vAlign w:val="bottom"/>
            <w:tcBorders>
              <w:right w:val="single" w:sz="8" w:color="auto"/>
            </w:tcBorders>
            <w:gridSpan w:val="4"/>
            <w:vMerge w:val="continue"/>
          </w:tcPr>
          <w:p>
            <w:pPr>
              <w:spacing w:after="0"/>
              <w:rPr>
                <w:sz w:val="3"/>
                <w:szCs w:val="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right w:val="single" w:sz="8" w:color="auto"/>
            </w:tcBorders>
          </w:tcPr>
          <w:p>
            <w:pPr>
              <w:spacing w:after="0"/>
              <w:rPr>
                <w:sz w:val="3"/>
                <w:szCs w:val="3"/>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86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9"/>
              </w:rPr>
              <w:t>Shares</w:t>
            </w:r>
          </w:p>
        </w:tc>
        <w:tc>
          <w:tcPr>
            <w:tcW w:w="240" w:type="dxa"/>
            <w:vAlign w:val="bottom"/>
            <w:tcBorders>
              <w:right w:val="single" w:sz="8" w:color="auto"/>
            </w:tcBorders>
          </w:tcPr>
          <w:p>
            <w:pPr>
              <w:spacing w:after="0"/>
              <w:rPr>
                <w:sz w:val="15"/>
                <w:szCs w:val="15"/>
                <w:color w:val="auto"/>
              </w:rPr>
            </w:pPr>
          </w:p>
        </w:tc>
        <w:tc>
          <w:tcPr>
            <w:tcW w:w="260" w:type="dxa"/>
            <w:vAlign w:val="bottom"/>
            <w:vMerge w:val="continue"/>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60" w:type="dxa"/>
            <w:vAlign w:val="bottom"/>
            <w:gridSpan w:val="3"/>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39,061,715 **see Note 1**</w:t>
            </w:r>
          </w:p>
        </w:tc>
        <w:tc>
          <w:tcPr>
            <w:tcW w:w="0" w:type="dxa"/>
            <w:vAlign w:val="bottom"/>
          </w:tcPr>
          <w:p>
            <w:pPr>
              <w:spacing w:after="0"/>
              <w:rPr>
                <w:sz w:val="1"/>
                <w:szCs w:val="1"/>
                <w:color w:val="auto"/>
              </w:rPr>
            </w:pPr>
          </w:p>
        </w:tc>
      </w:tr>
      <w:tr>
        <w:trPr>
          <w:trHeight w:val="234"/>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46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right w:val="single" w:sz="8" w:color="auto"/>
            </w:tcBorders>
          </w:tcPr>
          <w:p>
            <w:pPr>
              <w:spacing w:after="0"/>
              <w:rPr>
                <w:sz w:val="15"/>
                <w:szCs w:val="15"/>
                <w:color w:val="auto"/>
              </w:rPr>
            </w:pPr>
          </w:p>
        </w:tc>
        <w:tc>
          <w:tcPr>
            <w:tcW w:w="1000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7"/>
              </w:rPr>
              <w:t>Person</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000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240" w:type="dxa"/>
            <w:vAlign w:val="bottom"/>
            <w:tcBorders>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right w:val="single" w:sz="8" w:color="auto"/>
            </w:tcBorders>
          </w:tcPr>
          <w:p>
            <w:pPr>
              <w:spacing w:after="0"/>
              <w:rPr>
                <w:sz w:val="11"/>
                <w:szCs w:val="11"/>
                <w:color w:val="auto"/>
              </w:rPr>
            </w:pPr>
          </w:p>
        </w:tc>
        <w:tc>
          <w:tcPr>
            <w:tcW w:w="100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39,061,715 **see Note 1**</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39,061,715 **see Note 1**</w:t>
            </w: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N/A</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5.38%</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1"/>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IV</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1480" w:hanging="567"/>
        <w:spacing w:after="0"/>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7"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Pipeline, L.P.</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1500" w:right="7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Clay Street, Suite 1600 Houston, TX 77002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131" w:lineRule="exact"/>
        <w:rPr>
          <w:sz w:val="20"/>
          <w:szCs w:val="20"/>
          <w:color w:val="auto"/>
        </w:rPr>
      </w:pPr>
    </w:p>
    <w:p>
      <w:pPr>
        <w:ind w:left="1480" w:hanging="567"/>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ALPS Advisors, Inc.</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Alerian MLP ETF</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 Broadway, Suite 1100, Denver, CO 80203</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 Broadway, Suite 1100, Denver, CO 80203</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Colorado</w:t>
      </w:r>
    </w:p>
    <w:p>
      <w:pPr>
        <w:spacing w:after="0" w:line="130" w:lineRule="exact"/>
        <w:rPr>
          <w:rFonts w:ascii="Times New Roman" w:cs="Times New Roman" w:eastAsia="Times New Roman" w:hAnsi="Times New Roman"/>
          <w:sz w:val="18"/>
          <w:szCs w:val="18"/>
          <w:color w:val="auto"/>
        </w:rPr>
      </w:pPr>
    </w:p>
    <w:p>
      <w:pPr>
        <w:ind w:left="2380" w:hanging="441"/>
        <w:spacing w:after="0"/>
        <w:tabs>
          <w:tab w:leader="none" w:pos="2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00" w:lineRule="exact"/>
        <w:rPr>
          <w:sz w:val="20"/>
          <w:szCs w:val="20"/>
          <w:color w:val="auto"/>
        </w:rPr>
      </w:pPr>
    </w:p>
    <w:p>
      <w:pPr>
        <w:spacing w:after="0" w:line="255" w:lineRule="exact"/>
        <w:rPr>
          <w:sz w:val="20"/>
          <w:szCs w:val="20"/>
          <w:color w:val="auto"/>
        </w:rPr>
      </w:pPr>
    </w:p>
    <w:p>
      <w:pPr>
        <w:ind w:left="1940" w:right="8280" w:hanging="1027"/>
        <w:spacing w:after="0" w:line="407" w:lineRule="auto"/>
        <w:tabs>
          <w:tab w:leader="none" w:pos="14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726503105</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102" w:lineRule="exact"/>
        <w:rPr>
          <w:sz w:val="20"/>
          <w:szCs w:val="20"/>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2200" w:hanging="1274"/>
        <w:spacing w:after="0" w:line="227" w:lineRule="exact"/>
        <w:tabs>
          <w:tab w:leader="none" w:pos="1565"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Investment company registered under section 8 of the Investment Company Act of 1940 (15 U.S.C 80a-8) – </w:t>
      </w:r>
      <w:r>
        <w:rPr>
          <w:rFonts w:ascii="Times New Roman" w:cs="Times New Roman" w:eastAsia="Times New Roman" w:hAnsi="Times New Roman"/>
          <w:sz w:val="18"/>
          <w:szCs w:val="18"/>
          <w:b w:val="1"/>
          <w:bCs w:val="1"/>
          <w:color w:val="auto"/>
        </w:rPr>
        <w:t>Alerian MLP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ETF</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 xml:space="preserve">An investment adviser in accordance with §240.13d-1(b)(1)(ii)(E) – </w:t>
      </w:r>
      <w:r>
        <w:rPr>
          <w:rFonts w:ascii="Times New Roman" w:cs="Times New Roman" w:eastAsia="Times New Roman" w:hAnsi="Times New Roman"/>
          <w:sz w:val="17"/>
          <w:szCs w:val="17"/>
          <w:b w:val="1"/>
          <w:bCs w:val="1"/>
          <w:color w:val="auto"/>
        </w:rPr>
        <w:t>ALPS Advisors, Inc.;</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 (12 U.S.C. 1813);</w:t>
      </w:r>
    </w:p>
    <w:p>
      <w:pPr>
        <w:sectPr>
          <w:pgSz w:w="11900" w:h="16838" w:orient="portrait"/>
          <w:cols w:equalWidth="0" w:num="1">
            <w:col w:w="11040"/>
          </w:cols>
          <w:pgMar w:left="240" w:top="270" w:right="619" w:bottom="1440" w:gutter="0" w:footer="0" w:header="0"/>
        </w:sectPr>
      </w:pPr>
    </w:p>
    <w:bookmarkStart w:id="4" w:name="page5"/>
    <w:bookmarkEnd w:id="4"/>
    <w:p>
      <w:pPr>
        <w:ind w:left="2200" w:hanging="1274"/>
        <w:spacing w:after="0" w:line="226" w:lineRule="exact"/>
        <w:tabs>
          <w:tab w:leader="none" w:pos="1565"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90"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560" w:hanging="634"/>
        <w:spacing w:after="0" w:line="207" w:lineRule="exact"/>
        <w:tabs>
          <w:tab w:leader="none" w:pos="15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ALPS Advisors, Inc.</w:t>
      </w:r>
    </w:p>
    <w:p>
      <w:pPr>
        <w:spacing w:after="0" w:line="131" w:lineRule="exact"/>
        <w:rPr>
          <w:sz w:val="20"/>
          <w:szCs w:val="20"/>
          <w:color w:val="auto"/>
        </w:rPr>
      </w:pPr>
    </w:p>
    <w:p>
      <w:pPr>
        <w:ind w:left="1940" w:right="6820" w:hanging="1027"/>
        <w:spacing w:after="0" w:line="383" w:lineRule="auto"/>
        <w:tabs>
          <w:tab w:leader="none" w:pos="14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39,064,805**see Note 1**</w:t>
      </w:r>
    </w:p>
    <w:p>
      <w:pPr>
        <w:spacing w:after="0" w:line="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5.38%</w:t>
      </w:r>
    </w:p>
    <w:p>
      <w:pPr>
        <w:spacing w:after="0" w:line="131" w:lineRule="exact"/>
        <w:rPr>
          <w:sz w:val="20"/>
          <w:szCs w:val="20"/>
          <w:color w:val="auto"/>
        </w:rPr>
      </w:pPr>
    </w:p>
    <w:p>
      <w:pPr>
        <w:ind w:left="1480" w:hanging="567"/>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color w:val="auto"/>
        </w:rPr>
      </w:pPr>
    </w:p>
    <w:p>
      <w:pPr>
        <w:ind w:left="2400" w:right="5920" w:hanging="920"/>
        <w:spacing w:after="0" w:line="383" w:lineRule="auto"/>
        <w:tabs>
          <w:tab w:leader="none" w:pos="19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2400" w:right="5740" w:hanging="920"/>
        <w:spacing w:after="0" w:line="383" w:lineRule="auto"/>
        <w:tabs>
          <w:tab w:leader="none" w:pos="19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39,064,805**see Note 1**</w:t>
      </w:r>
    </w:p>
    <w:p>
      <w:pPr>
        <w:spacing w:after="0" w:line="1" w:lineRule="exact"/>
        <w:rPr>
          <w:rFonts w:ascii="Times New Roman" w:cs="Times New Roman" w:eastAsia="Times New Roman" w:hAnsi="Times New Roman"/>
          <w:sz w:val="18"/>
          <w:szCs w:val="18"/>
          <w:color w:val="auto"/>
        </w:rPr>
      </w:pPr>
    </w:p>
    <w:p>
      <w:pPr>
        <w:ind w:left="2400" w:right="5000" w:hanging="920"/>
        <w:spacing w:after="0" w:line="383" w:lineRule="auto"/>
        <w:tabs>
          <w:tab w:leader="none" w:pos="19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2400" w:right="4820" w:hanging="920"/>
        <w:spacing w:after="0" w:line="407" w:lineRule="auto"/>
        <w:tabs>
          <w:tab w:leader="none" w:pos="192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39,064,805**see Note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Alerian MLP ETF</w:t>
      </w:r>
    </w:p>
    <w:p>
      <w:pPr>
        <w:spacing w:after="0" w:line="131" w:lineRule="exact"/>
        <w:rPr>
          <w:sz w:val="20"/>
          <w:szCs w:val="20"/>
          <w:color w:val="auto"/>
        </w:rPr>
      </w:pPr>
    </w:p>
    <w:p>
      <w:pPr>
        <w:ind w:left="1940" w:right="6780" w:hanging="1027"/>
        <w:spacing w:after="0" w:line="383" w:lineRule="auto"/>
        <w:tabs>
          <w:tab w:leader="none" w:pos="14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39,061,715 **see Note 1**</w:t>
      </w:r>
    </w:p>
    <w:p>
      <w:pPr>
        <w:spacing w:after="0" w:line="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5.38%</w:t>
      </w:r>
    </w:p>
    <w:p>
      <w:pPr>
        <w:sectPr>
          <w:pgSz w:w="11900" w:h="16838" w:orient="portrait"/>
          <w:cols w:equalWidth="0" w:num="1">
            <w:col w:w="10700"/>
          </w:cols>
          <w:pgMar w:left="240" w:top="349" w:right="959" w:bottom="1440" w:gutter="0" w:footer="0" w:header="0"/>
        </w:sectPr>
      </w:pPr>
    </w:p>
    <w:bookmarkStart w:id="5" w:name="page6"/>
    <w:bookmarkEnd w:id="5"/>
    <w:p>
      <w:pPr>
        <w:ind w:left="1480" w:hanging="567"/>
        <w:spacing w:after="0"/>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the person has:</w:t>
      </w:r>
    </w:p>
    <w:p>
      <w:pPr>
        <w:spacing w:after="0" w:line="130" w:lineRule="exact"/>
        <w:rPr>
          <w:rFonts w:ascii="Times New Roman" w:cs="Times New Roman" w:eastAsia="Times New Roman" w:hAnsi="Times New Roman"/>
          <w:sz w:val="18"/>
          <w:szCs w:val="18"/>
          <w:color w:val="auto"/>
        </w:rPr>
      </w:pPr>
    </w:p>
    <w:p>
      <w:pPr>
        <w:ind w:left="2400" w:right="6560" w:hanging="920"/>
        <w:spacing w:after="0" w:line="383" w:lineRule="auto"/>
        <w:tabs>
          <w:tab w:leader="none" w:pos="192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 w:lineRule="exact"/>
        <w:rPr>
          <w:rFonts w:ascii="Times New Roman" w:cs="Times New Roman" w:eastAsia="Times New Roman" w:hAnsi="Times New Roman"/>
          <w:sz w:val="18"/>
          <w:szCs w:val="18"/>
          <w:color w:val="auto"/>
        </w:rPr>
      </w:pPr>
    </w:p>
    <w:p>
      <w:pPr>
        <w:ind w:left="2400" w:right="6380" w:hanging="920"/>
        <w:spacing w:after="0" w:line="383" w:lineRule="auto"/>
        <w:tabs>
          <w:tab w:leader="none" w:pos="192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39,061,715 **see Note 1**</w:t>
      </w:r>
    </w:p>
    <w:p>
      <w:pPr>
        <w:spacing w:after="0" w:line="1" w:lineRule="exact"/>
        <w:rPr>
          <w:rFonts w:ascii="Times New Roman" w:cs="Times New Roman" w:eastAsia="Times New Roman" w:hAnsi="Times New Roman"/>
          <w:sz w:val="18"/>
          <w:szCs w:val="18"/>
          <w:color w:val="auto"/>
        </w:rPr>
      </w:pPr>
    </w:p>
    <w:p>
      <w:pPr>
        <w:ind w:left="2400" w:right="5640" w:hanging="920"/>
        <w:spacing w:after="0" w:line="383" w:lineRule="auto"/>
        <w:tabs>
          <w:tab w:leader="none" w:pos="192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 w:lineRule="exact"/>
        <w:rPr>
          <w:rFonts w:ascii="Times New Roman" w:cs="Times New Roman" w:eastAsia="Times New Roman" w:hAnsi="Times New Roman"/>
          <w:sz w:val="18"/>
          <w:szCs w:val="18"/>
          <w:color w:val="auto"/>
        </w:rPr>
      </w:pPr>
    </w:p>
    <w:p>
      <w:pPr>
        <w:ind w:left="2400" w:right="5460" w:hanging="920"/>
        <w:spacing w:after="0" w:line="383" w:lineRule="auto"/>
        <w:tabs>
          <w:tab w:leader="none" w:pos="1921"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39,061,715 **see Note 1**</w:t>
      </w:r>
    </w:p>
    <w:p>
      <w:pPr>
        <w:spacing w:after="0" w:line="1"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 ** 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81" w:lineRule="exact"/>
        <w:rPr>
          <w:rFonts w:ascii="Times New Roman" w:cs="Times New Roman" w:eastAsia="Times New Roman" w:hAnsi="Times New Roman"/>
          <w:sz w:val="18"/>
          <w:szCs w:val="18"/>
          <w:color w:val="auto"/>
        </w:rPr>
      </w:pPr>
    </w:p>
    <w:p>
      <w:pPr>
        <w:ind w:left="4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Alerian MLP ETF is an investment company registered under the Investment Company Act of 1940 and is one of the Funds to which AAI provides investment advice.</w:t>
      </w:r>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This statement is being filed to report the fact that as of the date hereof the reporting persons have ceased to be the beneficial owner of more than five percent of the class of securities.</w:t>
      </w:r>
    </w:p>
    <w:p>
      <w:pPr>
        <w:spacing w:after="0" w:line="3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117"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The Funds described in Note 1 above have the right to receive or the power to direct the receipt of dividends from, or the proceeds from the sale of the securities held in their respective accounts. AAI disclaims beneficial ownership of all such securities. The interest of one person, Alerian MLP ETF, an investment company registered under the Investment Company Act of 1940, in Plains All American Pipeline, L.P. Common Unit amounted to 39,061,715 shares or 5.38% of the total outstanding Common Units.</w:t>
      </w:r>
    </w:p>
    <w:p>
      <w:pPr>
        <w:sectPr>
          <w:pgSz w:w="11900" w:h="16838" w:orient="portrait"/>
          <w:cols w:equalWidth="0" w:num="1">
            <w:col w:w="11340"/>
          </w:cols>
          <w:pgMar w:left="240" w:top="270" w:right="319" w:bottom="1440" w:gutter="0" w:footer="0" w:header="0"/>
        </w:sectPr>
      </w:pPr>
    </w:p>
    <w:bookmarkStart w:id="6" w:name="page7"/>
    <w:bookmarkEnd w:id="6"/>
    <w:p>
      <w:pPr>
        <w:ind w:left="920" w:right="100" w:hanging="904"/>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37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117" w:lineRule="exact"/>
        <w:rPr>
          <w:sz w:val="20"/>
          <w:szCs w:val="20"/>
          <w:color w:val="auto"/>
        </w:rPr>
      </w:pPr>
    </w:p>
    <w:p>
      <w:pPr>
        <w:ind w:left="15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340"/>
          </w:cols>
          <w:pgMar w:left="240" w:top="270" w:right="319" w:bottom="1440" w:gutter="0" w:footer="0" w:header="0"/>
        </w:sectPr>
      </w:pPr>
    </w:p>
    <w:bookmarkStart w:id="7" w:name="page8"/>
    <w:bookmarkEnd w:id="7"/>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ALPS ADVISORS,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January 31, 2019</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Erin D. Nelson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ALERIAN MLP ETF</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January 31, 2019</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Erin D. Nelson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060"/>
      </w:cols>
      <w:pgMar w:left="2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lvl w:ilvl="1">
      <w:lvlJc w:val="left"/>
      <w:lvlText w:val="(%2)"/>
      <w:numFmt w:val="decimal"/>
      <w:start w:val="1"/>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9"/>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2020-01-09T18:29:24Z</dcterms:created>
  <dcterms:modified xsi:type="dcterms:W3CDTF">2020-01-09T18:29:24Z</dcterms:modified>
</cp:coreProperties>
</file>