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8-A/A</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480" w:right="2580" w:hanging="934"/>
        <w:spacing w:after="0" w:line="263" w:lineRule="auto"/>
        <w:rPr>
          <w:sz w:val="20"/>
          <w:szCs w:val="20"/>
          <w:color w:val="auto"/>
        </w:rPr>
      </w:pPr>
      <w:r>
        <w:rPr>
          <w:rFonts w:ascii="Times New Roman" w:cs="Times New Roman" w:eastAsia="Times New Roman" w:hAnsi="Times New Roman"/>
          <w:sz w:val="21"/>
          <w:szCs w:val="21"/>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184785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3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(State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00"/>
          </w:cols>
          <w:pgMar w:left="240" w:top="538" w:right="239" w:bottom="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5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r>
      <w:tr>
        <w:trPr>
          <w:trHeight w:val="228"/>
        </w:trPr>
        <w:tc>
          <w:tcPr>
            <w:tcW w:w="5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 representing limited partner interests</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194310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this form relates to the registration of a class of securities pursuant to Section 12(b) of the Exchange Act and is effective pursuant to General Instruction A. (c), check the following box. x</w:t>
      </w:r>
    </w:p>
    <w:p>
      <w:pPr>
        <w:spacing w:after="0" w:line="162"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this form relates to the registration of a class of securities pursuant to Section 12(g) of the Exchange Act and is effective pursuant to General Instruction A. (d), check the following box. o</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Act registration statement file number to which this form relates: </w:t>
      </w:r>
      <w:r>
        <w:rPr>
          <w:rFonts w:ascii="Times New Roman" w:cs="Times New Roman" w:eastAsia="Times New Roman" w:hAnsi="Times New Roman"/>
          <w:sz w:val="18"/>
          <w:szCs w:val="18"/>
          <w:b w:val="1"/>
          <w:bCs w:val="1"/>
          <w:color w:val="auto"/>
        </w:rPr>
        <w:t>(if applicable)</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to be registered pursuant to Section 12(g) of the Act: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This Amendment No. 2 to Form 8-A is being filed in connection with the closing on November 15, 2016 of the transactions contemplated by the Simplification Agreement, dated July 11, 2016, between Plains GP Holdings, L.P., a Delaware limited partnership , PAA GP Holdings LLC, a Delaware limited liability company, Plains AAP, L.P., a Delaware limited partnership, Plains All American GP LLC, a Delaware limited liability company and the general partner of AAP, Plains All American Pipeline, L.P., a Delaware limited partnership (“PAA”), and PAA GP LLC, a Delaware limited liability company. PAA hereby amends Item 1 (regarding the description of the common units representing limited partner interests as set forth herein) and Item 2 of its Form 8-A originally filed on October 23, 1998, and as amended by Amendment No. 1 to the 8-A filed on November 3, 1998.</w:t>
      </w:r>
    </w:p>
    <w:p>
      <w:pPr>
        <w:spacing w:after="0" w:line="18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25" w:lineRule="exact"/>
        <w:rPr>
          <w:sz w:val="24"/>
          <w:szCs w:val="24"/>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Description of Registrant’s Securities to be Registered</w:t>
      </w:r>
    </w:p>
    <w:p>
      <w:pPr>
        <w:spacing w:after="0" w:line="229" w:lineRule="exact"/>
        <w:rPr>
          <w:sz w:val="24"/>
          <w:szCs w:val="24"/>
          <w:color w:val="auto"/>
        </w:rPr>
      </w:pPr>
    </w:p>
    <w:p>
      <w:pPr>
        <w:ind w:right="40" w:firstLine="324"/>
        <w:spacing w:after="0" w:line="313" w:lineRule="auto"/>
        <w:rPr>
          <w:sz w:val="20"/>
          <w:szCs w:val="20"/>
          <w:color w:val="auto"/>
        </w:rPr>
      </w:pPr>
      <w:r>
        <w:rPr>
          <w:rFonts w:ascii="Times New Roman" w:cs="Times New Roman" w:eastAsia="Times New Roman" w:hAnsi="Times New Roman"/>
          <w:sz w:val="17"/>
          <w:szCs w:val="17"/>
          <w:color w:val="auto"/>
        </w:rPr>
        <w:t>For purposes of this Registration Statement, unless the context clearly indicates otherwise, “Partnership,” “Plains,” “PAA,” “we,” “us,” “our,” “ours” and similar terms refer to Plains All American Pipeline, L.P. and its subsidiaries. References to our “general partner,” as the context requires, include any or all of</w:t>
      </w:r>
    </w:p>
    <w:p>
      <w:pPr>
        <w:sectPr>
          <w:pgSz w:w="11900" w:h="16838" w:orient="portrait"/>
          <w:cols w:equalWidth="0" w:num="1">
            <w:col w:w="11420"/>
          </w:cols>
          <w:pgMar w:left="240" w:top="538" w:right="239" w:bottom="0" w:gutter="0" w:footer="0" w:header="0"/>
          <w:type w:val="continuous"/>
        </w:sectPr>
      </w:pPr>
    </w:p>
    <w:bookmarkStart w:id="1" w:name="page2"/>
    <w:bookmarkEnd w:id="1"/>
    <w:p>
      <w:pPr>
        <w:ind w:right="180"/>
        <w:spacing w:after="0" w:line="282" w:lineRule="auto"/>
        <w:rPr>
          <w:sz w:val="20"/>
          <w:szCs w:val="20"/>
          <w:color w:val="auto"/>
        </w:rPr>
      </w:pPr>
      <w:r>
        <w:rPr>
          <w:rFonts w:ascii="Times New Roman" w:cs="Times New Roman" w:eastAsia="Times New Roman" w:hAnsi="Times New Roman"/>
          <w:sz w:val="18"/>
          <w:szCs w:val="18"/>
          <w:color w:val="auto"/>
        </w:rPr>
        <w:t>PAA GP Holdings LLC (“PAGP GP”), Plains GP Holdings, L.P. (“PAGP”), PAA GP LLC (“PAA GP”), Plains AAP, L.P. (“AAP”) and Plains All American GP LLC (“GP LLC”).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COMMON UNITS</w:t>
      </w:r>
    </w:p>
    <w:p>
      <w:pPr>
        <w:spacing w:after="0" w:line="229"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outstanding common units are listed on the NYSE under the symbol “PAA.” Any additional common units we issue will also be listed on the NYSE.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common units is American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holder of common units is entitled to one vote for each common unit on all matters submitted to a vote of the unitholders.</w:t>
      </w:r>
    </w:p>
    <w:p>
      <w:pPr>
        <w:spacing w:after="0" w:line="225"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auto"/>
        </w:rPr>
        <w:t>Beginning in 2018, PAGP will hold an annual meeting of shareholders for the election of “eligible PAGP GP directors,” which will include all directors of PAGP GP’s board with expiring terms other than (i) any director subject to designation, (ii) PAGP GP’s chief executive officer and (iii) any director subject to appointment by the holders of PAA’s Series A Preferred Units. In connection with the closing of the transactions contemplated by the Simplification Agreement, PAGP created a new class of non-economic limited partner interests, designated as Class C shares, and issued 477,648,826 Class C shares to us. The number of Class C shares issued to us equals the sum of the number of (i) our outstanding common units, excluding common units held by AAP, and</w:t>
      </w:r>
    </w:p>
    <w:p>
      <w:pPr>
        <w:spacing w:after="0" w:line="3" w:lineRule="exact"/>
        <w:rPr>
          <w:sz w:val="20"/>
          <w:szCs w:val="20"/>
          <w:color w:val="auto"/>
        </w:rPr>
      </w:pPr>
    </w:p>
    <w:p>
      <w:pPr>
        <w:ind w:firstLine="8"/>
        <w:spacing w:after="0" w:line="255" w:lineRule="auto"/>
        <w:tabs>
          <w:tab w:leader="none" w:pos="2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units that would be issued to holders of Series A Preferred Units assuming conversion, in each case, as of November 15, 2016. The Class C shares are non-economic shares that will provide us, as the sole holder, the right to vote in elections of eligible PAGP GP directors together with the holders of PAGP’s Class A and Class B shares. Voting at any such shareholder meetings will be non-cumulative.</w:t>
      </w:r>
    </w:p>
    <w:p>
      <w:pPr>
        <w:spacing w:after="0" w:line="18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PAGP GP’s board of directors is divided into three classes of directors such that each class is comprised of one designated director and two independent directors. As provided in PAGP GP’s limited liability company agreement, the CEO of PAGP GP is an automatic member (and Chairman) of PAGP GP’s board of directors and therefore will not be included in a class. In addition, any director subject to appointment by the holders of PAA’s Series A Convertible Preferred Units (as described below under “—Cash Distribution Policy—Series A Convertible Preferred Units”) will not be included in a class. Each class of directors will serve a three-year term.</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Beginning in 2018, we will hold an annual meeting of our limited partners in advance of PAGP’s annual meeting of its limited partners. The purpose of our annual meeting will be to allow our limited partners (other than AAP) to cast a “pass-through vote,” instructing us how to vote the Class C shares that we own in such election of eligible PAGP directors. We will vote (or refrain from voting) our Class C shares for the election of eligible PAGP GP directors in the same proportion as the votes received from or withheld by our limited partners. At our annual meeting, common units held by AAP will not be voted and will not be counted for purposes of determining whether a quorum exists.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as Limited Partner or Assignee</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Except as described below under “—Limited Liability,” the common units will be fully paid, and unitholders will not be required to make additional capital contributions to us.</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Right</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Subject to certain limitations, each holder of AAP’s Class A units (other than PAGP and GP LLC) has the right (a “Redemption Right”) to cause AAP to redeem any or all of such holder’s AAP Units in exchange for the distribution of an equivalent number of our common units held by AAP. In connection with any such redemption, the redeeming holder will transfer Class A units to AAP and a corresponding number of Class B shares and PAGP’s company units (if any), in each case, to PAGP. The Class A units transferred to AAP will be cancelled, the Class B shares transferred to PAGP will be cancelled and the company units transferred to PAGP will remain outstanding and increase PAGP’s ownership percentage in PAGP GP.</w:t>
      </w:r>
    </w:p>
    <w:p>
      <w:pPr>
        <w:spacing w:after="0" w:line="184"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As long as PAGP’s Class A shares are publicly traded, a holder of vested AAP management units will be entitled to convert his or her AAP management units into AAP Class A units and a like number of Class B shares based on a conversion ratio of approximately 0.941 AAP Class A units and Class B shares for each AAP management unit. Following any such conversion, the holder will have Redemption Rights as a holder of AAP’s Class A units. Holders of AAP management units who convert such units into AAP Class A units and Class B shares will not receive general partner units and thus will not need to include any general partner units in a transfer or the exercise of their Redemption Right.</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above mechanisms are subject to customary conversion rate adjustments for equity splits, equity dividends and reclassifications.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Liability</w:t>
      </w:r>
    </w:p>
    <w:p>
      <w:pPr>
        <w:sectPr>
          <w:pgSz w:w="11900" w:h="16838" w:orient="portrait"/>
          <w:cols w:equalWidth="0" w:num="1">
            <w:col w:w="11420"/>
          </w:cols>
          <w:pgMar w:left="240" w:top="121" w:right="239" w:bottom="108" w:gutter="0" w:footer="0" w:header="0"/>
        </w:sectPr>
      </w:pPr>
    </w:p>
    <w:bookmarkStart w:id="2" w:name="page3"/>
    <w:bookmarkEnd w:id="2"/>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 and Records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8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80"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A limited partner can, for a purpose reasonably related to the limited partner’s interest as a limited partner, upon reasonable demand and at his own expense, have furnished to him:</w:t>
      </w:r>
    </w:p>
    <w:p>
      <w:pPr>
        <w:spacing w:after="0" w:line="162" w:lineRule="exact"/>
        <w:rPr>
          <w:sz w:val="20"/>
          <w:szCs w:val="20"/>
          <w:color w:val="auto"/>
        </w:rPr>
      </w:pPr>
    </w:p>
    <w:p>
      <w:pPr>
        <w:ind w:left="620" w:hanging="288"/>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list of the name and last known address of each partner;</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our tax returns;</w:t>
      </w:r>
    </w:p>
    <w:p>
      <w:pPr>
        <w:spacing w:after="0" w:line="225"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our partnership agreement, our certificate of limited partnership, amendments to either of them and powers of attorney which have been executed under our partnership agreement;</w:t>
      </w:r>
    </w:p>
    <w:p>
      <w:pPr>
        <w:spacing w:after="0" w:line="16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the status of our business and financial condition; and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our affairs as is just and reasonable.</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of Available Cash</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We will distribute to our unitholders, on a quarterly basis, all of our available cash in the manner described below.</w:t>
      </w:r>
    </w:p>
    <w:p>
      <w:pPr>
        <w:spacing w:after="0" w:line="225" w:lineRule="exact"/>
        <w:rPr>
          <w:sz w:val="20"/>
          <w:szCs w:val="20"/>
          <w:color w:val="auto"/>
        </w:rPr>
      </w:pPr>
    </w:p>
    <w:p>
      <w:pPr>
        <w:ind w:right="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Definition of Available Cash</w:t>
      </w:r>
      <w:r>
        <w:rPr>
          <w:rFonts w:ascii="Times New Roman" w:cs="Times New Roman" w:eastAsia="Times New Roman" w:hAnsi="Times New Roman"/>
          <w:sz w:val="18"/>
          <w:szCs w:val="18"/>
          <w:color w:val="auto"/>
        </w:rPr>
        <w:t>. Available cash generally means, for any quarter ending prior to liquidation, all cash on hand at the end of that quarter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amount of cash reserves that are necessary or appropriate in the reasonable discretion of the general partner to:</w:t>
      </w:r>
    </w:p>
    <w:p>
      <w:pPr>
        <w:spacing w:after="0" w:line="160" w:lineRule="exact"/>
        <w:rPr>
          <w:sz w:val="20"/>
          <w:szCs w:val="20"/>
          <w:color w:val="auto"/>
        </w:rPr>
      </w:pPr>
    </w:p>
    <w:p>
      <w:pPr>
        <w:ind w:left="620" w:hanging="28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proper conduct of our business;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or any partnership debt instrument or other agreement; or</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distributions to unitholders and the general partner in respect of any one or more of the next four quarters.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Surplus and Capital Surplus</w:t>
      </w:r>
    </w:p>
    <w:p>
      <w:pPr>
        <w:spacing w:after="0" w:line="227" w:lineRule="exact"/>
        <w:rPr>
          <w:sz w:val="20"/>
          <w:szCs w:val="20"/>
          <w:color w:val="auto"/>
        </w:rPr>
      </w:pPr>
    </w:p>
    <w:p>
      <w:pPr>
        <w:ind w:right="4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Cash distributions to our unitholders will be characterized as either operating surplus or capital surplus. We distribute available cash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surplus differently than available cash from capital surplus. See “—Quarterly Distributions of Available Cash.”</w:t>
      </w:r>
    </w:p>
    <w:p>
      <w:pPr>
        <w:sectPr>
          <w:pgSz w:w="11900" w:h="16838" w:orient="portrait"/>
          <w:cols w:equalWidth="0" w:num="1">
            <w:col w:w="11360"/>
          </w:cols>
          <w:pgMar w:left="240" w:top="121" w:right="299" w:bottom="0" w:gutter="0" w:footer="0" w:header="0"/>
        </w:sectPr>
      </w:pPr>
    </w:p>
    <w:bookmarkStart w:id="3" w:name="page4"/>
    <w:bookmarkEnd w:id="3"/>
    <w:p>
      <w:pPr>
        <w:ind w:left="340"/>
        <w:spacing w:after="0"/>
        <w:rPr>
          <w:sz w:val="20"/>
          <w:szCs w:val="20"/>
          <w:color w:val="auto"/>
        </w:rPr>
      </w:pPr>
      <w:r>
        <w:rPr>
          <w:rFonts w:ascii="Times New Roman" w:cs="Times New Roman" w:eastAsia="Times New Roman" w:hAnsi="Times New Roman"/>
          <w:sz w:val="18"/>
          <w:szCs w:val="18"/>
          <w:i w:val="1"/>
          <w:iCs w:val="1"/>
          <w:color w:val="auto"/>
        </w:rPr>
        <w:t>Definition of Operating Surplus</w:t>
      </w:r>
      <w:r>
        <w:rPr>
          <w:rFonts w:ascii="Times New Roman" w:cs="Times New Roman" w:eastAsia="Times New Roman" w:hAnsi="Times New Roman"/>
          <w:sz w:val="18"/>
          <w:szCs w:val="18"/>
          <w:color w:val="auto"/>
        </w:rPr>
        <w:t>. Operating surplus refers generally to:</w:t>
      </w:r>
    </w:p>
    <w:p>
      <w:pPr>
        <w:spacing w:after="0" w:line="227" w:lineRule="exact"/>
        <w:rPr>
          <w:sz w:val="20"/>
          <w:szCs w:val="20"/>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balances on the closing date of our initial public offering; plus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plus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cash receipts from operations, excluding cash that is capital surplus; less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Definition of Capital Surplus</w:t>
      </w:r>
      <w:r>
        <w:rPr>
          <w:rFonts w:ascii="Times New Roman" w:cs="Times New Roman" w:eastAsia="Times New Roman" w:hAnsi="Times New Roman"/>
          <w:sz w:val="18"/>
          <w:szCs w:val="18"/>
          <w:color w:val="auto"/>
        </w:rPr>
        <w:t>. Capital surplus will generally be generated only by:</w:t>
      </w:r>
    </w:p>
    <w:p>
      <w:pPr>
        <w:spacing w:after="0" w:line="227" w:lineRule="exact"/>
        <w:rPr>
          <w:sz w:val="20"/>
          <w:szCs w:val="20"/>
          <w:color w:val="auto"/>
        </w:rPr>
      </w:pPr>
    </w:p>
    <w:p>
      <w:pPr>
        <w:ind w:left="620" w:hanging="288"/>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other than working capital borrowings;</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debt and equity securities; and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other dispositions of assets for cash, other than inventory, accounts receivable and other assets in the ordinary course of business.</w:t>
      </w:r>
    </w:p>
    <w:p>
      <w:pPr>
        <w:spacing w:after="0" w:line="225"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Issuance of Additional Units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17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Convertible Preferred Units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January 28, 2016, we completed a private placement of 61,030,127 Series A Convertible Preferred Units representing limited partner interests in us (the “preferred units”) for a cash purchase price of $26.25 per unit (the “Issue Price”). The preferred units rank senior to all classes or series of equity securities in us with respect to distribution rights and rights upon liquidation. The holders of the preferred units will receive quarterly distributions, subject to customary anti-dilution adjustments, equal to an annual rate of 8% of the Issue Price ($2.10 per unit annualized). With respect to any quarter ending on or prior to December 31, 2017 (the “Initial Distribution Period”), we may elect to pay distributions on the preferred units in additional preferred units, in cash or a combination of both. With respect to any quarter ending after the Initial Distribution Period, we must pay distributions on preferred units in cash. For a period of 30 days following (a) the fifth anniversary of the issue date of the preferred units and (b) each subsequent anniversary of the issue date, the holders of preferred units, acting by majority vote, may make a one-time election to reset the preferred unit distribution rate to equal the then applicable rate of ten-year U.S. Treasury Securities plus 5.85% (the “Distribution Rate Reset”). If the holders of preferred units have exercised the Distribution Rate Reset, then, at any time following 30 days after the sixth anniversary of the issue date of the preferred units, we may redeem all or any portion of the outstanding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holders of preferred units may convert their preferred units, generally on a one-for-one basis and subject to customary anti-dilution adjustments, at any time after the second anniversary of the issuance date (or prior to a liquidation),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preferred units. We may convert the preferred units at any time (but not more often than once per quarter) after the third anniversary of the issuance date,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preferred units. The preferred units will vote on an as-converted basis with our common units and will have certain other class voting rights with respect to any amendment to our partnership agreement that would adversely affect any rights, preferences or privileges of the preferred units.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Distributions of Available Cash</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After making distributions to holders of outstanding preferred units, we will make quarterly distributions to our common unitholders prior to our liquidation in an amount equal to 100% of our available cash for that quarter. We expect to make distributions of all available cash within 45 days after the end of each quarter to holders of record on the applicable record date.</w:t>
      </w:r>
    </w:p>
    <w:p>
      <w:pPr>
        <w:sectPr>
          <w:pgSz w:w="11900" w:h="16838" w:orient="portrait"/>
          <w:cols w:equalWidth="0" w:num="1">
            <w:col w:w="11400"/>
          </w:cols>
          <w:pgMar w:left="240" w:top="119" w:right="259" w:bottom="104"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19" w:right="259" w:bottom="104"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Distributions from Operating Surplus</w:t>
      </w:r>
    </w:p>
    <w:p>
      <w:pPr>
        <w:spacing w:after="0" w:line="229" w:lineRule="exact"/>
        <w:rPr>
          <w:sz w:val="20"/>
          <w:szCs w:val="20"/>
          <w:color w:val="auto"/>
        </w:rPr>
      </w:pPr>
    </w:p>
    <w:p>
      <w:pPr>
        <w:jc w:val="both"/>
        <w:ind w:right="100" w:firstLine="324"/>
        <w:spacing w:after="0" w:line="313" w:lineRule="auto"/>
        <w:rPr>
          <w:sz w:val="20"/>
          <w:szCs w:val="20"/>
          <w:color w:val="auto"/>
        </w:rPr>
      </w:pPr>
      <w:r>
        <w:rPr>
          <w:rFonts w:ascii="Times New Roman" w:cs="Times New Roman" w:eastAsia="Times New Roman" w:hAnsi="Times New Roman"/>
          <w:sz w:val="17"/>
          <w:szCs w:val="17"/>
          <w:color w:val="auto"/>
        </w:rPr>
        <w:t>We will make distributions of available cash from operating surplus to all unitholders, pro rata until we distribute an aggregate amount of available cash equal to the aggregate operating surplus generated by the Partnership from the time of our IPO through the end of the quarter in respect of such distribution.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from Capital Surplus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How Distributions from Capital Surplus Will Be Made</w:t>
      </w:r>
      <w:r>
        <w:rPr>
          <w:rFonts w:ascii="Times New Roman" w:cs="Times New Roman" w:eastAsia="Times New Roman" w:hAnsi="Times New Roman"/>
          <w:sz w:val="18"/>
          <w:szCs w:val="18"/>
          <w:color w:val="auto"/>
        </w:rPr>
        <w:t>. We will make distributions of available cash from capital surplus in the following manner:</w:t>
      </w:r>
    </w:p>
    <w:p>
      <w:pPr>
        <w:spacing w:after="0" w:line="227" w:lineRule="exact"/>
        <w:rPr>
          <w:sz w:val="20"/>
          <w:szCs w:val="20"/>
          <w:color w:val="auto"/>
        </w:rPr>
      </w:pPr>
    </w:p>
    <w:p>
      <w:pPr>
        <w:ind w:left="660" w:right="180" w:hanging="328"/>
        <w:spacing w:after="0" w:line="282" w:lineRule="auto"/>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100% to all unitholders, pro rata, until we distribute available cash from capital surplus in an aggregate amount per common unit equal to the initial public offering price; and</w:t>
      </w:r>
    </w:p>
    <w:p>
      <w:pPr>
        <w:spacing w:after="0" w:line="16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we will make all distributions of available cash from capital surplus as if they were from operating surplus.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of Cash upon Liquidation</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If we dissolve and liquidate, we will sell our assets or otherwise dispose of our assets and we will adjust the partners’ capital account balances to show any resulting gain or loss. We will apply the proceeds of liquidation (i) first to the payment of our creditors in the order of priority provided in our partnership agreement and by law (ii) second to the holders of outstanding preferred units in accordance with the adjusted capital account balances, and, (iii) thereafter, distribute to the unitholders and the general partner in accordance with their adjusted capital account balances.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OUR PARTNERSHIP AGREEMENT</w:t>
      </w:r>
    </w:p>
    <w:p>
      <w:pPr>
        <w:spacing w:after="0" w:line="229"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provisions of our partnership agreement. The following provisions of our partnership agreement are summarized elsewhere in this Registration Statement:</w:t>
      </w:r>
    </w:p>
    <w:p>
      <w:pPr>
        <w:spacing w:after="0" w:line="162" w:lineRule="exact"/>
        <w:rPr>
          <w:sz w:val="20"/>
          <w:szCs w:val="20"/>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our available cash are described under “Cash Distribution Policy;”</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allocations of taxable income and other tax matters are described under “Material U.S. Federal Income Tax Consequences;” and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common units are described under “Description of Our Common Units.”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Reimbursements of Our General Partner</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Additional Securities</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76"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6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0" w:gutter="0" w:footer="0" w:header="0"/>
        </w:sectPr>
      </w:pPr>
    </w:p>
    <w:bookmarkStart w:id="5" w:name="page6"/>
    <w:bookmarkEnd w:id="5"/>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Our Partnership Agreement</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or Removal of Our General Partner</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8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8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80" w:lineRule="exact"/>
        <w:rPr>
          <w:sz w:val="20"/>
          <w:szCs w:val="20"/>
          <w:color w:val="auto"/>
        </w:rPr>
      </w:pPr>
    </w:p>
    <w:p>
      <w:pPr>
        <w:jc w:val="both"/>
        <w:ind w:right="420" w:firstLine="324"/>
        <w:spacing w:after="0" w:line="313" w:lineRule="auto"/>
        <w:rPr>
          <w:sz w:val="20"/>
          <w:szCs w:val="20"/>
          <w:color w:val="auto"/>
        </w:rPr>
      </w:pPr>
      <w:r>
        <w:rPr>
          <w:rFonts w:ascii="Times New Roman" w:cs="Times New Roman" w:eastAsia="Times New Roman" w:hAnsi="Times New Roman"/>
          <w:sz w:val="17"/>
          <w:szCs w:val="17"/>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13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and Distribution of Proceeds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176" w:lineRule="exact"/>
        <w:rPr>
          <w:sz w:val="20"/>
          <w:szCs w:val="20"/>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towards the payment of all of our creditors and the creation of a reserve for contingent liabilities; and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to all holders of preferred units in accordance with the positive balance in their respective capital accounts; and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to all partners in accordance with the positive balance in their respective capital accounts.</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Management Provisions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162" w:lineRule="exact"/>
        <w:rPr>
          <w:sz w:val="20"/>
          <w:szCs w:val="20"/>
          <w:color w:val="auto"/>
        </w:rPr>
      </w:pPr>
    </w:p>
    <w:p>
      <w:pPr>
        <w:jc w:val="both"/>
        <w:ind w:left="660" w:right="40" w:hanging="328"/>
        <w:spacing w:after="0" w:line="266" w:lineRule="auto"/>
        <w:tabs>
          <w:tab w:leader="none" w:pos="6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if a person acquires 20% or more of any class of units then outstanding other than from our general partner or its affiliates, the units owned by such person cannot be voted on any matter; provided, however, that a number of units constituting up to 19.9% of the outstanding Class A shares, Class B shares and Class C shares can be voted in the election of eligible PAGP directors; and</w:t>
      </w:r>
    </w:p>
    <w:p>
      <w:pPr>
        <w:spacing w:after="0" w:line="176"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Call Right</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If at any time our general partner and its affiliates (other than, with respect to the of preferred units, such affiliates that originally purchased the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ectPr>
          <w:pgSz w:w="11900" w:h="16869" w:orient="portrait"/>
          <w:cols w:equalWidth="0" w:num="1">
            <w:col w:w="11420"/>
          </w:cols>
          <w:pgMar w:left="240" w:top="576" w:right="23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84"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8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Legal conclusions contained in this section, unless otherwise noted, are the opinion of Vinson &amp; Elkins L.L.P. and are based on the accuracy of representations made by us to them for this purpose. Such opinion is provided as of the date of the filing of this Amendment No. 2 to Form 8-A and will not be updated subsequent to the date of this filing. However, this section does not address all federal income tax matters that affect us or our unitholders and does not describe the application of the alternative minimum tax that may be applicable to certain unitholders. Furthermore, this section focuses on unitholders who are individual citizens or residents of the United States (for federal income tax purposes), who have the U.S. dollar as their functional currency, who use the calendar year as their taxable year,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Times New Roman" w:cs="Times New Roman" w:eastAsia="Times New Roman" w:hAnsi="Times New Roman"/>
          <w:sz w:val="18"/>
          <w:szCs w:val="18"/>
          <w:b w:val="1"/>
          <w:bCs w:val="1"/>
          <w:i w:val="1"/>
          <w:iCs w:val="1"/>
          <w:color w:val="auto"/>
        </w:rPr>
        <w:t>Accordingly, we encourage each unitholder to consult the unitholder’s own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advisor in analyzing the U.S. federal, state, local and non-U.S. tax consequences particular to that unitholder resulting from ownership or disposition of units and potential changes in applicable tax laws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are relying on opinions and advice of Vinson &amp; Elkins L.L.P. with respect to the matters described herein. An opinion of counsel represents only that counsel’s best legal judgment and does not bind the Internal Revenue Service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88"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“—Tax Consequences of Unit Ownership—Treatment of Securities Loans”); (2) whether our monthly convention for allocating taxable income and losses is permitted by existing Treasury Regulations (please read “—Disposition of Units—Allocations Between Transferors and Transferees”); and (3) whether our method for taking into account Section 743 adjustments is sustainable in certain cases (please read “—Tax Consequences of Unit Ownership—Section 754 Election” and “—Uniformity of Units”).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the Partnership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Status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expect to be treated as a partnership for U.S. federal income tax purposes and, therefore,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84"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Section 7704 of the Code generally provides that publicly traded partnerships will be treated as corporations for federal income tax purposes. However, if 90% or more of a partnership’s gross income for every taxable year it is publicly traded consists of “qualifying income,” the partnership may continue to be treated as a partnership for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536" w:gutter="0" w:footer="0" w:header="0"/>
        </w:sectPr>
      </w:pPr>
    </w:p>
    <w:bookmarkStart w:id="7" w:name="page8"/>
    <w:bookmarkEnd w:id="7"/>
    <w:p>
      <w:pPr>
        <w:spacing w:after="0" w:line="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184" w:lineRule="exact"/>
        <w:rPr>
          <w:sz w:val="20"/>
          <w:szCs w:val="20"/>
          <w:color w:val="auto"/>
        </w:rPr>
      </w:pPr>
    </w:p>
    <w:p>
      <w:pPr>
        <w:jc w:val="both"/>
        <w:ind w:right="240" w:firstLine="324"/>
        <w:spacing w:after="0" w:line="261" w:lineRule="auto"/>
        <w:rPr>
          <w:sz w:val="20"/>
          <w:szCs w:val="20"/>
          <w:color w:val="auto"/>
        </w:rPr>
      </w:pPr>
      <w:r>
        <w:rPr>
          <w:rFonts w:ascii="Times New Roman" w:cs="Times New Roman" w:eastAsia="Times New Roman" w:hAnsi="Times New Roman"/>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80" w:lineRule="exact"/>
        <w:rPr>
          <w:sz w:val="20"/>
          <w:szCs w:val="20"/>
          <w:color w:val="auto"/>
        </w:rPr>
      </w:pPr>
    </w:p>
    <w:p>
      <w:pPr>
        <w:ind w:left="340" w:right="160" w:firstLine="277"/>
        <w:spacing w:after="0" w:line="282" w:lineRule="auto"/>
        <w:tabs>
          <w:tab w:leader="none" w:pos="98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we nor any of our partnership or limited liability company subsidiaries has elected to be treated as a corporation for federal income tax purposes;</w:t>
      </w:r>
    </w:p>
    <w:p>
      <w:pPr>
        <w:spacing w:after="0" w:line="161" w:lineRule="exact"/>
        <w:rPr>
          <w:rFonts w:ascii="Times New Roman" w:cs="Times New Roman" w:eastAsia="Times New Roman" w:hAnsi="Times New Roman"/>
          <w:sz w:val="18"/>
          <w:szCs w:val="18"/>
          <w:color w:val="auto"/>
        </w:rPr>
      </w:pPr>
    </w:p>
    <w:p>
      <w:pPr>
        <w:ind w:left="340" w:firstLine="277"/>
        <w:spacing w:after="0" w:line="282" w:lineRule="auto"/>
        <w:tabs>
          <w:tab w:leader="none" w:pos="99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61" w:lineRule="exact"/>
        <w:rPr>
          <w:rFonts w:ascii="Times New Roman" w:cs="Times New Roman" w:eastAsia="Times New Roman" w:hAnsi="Times New Roman"/>
          <w:sz w:val="18"/>
          <w:szCs w:val="18"/>
          <w:color w:val="auto"/>
        </w:rPr>
      </w:pPr>
    </w:p>
    <w:p>
      <w:pPr>
        <w:ind w:left="340" w:right="220" w:firstLine="277"/>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these representations are true and will be true in the future.</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8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present U.S. federal income tax treatment of publicly traded partnerships, including us, or an investment in our common units may be modified by administrative, legislative or judicial interpretation at any time. For example, from time to time, members of the U.S. Congress and the President propose and consider substantive changes to the existing federal income tax laws that affect publicly traded partnerships, including the elimination of the Qualifying Income Exception upon which we rely for our treatment as a partnership for federal income tax purposes.</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addition, the IRS has issued proposed regulations regarding qualifying income under Section 7704(d)(1)(E) of the Code (the “Proposed Regulations”). We do not believe the Proposed Regulations affect our ability to qualify as a publicly traded partnership. However, there are no assurances that final regulations will not include changes that interpret Section 7704(d)(1)(E) in a manner that is contrary to the Proposed Regulations, which could modify the amount of our gross income that we are able to treat as qualifying income for the purposes of the Qualifying Income Exception. We are unable to predict whether any such changes will ultimately be enacted. However, it is possible that a change in law could affect us and may be applied retroactively. Any such changes could negatively impact the value of an investment in our common units.</w:t>
      </w:r>
    </w:p>
    <w:p>
      <w:pPr>
        <w:spacing w:after="0" w:line="18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extent of our current or accumulated earnings and profits, then (ii) a nontaxable return of capital to the extent of the unitholder’s tax basis in its units, and thereafter (iii) taxable capital gain.</w:t>
      </w:r>
    </w:p>
    <w:p>
      <w:pPr>
        <w:spacing w:after="0" w:line="162"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is based on the opinion of Vinson &amp; Elkins L.L.P. that we will be treated as a partnership for federal income tax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of Unit Ownership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Partner Status</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176" w:lineRule="exact"/>
        <w:rPr>
          <w:sz w:val="20"/>
          <w:szCs w:val="20"/>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assignees who have executed and delivered transfer applications, and are awaiting admission as limited partners, and</w:t>
      </w:r>
    </w:p>
    <w:p>
      <w:pPr>
        <w:spacing w:after="0" w:line="225"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ectPr>
          <w:pgSz w:w="11900" w:h="16840" w:orient="portrait"/>
          <w:cols w:equalWidth="0" w:num="1">
            <w:col w:w="11420"/>
          </w:cols>
          <w:pgMar w:left="240" w:top="121" w:right="239" w:bottom="0" w:gutter="0" w:footer="0" w:header="0"/>
        </w:sectPr>
      </w:pPr>
    </w:p>
    <w:bookmarkStart w:id="8" w:name="page9"/>
    <w:bookmarkEnd w:id="8"/>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For a discussion related to the risks of losing partner status as a result of securities loans, please read “—Tax Consequences of Unit Ownership— Treatment of Securities Loans.” Unitholders who are not treated as partners in us as described above are urged to consult their own tax advisors with respect to the tax consequences applicable to them under the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Flow-Through of Taxable Income</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Subject to the discussion below under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without regard to whether we make cash distributions to such unitholder. Consequently, we may allocate income to a unitholder even if that unitholder has not received a cash distribution.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Units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 unitholder’s tax basis in its units initially will be the amount paid for those units increased by the unitholder’s initial share of our liabilities. That basis generally will be (i) increased by the unitholder’s share of our income and any increases in such unitholder’s share of our liabilities, and (ii) decreased, but not below zero, by the amount of all distributions to the unitholder, the unitholder’s share of our losses, and any decreases in the unitholder’s share of our liabilities. The IRS has ruled that a partner who acquires interests in a partnership in separate transactions must combine those interests and maintain a single adjusted tax basis for all of those interests.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Distributions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“—Disposition of Units.”</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Any reduction in a unitholder’s share of our liabilities will be treated as a distribution by us of cash to that unitholder. A decrease in a unitholder’s percentage interest in us because of our issuance of additional units may decrease the unitholder’s share of our nonrecourse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8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 non-pro rata distribution of money or property (including a deemed distribution as a result of the reduction in a unitholder’s share of our liabilities as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an allocable portion of the non-pro rata distribution. This latter deemed exchange generally will result in the unitholder’s realization of ordinary income in an amount equal to the excess of (1) the non-pro rata portion of that distribution over (2) the unitholder’s tax basis (generally zero) in the Section 751 Assets deemed to be relinquished in the exchange.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Deductibility of Losses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8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84"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w:t>
      </w:r>
    </w:p>
    <w:p>
      <w:pPr>
        <w:spacing w:after="0" w:line="176" w:lineRule="exact"/>
        <w:rPr>
          <w:sz w:val="20"/>
          <w:szCs w:val="20"/>
          <w:color w:val="auto"/>
        </w:rPr>
      </w:pPr>
    </w:p>
    <w:p>
      <w:pPr>
        <w:jc w:val="both"/>
        <w:ind w:right="240" w:firstLine="324"/>
        <w:spacing w:after="0" w:line="289" w:lineRule="auto"/>
        <w:rPr>
          <w:sz w:val="20"/>
          <w:szCs w:val="20"/>
          <w:color w:val="auto"/>
        </w:rPr>
      </w:pPr>
      <w:r>
        <w:rPr>
          <w:rFonts w:ascii="Times New Roman" w:cs="Times New Roman" w:eastAsia="Times New Roman" w:hAnsi="Times New Roman"/>
          <w:sz w:val="17"/>
          <w:szCs w:val="17"/>
          <w:color w:val="auto"/>
        </w:rPr>
        <w:t>Consequently, any passive losses we generate will be available to offset only passive income generated by us.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Interest Deductions</w:t>
      </w:r>
    </w:p>
    <w:p>
      <w:pPr>
        <w:sectPr>
          <w:pgSz w:w="11900" w:h="16838" w:orient="portrait"/>
          <w:cols w:equalWidth="0" w:num="1">
            <w:col w:w="11420"/>
          </w:cols>
          <w:pgMar w:left="240" w:top="337" w:right="239" w:bottom="0" w:gutter="0" w:footer="0" w:header="0"/>
        </w:sectPr>
      </w:pPr>
    </w:p>
    <w:bookmarkStart w:id="9" w:name="page10"/>
    <w:bookmarkEnd w:id="9"/>
    <w:p>
      <w:pPr>
        <w:spacing w:after="0" w:line="13"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deductibility of a non-corporate taxpayer’s “investment interest expense” generally is limited to the amount of that taxpayer’s “net investment income.” Investment interest expense includes:</w:t>
      </w:r>
    </w:p>
    <w:p>
      <w:pPr>
        <w:spacing w:after="0" w:line="162" w:lineRule="exact"/>
        <w:rPr>
          <w:sz w:val="20"/>
          <w:szCs w:val="20"/>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indebtedness allocable to property held for investment;</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allocated against portfolio income; and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interest expense incurred to purchase or carry an interest in a passive activity to the extent allocable against portfolio income.</w:t>
      </w:r>
    </w:p>
    <w:p>
      <w:pPr>
        <w:spacing w:after="0" w:line="22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(if applicable) or gains attributable to the disposition of property held for investment. A unitholder’s share of a publicly traded partnership’s portfolio income and, according to the IRS, net passive income will be treated as investment income for purposes of the investment interest expense limitation.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Entity-Level Collections of Unitholder Taxes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If we are required or elect under applicable law to pay any federal, state, local or non-U.S. tax on behalf of any current or former unitholder, we are authorized to pay those taxes and treat the payment as a distribution of cash to the relevant unitholder. If the payment is made on behalf of a unitholder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w:t>
      </w:r>
    </w:p>
    <w:p>
      <w:pPr>
        <w:spacing w:after="0" w:line="18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Income, Gain, Loss and Deduction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items of income, gain, loss and deduction will be allocated among our unitholders in accordance with their percentage interests in us.</w:t>
      </w:r>
    </w:p>
    <w:p>
      <w:pPr>
        <w:spacing w:after="0" w:line="22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Specified items of our income, gain, loss and deduction will be allocated under Section 704(c) of the Code (or the principles of Section 704(c) of the Code) to account for any difference between the tax basis and fair market value of our assets at the time such assets are contributed to us and at the time of any subsequent offering of our units (a “Book-Tax Disparity”). As a result, the U.S. federal income tax burden associated with any Book-Tax Disparity immediately prior to an offering generally will be borne by our partners holding interests in us prior to such offering.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188"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An allocation of items of our income, gain, loss or deduction, other than an allocation required by the Code to eliminate a Book-Tax Disparity, will generally be given effect for U.S. federal income tax purposes in determining a partner’s share of an item of income, gain, loss or deduction only if the allocation has “substantial economic effect.” In any other case, a partner’s share of an item will be determined on the basis of the partner’s interest in us, which will be determined by taking into account all the facts and circumstances, including (i) his relative contributions to us, (ii) the interests of all the partners in profits and losses, (iii) the interest of all the partners in cash flow and (iv) the rights of all the partners to distributions of capital upon liquidation. Vinson &amp; Elkins L.L.P. is of the opinion that, with the exception of the issues described in “—Section 754 Election” and “—Disposition of Units—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Allocations Between Transferors and Transferees,” allocations under our partnership agreement will be given effect for U.S. federal income tax purposes in determining a partner’s share of an item of income, gain, loss, or deduction.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Securities Loans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180"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“—Disposition of Units—Recognition of Gain or Loss.”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Rates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39.6% and 20%, respectively. These rates are subject to change by new legislation at any time.</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addition, a 3.8% net investment income tax applies to certain net investment income earned by individuals, estates and trusts. For these purposes, net investment income generally includes a common unitholder’s allocable share of our income and gain realized by a common unitholder from a sale of units. In the case of an individual, the tax will be imposed on the lesser of (i) the common unitholder’s net investment income from all investments and (ii) the amount</w:t>
      </w:r>
    </w:p>
    <w:p>
      <w:pPr>
        <w:sectPr>
          <w:pgSz w:w="11900" w:h="16852" w:orient="portrait"/>
          <w:cols w:equalWidth="0" w:num="1">
            <w:col w:w="11380"/>
          </w:cols>
          <w:pgMar w:left="240" w:top="121" w:right="279" w:bottom="0" w:gutter="0" w:footer="0" w:header="0"/>
        </w:sectPr>
      </w:pPr>
    </w:p>
    <w:bookmarkStart w:id="10" w:name="page11"/>
    <w:bookmarkEnd w:id="10"/>
    <w:p>
      <w:pPr>
        <w:ind w:right="20"/>
        <w:spacing w:after="0" w:line="261" w:lineRule="auto"/>
        <w:rPr>
          <w:sz w:val="20"/>
          <w:szCs w:val="20"/>
          <w:color w:val="auto"/>
        </w:rPr>
      </w:pPr>
      <w:r>
        <w:rPr>
          <w:rFonts w:ascii="Times New Roman" w:cs="Times New Roman" w:eastAsia="Times New Roman" w:hAnsi="Times New Roman"/>
          <w:sz w:val="18"/>
          <w:szCs w:val="18"/>
          <w:color w:val="auto"/>
        </w:rPr>
        <w:t>by which the common unitholder’s modified adjusted gross income exceeds $250,000 (if the unitholder is married and filing jointly or a surviving spouse), $125,000 (if married filing separately) or $200,000 (if the unitholder is unmarried or in any other case). In the case of an estate or trust, the tax will be imposed on the lesser of (i) undistributed net investment income and (ii) the excess adjusted gross income over the dollar amount at which the highest income tax bracket applicable to an estate or trust begins.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754 Election</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have made the election permitted by Section 754 of the Code (“Section 754 Election”) that permits us to adjust the tax bases in our assets as to specific purchasers of our units under Section 743(b) of the Code (“Section 743(b) Adjustment”).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w:t>
      </w:r>
    </w:p>
    <w:p>
      <w:pPr>
        <w:spacing w:after="0" w:line="180"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Under our partnership agreement, we are authorized to take a position to preserve the uniformity of units even if that position is not consistent with applicable Treasury Regulations. A literal application of Treasury Regulations governing a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 Uniformity of Units.”</w:t>
      </w:r>
    </w:p>
    <w:p>
      <w:pPr>
        <w:spacing w:after="0" w:line="18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challenge to such treatment were sustained, the gain from the sale of units may be increased without the benefit of additional deductions.</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goodwill or nondepreciable assets. Goodwill, as an intangible asset, is generally nonamortizable; however, if amortizable, it is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Section 754 Election not been revoked.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Treatment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Method and Taxable Year</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“—Disposition of Units —Allocations Between Transferors and Transferees.”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Basis, Depreciation and Amortization</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tax basis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“—Tax Consequences of Unit Ownership—Allocation of Income, Gain, Loss and Deduction” and “—Disposition of Units—Recognition of Gain or Loss.”</w:t>
      </w:r>
    </w:p>
    <w:p>
      <w:pPr>
        <w:spacing w:after="0" w:line="18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and Tax Basis of Our Properties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federal income tax consequences of the ownership and disposition of units will depend in part on our estimates of the relative fair market values and the initial tax basis of our assets. Although we may from time to time consult with professional appraisers regarding valuation matters, we will make many of the relative fair market value and tax basis estimates and determinations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32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Disposition of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Recognition of Gain or Loss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8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purposes of calculating gain or loss on the sale of units, the unitholder’s adjusted tax basis will be adjusted by its allocable share of our income or loss in respect of its units for the year of the sale. Furthermore, as described above, the IRS has ruled that a partner who acquires interests in a partnership in separate transactions must combine those interests and maintain a single adjusted tax basis for all of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8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88"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176" w:lineRule="exact"/>
        <w:rPr>
          <w:sz w:val="20"/>
          <w:szCs w:val="20"/>
          <w:color w:val="auto"/>
        </w:rPr>
      </w:pPr>
    </w:p>
    <w:p>
      <w:pPr>
        <w:ind w:left="620" w:hanging="28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sale;</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offsetting notional principal contract; or</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Allocations Between Transferors and Transferees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8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Although simplifying conventions are contemplated by the Code and most publicly traded partnerships use similar simplifying conventions, the use of this method may not be permitted under existing Treasury Regulations. Recently, however, the Department of the Treasury and the IRS issued final Treasury Regulations pursuant to which a publicly traded partnership may use a similar monthly simplifying convention to allocate tax items among transferor and transferee unitholders. Nonetheless, the regulations do not specifically authorize the use of the proration method we have adopted.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could be reallocated among our unitholders. We are authorized to revise our method of allocation between transferee and transferor unitholders, as well as among unitholders whose interests vary during a taxable year, to conform to a method permitted under the Treasury Regulations.</w:t>
      </w:r>
    </w:p>
    <w:p>
      <w:pPr>
        <w:spacing w:after="0" w:line="18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 Requirements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w:t>
      </w:r>
    </w:p>
    <w:p>
      <w:pPr>
        <w:sectPr>
          <w:pgSz w:w="11900" w:h="16838" w:orient="portrait"/>
          <w:cols w:equalWidth="0" w:num="1">
            <w:col w:w="11420"/>
          </w:cols>
          <w:pgMar w:left="240" w:top="117" w:right="239" w:bottom="0" w:gutter="0" w:footer="0" w:header="0"/>
        </w:sectPr>
      </w:pPr>
    </w:p>
    <w:bookmarkStart w:id="12" w:name="page13"/>
    <w:bookmarkEnd w:id="12"/>
    <w:p>
      <w:pPr>
        <w:spacing w:after="0" w:line="9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However, these reporting requirements do not apply to a sale by an individual who is a citizen of the United States and who effects the sale through a broker who will satisfy such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Constructive Termination</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will be considered to have “constructively” terminated as a partnership for U.S.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w:t>
      </w:r>
    </w:p>
    <w:p>
      <w:pPr>
        <w:spacing w:after="0" w:line="18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 constructively terminated partnership to provide a single Schedule K-1 for the calendar year in which a termination occurs. Following a constructive termination, we would be required to make new tax elections, including a new Section 754 Election, and the termination would result in a deferral of our deductions for depreciation. A termination could also result in penalties if we were unable to determine that the termination had occurred.</w:t>
      </w:r>
    </w:p>
    <w:p>
      <w:pPr>
        <w:spacing w:after="0" w:line="184"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Moreover, a termination may either accelerate the application of, or subject us to, any tax legislation enacted before the termination that would not otherwise have been applied to us as a continuing as opposed to a terminating partnership.</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Uniformity of Units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Because we cannot match transferors and transferees of units and for other reasons, we must maintain uniformity of the economic and tax characteristics of the units to a purchaser of these units. In the absence of uniformity, we may be unable to completely comply with a number of U.S. federal income tax requirements. Any non-uniformity could have a negative impact on the value of the units. Please read “—Tax Consequences of Unit Ownership—Allocation of Income, Gain, Loss and Deduction—Section 754 Election.”</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above and “—Tax Consequences of Unit Ownership—Allocation of Income, Gain, Loss and Deduction—Section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Tax-Exempt Organizations and Other Investors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Ownership of units by employee benefit plans and other tax-exempt organizations as well as by non-resident alien individuals, non-U.S. corporations and other non-U.S. persons (collectively, “Non-U.S. Unitholders”) raises issues unique to those investors and, as described below, may have substantially adverse tax consequences to them. Prospective unitholders that are tax-exempt entities or Non-U.S. Unitholders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8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Non-U.S. Unitholders are taxed by the United States on income effectively connected with the conduct of a U.S. trade or business (“effectively connected income”) and on certain types of U.S.-source non-effectively connected income (such as dividends), unless exempted or further limited by an income tax treaty will be considered to be engaged in business in the United States because of their ownership of our units. Furthermore, is it probable that they will be deemed to conduct such activities through permanent establishments in the United States within the meaning of applicable tax treaties. Consequently, they will be required to file federal tax returns to report their share of our income, gain, loss or deduction and pay federal income tax on their share of our net income or gain. Moreover, under rules applicable to publicly traded partnerships, distributions to Non-U.S. Unitholders are subject to withholding at the highest applicable effective tax rate. Each Non-U.S. Unitholder must obtain a taxpayer identification number from the IRS and submit that number to our transfer agent on a Form W-8BEN, W-8BEN-E, or applicable substitute form in order to obtain credit for these withholding taxes.</w:t>
      </w:r>
    </w:p>
    <w:p>
      <w:pPr>
        <w:spacing w:after="0" w:line="18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because a Non-U.S. Unitholder classified as a corporation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to the extent reflected in the corporation’s effectively connected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84"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gain recognized by a non-U.S. person from the sale of its interest in a partnership that is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engaged in a trade or business in the United States will be considered to be effectively connected with a U.S. trade or business. Thus, part or all of a Non-U.S. Unitholder’s gain from the sale or other disposition of its units may be treated as effectively connected with a unitholder’s indirect U.S. trade or business</w:t>
      </w:r>
    </w:p>
    <w:p>
      <w:pPr>
        <w:sectPr>
          <w:pgSz w:w="11900" w:h="16933" w:orient="portrait"/>
          <w:cols w:equalWidth="0" w:num="1">
            <w:col w:w="11420"/>
          </w:cols>
          <w:pgMar w:left="240" w:top="121" w:right="239" w:bottom="0" w:gutter="0" w:footer="0" w:header="0"/>
        </w:sectPr>
      </w:pPr>
    </w:p>
    <w:bookmarkStart w:id="13" w:name="page14"/>
    <w:bookmarkEnd w:id="13"/>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constituted by its investment in us. Moreover, under the Foreign Investment in Real Property Tax Act, a Non-U.S. Unitholder generally will be subject to federal income tax upon the sale or disposition of a unit if (i) it owned (directly or indirectly constructively applying certain attribution rules) more than 5% of our units at any time during the five-year period ending on the date of such disposition and (ii) 50% or more of the fair market value of our worldwide real property interests and our other assets used or held for use in a trade or business consisted of U.S. real property interests (which include U.S. real estate, including land, improvements, certain associated personal property, and interests in certain entities holding U.S. real estate) at any time during the shorter of the period during which such unitholder held the units or the 5-year period ending on the date of disposition. More than 50% of our assets may consist of U.S. real property interests. Therefore, Non-U.S. Unitholders may be subject to federal income tax on gain from the sale or disposition of their units.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Returns and Audit Procedures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84"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IRS may audit our U.S.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80" w:lineRule="exact"/>
        <w:rPr>
          <w:sz w:val="20"/>
          <w:szCs w:val="20"/>
          <w:color w:val="auto"/>
        </w:rPr>
      </w:pPr>
    </w:p>
    <w:p>
      <w:pPr>
        <w:ind w:right="480" w:firstLine="324"/>
        <w:spacing w:after="0" w:line="261" w:lineRule="auto"/>
        <w:rPr>
          <w:sz w:val="20"/>
          <w:szCs w:val="20"/>
          <w:color w:val="auto"/>
        </w:rPr>
      </w:pPr>
      <w:r>
        <w:rPr>
          <w:rFonts w:ascii="Times New Roman" w:cs="Times New Roman" w:eastAsia="Times New Roman" w:hAnsi="Times New Roman"/>
          <w:sz w:val="18"/>
          <w:szCs w:val="18"/>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Tax Matters Partner has made and will make elections on our behalf and on behalf of common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in that action.</w:t>
      </w:r>
    </w:p>
    <w:p>
      <w:pPr>
        <w:spacing w:after="0" w:line="189" w:lineRule="exact"/>
        <w:rPr>
          <w:sz w:val="20"/>
          <w:szCs w:val="20"/>
          <w:color w:val="auto"/>
        </w:rPr>
      </w:pPr>
    </w:p>
    <w:p>
      <w:pPr>
        <w:jc w:val="both"/>
        <w:ind w:right="540" w:firstLine="324"/>
        <w:spacing w:after="0" w:line="282" w:lineRule="auto"/>
        <w:rPr>
          <w:sz w:val="20"/>
          <w:szCs w:val="20"/>
          <w:color w:val="auto"/>
        </w:rPr>
      </w:pPr>
      <w:r>
        <w:rPr>
          <w:rFonts w:ascii="Times New Roman" w:cs="Times New Roman" w:eastAsia="Times New Roman" w:hAnsi="Times New Roman"/>
          <w:sz w:val="18"/>
          <w:szCs w:val="18"/>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Audit Rules for Tax Years Beginning After December 31, 2017</w:t>
      </w:r>
    </w:p>
    <w:p>
      <w:pPr>
        <w:spacing w:after="0" w:line="229"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Recently enacted legislation, for taxable years beginning after December 31, 2017, changes the audit procedures for large partnerships and in certain circumstances would permit the IRS to assess and collect taxes (including any applicable penalties and interest) resulting from partnership-level federal income tax audits directly from us in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year in which the audit is completed. If we are required to make payments of taxes, penalties and interest resulting from audit adjustments, our cash available for distribution to our unitholders might be substantially reduced. Pursuant to this new legislation, we are required to designate an eligible person to act as the “Partnership Representative” with exclusive authority to act on our behalf in connection with federal income tax audits, requests by us for administrative adjustments, and any judicial proceedings arising in connection with those matters. Actions taken by the Partnership Representative will be binding on us and all of our unitholders. We anticipate that our general partner or its designee will act as the Partnership Representative.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Nominee Reporting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Persons who hold an interest in us as a nominee for another person are required to furnish to us:</w:t>
      </w:r>
    </w:p>
    <w:p>
      <w:pPr>
        <w:spacing w:after="0" w:line="225" w:lineRule="exact"/>
        <w:rPr>
          <w:sz w:val="20"/>
          <w:szCs w:val="20"/>
          <w:color w:val="auto"/>
        </w:rPr>
      </w:pPr>
    </w:p>
    <w:p>
      <w:pPr>
        <w:ind w:left="980" w:hanging="363"/>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taxpayer identification number of the beneficial owner and the nominee;</w:t>
      </w:r>
    </w:p>
    <w:p>
      <w:pPr>
        <w:spacing w:after="0" w:line="225" w:lineRule="exact"/>
        <w:rPr>
          <w:rFonts w:ascii="Times New Roman" w:cs="Times New Roman" w:eastAsia="Times New Roman" w:hAnsi="Times New Roman"/>
          <w:sz w:val="18"/>
          <w:szCs w:val="18"/>
          <w:color w:val="auto"/>
        </w:rPr>
      </w:pPr>
    </w:p>
    <w:p>
      <w:pPr>
        <w:ind w:left="980" w:hanging="363"/>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regarding whether the beneficial owner is: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person;</w:t>
      </w:r>
    </w:p>
    <w:p>
      <w:pPr>
        <w:spacing w:after="0" w:line="225" w:lineRule="exact"/>
        <w:rPr>
          <w:rFonts w:ascii="Times New Roman" w:cs="Times New Roman" w:eastAsia="Times New Roman" w:hAnsi="Times New Roman"/>
          <w:sz w:val="18"/>
          <w:szCs w:val="18"/>
          <w:color w:val="auto"/>
        </w:rPr>
      </w:pPr>
    </w:p>
    <w:p>
      <w:pPr>
        <w:ind w:left="1320" w:hanging="340"/>
        <w:spacing w:after="0"/>
        <w:tabs>
          <w:tab w:leader="none" w:pos="13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government, an international organization or any wholly owned agency or instrumentality of either of the foregoing; or</w:t>
      </w:r>
    </w:p>
    <w:p>
      <w:pPr>
        <w:spacing w:after="0" w:line="225" w:lineRule="exact"/>
        <w:rPr>
          <w:rFonts w:ascii="Times New Roman" w:cs="Times New Roman" w:eastAsia="Times New Roman" w:hAnsi="Times New Roman"/>
          <w:sz w:val="18"/>
          <w:szCs w:val="18"/>
          <w:color w:val="auto"/>
        </w:rPr>
      </w:pPr>
    </w:p>
    <w:p>
      <w:pPr>
        <w:ind w:left="1320" w:hanging="340"/>
        <w:spacing w:after="0"/>
        <w:tabs>
          <w:tab w:leader="none" w:pos="13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225" w:lineRule="exact"/>
        <w:rPr>
          <w:rFonts w:ascii="Times New Roman" w:cs="Times New Roman" w:eastAsia="Times New Roman" w:hAnsi="Times New Roman"/>
          <w:sz w:val="18"/>
          <w:szCs w:val="18"/>
          <w:color w:val="auto"/>
        </w:rPr>
      </w:pPr>
    </w:p>
    <w:p>
      <w:pPr>
        <w:ind w:left="980" w:hanging="363"/>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description of units held, acquired or transferred for the beneficial owner; and</w:t>
      </w:r>
    </w:p>
    <w:p>
      <w:pPr>
        <w:spacing w:after="0" w:line="225" w:lineRule="exact"/>
        <w:rPr>
          <w:rFonts w:ascii="Times New Roman" w:cs="Times New Roman" w:eastAsia="Times New Roman" w:hAnsi="Times New Roman"/>
          <w:sz w:val="18"/>
          <w:szCs w:val="18"/>
          <w:color w:val="auto"/>
        </w:rPr>
      </w:pPr>
    </w:p>
    <w:p>
      <w:pPr>
        <w:ind w:left="340" w:right="120" w:firstLine="277"/>
        <w:spacing w:after="0" w:line="282" w:lineRule="auto"/>
        <w:tabs>
          <w:tab w:leader="none" w:pos="9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information including the dates of acquisitions and transfers, means of acquisitions and transfers, and acquisition cost for purchases, as well as the amount of net proceeds from sales.</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Brokers and financial institutions are required to furnish additional information, including whether they are U.S. persons and specific information on units they acquire, hold or transfer for their own account. A penalty of $250 per failure, up to a maximum of $3 million per calendar year, is imposed by the</w:t>
      </w:r>
    </w:p>
    <w:p>
      <w:pPr>
        <w:sectPr>
          <w:pgSz w:w="11900" w:h="16866" w:orient="portrait"/>
          <w:cols w:equalWidth="0" w:num="1">
            <w:col w:w="11420"/>
          </w:cols>
          <w:pgMar w:left="240" w:top="121" w:right="239" w:bottom="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Code for failure to report that information to us. The nominee is required to supply the beneficial owner of the units with the information furnished to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Accuracy-Related Penalties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Local and Other Tax Considerations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188"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Although you may not be required to file a return and pay taxes in some jurisdictions because your income from that jurisdiction falls below the filing and payment requirement, you will be required to file income tax returns and to pay income taxes in many of these jurisdictions in which we do business or own property and may be subject to penalties for failure to comply with those requirements, even if you do not live in those jurisdictions. In some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jurisdictions, tax losses may not produce a tax benefit in the year incurred and also may not be available to offset income in subsequent taxable years.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read “—Tax Consequences of Unit Ownership—Entity-Level Collections.” Based on current law and our estimate of our future operations, our general partner anticipates that any amounts required to be withheld will not be material.</w:t>
      </w:r>
    </w:p>
    <w:p>
      <w:pPr>
        <w:spacing w:after="0" w:line="184"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17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Pursuant to the Instructions as to Exhibits with respect to Form 8-A, no exhibits are required to be filed because no other securities of the Registrant are registered on the New York Stock Exchange and the securities registered hereby are not being registered pursuant to Section 12(g) of the Exchange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 November 15, 2016</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bl>
    <w:p>
      <w:pPr>
        <w:spacing w:after="0" w:line="198" w:lineRule="exact"/>
        <w:rPr>
          <w:sz w:val="20"/>
          <w:szCs w:val="20"/>
          <w:color w:val="auto"/>
        </w:rPr>
      </w:pPr>
    </w:p>
    <w:p>
      <w:pPr>
        <w:sectPr>
          <w:pgSz w:w="11900" w:h="16838" w:orient="portrait"/>
          <w:cols w:equalWidth="0" w:num="1">
            <w:col w:w="11420"/>
          </w:cols>
          <w:pgMar w:left="240" w:top="121"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lowerRoman"/>
      <w:start w:val="2"/>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2020-01-21T20:51:56Z</dcterms:created>
  <dcterms:modified xsi:type="dcterms:W3CDTF">2020-01-21T20:51:56Z</dcterms:modified>
</cp:coreProperties>
</file>