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325360" cy="8283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8283575"/>
                    </a:xfrm>
                    <a:prstGeom prst="rect">
                      <a:avLst/>
                    </a:prstGeom>
                    <a:noFill/>
                  </pic:spPr>
                </pic:pic>
              </a:graphicData>
            </a:graphic>
          </wp:anchor>
        </w:drawing>
      </w:r>
    </w:p>
    <w:p>
      <w:pPr>
        <w:spacing w:after="0" w:line="100" w:lineRule="exact"/>
        <w:rPr>
          <w:sz w:val="24"/>
          <w:szCs w:val="24"/>
          <w:color w:val="auto"/>
        </w:rPr>
      </w:pPr>
    </w:p>
    <w:p>
      <w:pPr>
        <w:sectPr>
          <w:pgSz w:w="11900" w:h="16877" w:orient="portrait"/>
          <w:cols w:equalWidth="0" w:num="2">
            <w:col w:w="2280" w:space="480"/>
            <w:col w:w="8760"/>
          </w:cols>
          <w:pgMar w:left="240" w:top="222"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SINNOTT ROBERT V</w:t>
        </w:r>
      </w:hyperlink>
    </w:p>
    <w:p>
      <w:pPr>
        <w:spacing w:after="0" w:line="30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AVE OF THE STATE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2ND FLR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PLAINS GP HOLDINGS LP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PAGP</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06/30/2017</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7" w:right="760" w:hanging="7"/>
        <w:spacing w:after="0" w:line="23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6" w:val="left"/>
          <w:tab w:leader="none" w:pos="216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21" w:lineRule="exact"/>
        <w:rPr>
          <w:sz w:val="24"/>
          <w:szCs w:val="24"/>
          <w:color w:val="auto"/>
        </w:rPr>
      </w:pPr>
    </w:p>
    <w:p>
      <w:pPr>
        <w:sectPr>
          <w:pgSz w:w="11900" w:h="16877" w:orient="portrait"/>
          <w:cols w:equalWidth="0" w:num="3">
            <w:col w:w="3340" w:space="720"/>
            <w:col w:w="3253" w:space="720"/>
            <w:col w:w="3487"/>
          </w:cols>
          <w:pgMar w:left="240" w:top="222" w:right="139" w:bottom="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20" w:type="dxa"/>
            <w:vAlign w:val="bottom"/>
            <w:gridSpan w:val="5"/>
            <w:vMerge w:val="restart"/>
          </w:tcPr>
          <w:p>
            <w:pPr>
              <w:jc w:val="center"/>
              <w:ind w:left="35"/>
              <w:spacing w:after="0"/>
              <w:rPr>
                <w:sz w:val="20"/>
                <w:szCs w:val="20"/>
                <w:color w:val="auto"/>
              </w:rPr>
            </w:pPr>
            <w:r>
              <w:rPr>
                <w:rFonts w:ascii="Arial" w:cs="Arial" w:eastAsia="Arial" w:hAnsi="Arial"/>
                <w:sz w:val="13"/>
                <w:szCs w:val="13"/>
                <w:color w:val="auto"/>
                <w:w w:val="99"/>
              </w:rPr>
              <w:t>4. If Amendment, Date of Original Filed (Month/Day/Year)</w:t>
            </w:r>
          </w:p>
        </w:tc>
        <w:tc>
          <w:tcPr>
            <w:tcW w:w="600" w:type="dxa"/>
            <w:vAlign w:val="bottom"/>
          </w:tcPr>
          <w:p>
            <w:pPr>
              <w:spacing w:after="0"/>
              <w:rPr>
                <w:sz w:val="2"/>
                <w:szCs w:val="2"/>
                <w:color w:val="auto"/>
              </w:rPr>
            </w:pPr>
          </w:p>
        </w:tc>
        <w:tc>
          <w:tcPr>
            <w:tcW w:w="3400" w:type="dxa"/>
            <w:vAlign w:val="bottom"/>
            <w:gridSpan w:val="3"/>
            <w:vMerge w:val="restart"/>
          </w:tcPr>
          <w:p>
            <w:pPr>
              <w:ind w:left="2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520" w:type="dxa"/>
            <w:vAlign w:val="bottom"/>
            <w:gridSpan w:val="5"/>
            <w:vMerge w:val="continue"/>
          </w:tcPr>
          <w:p>
            <w:pPr>
              <w:spacing w:after="0"/>
              <w:rPr>
                <w:sz w:val="13"/>
                <w:szCs w:val="13"/>
                <w:color w:val="auto"/>
              </w:rPr>
            </w:pPr>
          </w:p>
        </w:tc>
        <w:tc>
          <w:tcPr>
            <w:tcW w:w="600" w:type="dxa"/>
            <w:vAlign w:val="bottom"/>
          </w:tcPr>
          <w:p>
            <w:pPr>
              <w:spacing w:after="0"/>
              <w:rPr>
                <w:sz w:val="13"/>
                <w:szCs w:val="13"/>
                <w:color w:val="auto"/>
              </w:rPr>
            </w:pPr>
          </w:p>
        </w:tc>
        <w:tc>
          <w:tcPr>
            <w:tcW w:w="34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0" w:type="dxa"/>
            <w:vAlign w:val="bottom"/>
            <w:gridSpan w:val="3"/>
            <w:vMerge w:val="restart"/>
          </w:tcPr>
          <w:p>
            <w:pPr>
              <w:ind w:left="2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restart"/>
          </w:tcPr>
          <w:p>
            <w:pPr>
              <w:ind w:left="20"/>
              <w:spacing w:after="0"/>
              <w:rPr>
                <w:sz w:val="20"/>
                <w:szCs w:val="20"/>
                <w:color w:val="auto"/>
              </w:rPr>
            </w:pPr>
            <w:r>
              <w:rPr>
                <w:rFonts w:ascii="Arial" w:cs="Arial" w:eastAsia="Arial" w:hAnsi="Arial"/>
                <w:sz w:val="17"/>
                <w:szCs w:val="17"/>
                <w:color w:val="0000FF"/>
                <w:w w:val="99"/>
              </w:rPr>
              <w:t>LOS ANGELES</w:t>
            </w:r>
          </w:p>
        </w:tc>
        <w:tc>
          <w:tcPr>
            <w:tcW w:w="820" w:type="dxa"/>
            <w:vAlign w:val="bottom"/>
            <w:vMerge w:val="restart"/>
          </w:tcPr>
          <w:p>
            <w:pPr>
              <w:ind w:left="80"/>
              <w:spacing w:after="0"/>
              <w:rPr>
                <w:sz w:val="20"/>
                <w:szCs w:val="20"/>
                <w:color w:val="auto"/>
              </w:rPr>
            </w:pPr>
            <w:r>
              <w:rPr>
                <w:rFonts w:ascii="Arial" w:cs="Arial" w:eastAsia="Arial" w:hAnsi="Arial"/>
                <w:sz w:val="17"/>
                <w:szCs w:val="17"/>
                <w:color w:val="0000FF"/>
              </w:rPr>
              <w:t>CA</w:t>
            </w:r>
          </w:p>
        </w:tc>
        <w:tc>
          <w:tcPr>
            <w:tcW w:w="1760" w:type="dxa"/>
            <w:vAlign w:val="bottom"/>
            <w:vMerge w:val="restart"/>
          </w:tcPr>
          <w:p>
            <w:pPr>
              <w:ind w:left="520"/>
              <w:spacing w:after="0"/>
              <w:rPr>
                <w:sz w:val="20"/>
                <w:szCs w:val="20"/>
                <w:color w:val="auto"/>
              </w:rPr>
            </w:pPr>
            <w:r>
              <w:rPr>
                <w:rFonts w:ascii="Arial" w:cs="Arial" w:eastAsia="Arial" w:hAnsi="Arial"/>
                <w:sz w:val="17"/>
                <w:szCs w:val="17"/>
                <w:color w:val="0000FF"/>
              </w:rPr>
              <w:t>90067</w:t>
            </w: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0" w:type="dxa"/>
            <w:vAlign w:val="bottom"/>
            <w:gridSpan w:val="3"/>
            <w:vMerge w:val="restart"/>
          </w:tcPr>
          <w:p>
            <w:pPr>
              <w:ind w:left="58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2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260" w:type="dxa"/>
            <w:vAlign w:val="bottom"/>
            <w:tcBorders>
              <w:bottom w:val="single" w:sz="8" w:color="2C2C2C"/>
            </w:tcBorders>
            <w:gridSpan w:val="7"/>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8"/>
          </w:tcPr>
          <w:p>
            <w:pPr>
              <w:jc w:val="center"/>
              <w:ind w:left="48"/>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96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20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1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13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40" w:type="dxa"/>
            <w:vAlign w:val="bottom"/>
            <w:gridSpan w:val="2"/>
          </w:tcPr>
          <w:p>
            <w:pPr>
              <w:ind w:left="100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13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jc w:val="right"/>
              <w:ind w:right="184"/>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06/30/2017</w:t>
            </w:r>
          </w:p>
        </w:tc>
        <w:tc>
          <w:tcPr>
            <w:tcW w:w="108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374,790</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right"/>
              <w:ind w:right="1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374,790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21"/>
                <w:szCs w:val="21"/>
                <w:color w:val="auto"/>
              </w:rPr>
            </w:pPr>
          </w:p>
        </w:tc>
        <w:tc>
          <w:tcPr>
            <w:tcW w:w="2040" w:type="dxa"/>
            <w:vAlign w:val="bottom"/>
            <w:gridSpan w:val="2"/>
            <w:vMerge w:val="restart"/>
          </w:tcPr>
          <w:p>
            <w:pPr>
              <w:jc w:val="right"/>
              <w:ind w:right="95"/>
              <w:spacing w:after="0"/>
              <w:rPr>
                <w:sz w:val="20"/>
                <w:szCs w:val="20"/>
                <w:color w:val="auto"/>
              </w:rPr>
            </w:pPr>
            <w:r>
              <w:rPr>
                <w:rFonts w:ascii="Arial" w:cs="Arial" w:eastAsia="Arial" w:hAnsi="Arial"/>
                <w:sz w:val="17"/>
                <w:szCs w:val="17"/>
                <w:color w:val="0000FF"/>
              </w:rPr>
              <w:t>06/30/2017</w:t>
            </w:r>
          </w:p>
        </w:tc>
        <w:tc>
          <w:tcPr>
            <w:tcW w:w="108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20" w:type="dxa"/>
            <w:vAlign w:val="bottom"/>
            <w:vMerge w:val="restart"/>
          </w:tcPr>
          <w:p>
            <w:pPr>
              <w:ind w:left="160"/>
              <w:spacing w:after="0"/>
              <w:rPr>
                <w:sz w:val="20"/>
                <w:szCs w:val="20"/>
                <w:color w:val="auto"/>
              </w:rPr>
            </w:pPr>
            <w:r>
              <w:rPr>
                <w:rFonts w:ascii="Arial" w:cs="Arial" w:eastAsia="Arial" w:hAnsi="Arial"/>
                <w:sz w:val="17"/>
                <w:szCs w:val="17"/>
                <w:color w:val="0000FF"/>
              </w:rPr>
              <w:t>374,790</w:t>
            </w:r>
          </w:p>
        </w:tc>
        <w:tc>
          <w:tcPr>
            <w:tcW w:w="540" w:type="dxa"/>
            <w:vAlign w:val="bottom"/>
            <w:vMerge w:val="restart"/>
          </w:tcPr>
          <w:p>
            <w:pPr>
              <w:ind w:left="220"/>
              <w:spacing w:after="0"/>
              <w:rPr>
                <w:sz w:val="20"/>
                <w:szCs w:val="20"/>
                <w:color w:val="auto"/>
              </w:rPr>
            </w:pPr>
            <w:r>
              <w:rPr>
                <w:rFonts w:ascii="Arial" w:cs="Arial" w:eastAsia="Arial" w:hAnsi="Arial"/>
                <w:sz w:val="17"/>
                <w:szCs w:val="17"/>
                <w:color w:val="0000FF"/>
              </w:rPr>
              <w:t>D</w:t>
            </w:r>
          </w:p>
        </w:tc>
        <w:tc>
          <w:tcPr>
            <w:tcW w:w="600" w:type="dxa"/>
            <w:vAlign w:val="bottom"/>
            <w:vMerge w:val="restart"/>
          </w:tcPr>
          <w:p>
            <w:pPr>
              <w:jc w:val="right"/>
              <w:ind w:right="1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4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1300" w:type="dxa"/>
            <w:vAlign w:val="bottom"/>
            <w:vMerge w:val="restart"/>
          </w:tcPr>
          <w:p>
            <w:pPr>
              <w:ind w:left="80"/>
              <w:spacing w:after="0"/>
              <w:rPr>
                <w:sz w:val="20"/>
                <w:szCs w:val="20"/>
                <w:color w:val="auto"/>
              </w:rPr>
            </w:pPr>
            <w:r>
              <w:rPr>
                <w:rFonts w:ascii="Arial" w:cs="Arial" w:eastAsia="Arial" w:hAnsi="Arial"/>
                <w:sz w:val="11"/>
                <w:szCs w:val="11"/>
                <w:color w:val="008000"/>
              </w:rPr>
              <w:t>(2)(3)(4)</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7"/>
                <w:szCs w:val="17"/>
                <w:color w:val="0000FF"/>
                <w:w w:val="87"/>
              </w:rPr>
              <w:t>558,492</w:t>
            </w:r>
          </w:p>
        </w:tc>
        <w:tc>
          <w:tcPr>
            <w:tcW w:w="960" w:type="dxa"/>
            <w:vAlign w:val="bottom"/>
            <w:vMerge w:val="restart"/>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vMerge w:val="restart"/>
          </w:tcPr>
          <w:p>
            <w:pPr>
              <w:ind w:left="8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0000FF"/>
                <w:w w:val="88"/>
              </w:rPr>
              <w:t>75,104</w:t>
            </w:r>
          </w:p>
        </w:tc>
        <w:tc>
          <w:tcPr>
            <w:tcW w:w="960" w:type="dxa"/>
            <w:vAlign w:val="bottom"/>
          </w:tcPr>
          <w:p>
            <w:pPr>
              <w:ind w:left="480"/>
              <w:spacing w:after="0"/>
              <w:rPr>
                <w:sz w:val="20"/>
                <w:szCs w:val="20"/>
                <w:color w:val="auto"/>
              </w:rPr>
            </w:pPr>
            <w:r>
              <w:rPr>
                <w:rFonts w:ascii="Arial" w:cs="Arial" w:eastAsia="Arial" w:hAnsi="Arial"/>
                <w:sz w:val="17"/>
                <w:szCs w:val="17"/>
                <w:color w:val="0000FF"/>
              </w:rPr>
              <w:t>I</w:t>
            </w:r>
          </w:p>
        </w:tc>
        <w:tc>
          <w:tcPr>
            <w:tcW w:w="1300" w:type="dxa"/>
            <w:vAlign w:val="bottom"/>
          </w:tcPr>
          <w:p>
            <w:pPr>
              <w:ind w:left="8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ind w:left="80"/>
              <w:spacing w:after="0"/>
              <w:rPr>
                <w:sz w:val="20"/>
                <w:szCs w:val="20"/>
                <w:color w:val="auto"/>
              </w:rPr>
            </w:pPr>
            <w:r>
              <w:rPr>
                <w:rFonts w:ascii="Arial" w:cs="Arial" w:eastAsia="Arial" w:hAnsi="Arial"/>
                <w:sz w:val="17"/>
                <w:szCs w:val="17"/>
                <w:color w:val="0000FF"/>
              </w:rPr>
              <w:t>Partners</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bl>
    <w:p>
      <w:pPr>
        <w:spacing w:after="0" w:line="49"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w w:val="93"/>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10/24/97,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40" w:type="dxa"/>
            <w:vAlign w:val="bottom"/>
            <w:gridSpan w:val="2"/>
            <w:vMerge w:val="restart"/>
          </w:tcPr>
          <w:p>
            <w:pPr>
              <w:ind w:left="42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5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40" w:type="dxa"/>
            <w:vAlign w:val="bottom"/>
            <w:gridSpan w:val="2"/>
          </w:tcPr>
          <w:p>
            <w:pPr>
              <w:ind w:left="420"/>
              <w:spacing w:after="0"/>
              <w:rPr>
                <w:sz w:val="20"/>
                <w:szCs w:val="20"/>
                <w:color w:val="auto"/>
              </w:rPr>
            </w:pPr>
            <w:r>
              <w:rPr>
                <w:rFonts w:ascii="Arial" w:cs="Arial" w:eastAsia="Arial" w:hAnsi="Arial"/>
                <w:sz w:val="17"/>
                <w:szCs w:val="17"/>
                <w:color w:val="0000FF"/>
                <w:w w:val="98"/>
              </w:rPr>
              <w:t>See footnotes</w:t>
            </w:r>
            <w:r>
              <w:rPr>
                <w:rFonts w:ascii="Arial" w:cs="Arial" w:eastAsia="Arial" w:hAnsi="Arial"/>
                <w:sz w:val="21"/>
                <w:szCs w:val="21"/>
                <w:color w:val="008000"/>
                <w:w w:val="98"/>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restart"/>
          </w:tcPr>
          <w:p>
            <w:pPr>
              <w:ind w:left="420"/>
              <w:spacing w:after="0"/>
              <w:rPr>
                <w:sz w:val="20"/>
                <w:szCs w:val="20"/>
                <w:color w:val="auto"/>
              </w:rPr>
            </w:pPr>
            <w:r>
              <w:rPr>
                <w:rFonts w:ascii="Arial" w:cs="Arial" w:eastAsia="Arial" w:hAnsi="Arial"/>
                <w:sz w:val="11"/>
                <w:szCs w:val="11"/>
                <w:color w:val="008000"/>
              </w:rPr>
              <w:t>(7)</w:t>
            </w: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6220" w:type="dxa"/>
            <w:vAlign w:val="bottom"/>
            <w:tcBorders>
              <w:bottom w:val="single" w:sz="8" w:color="2C2C2C"/>
            </w:tcBorders>
            <w:gridSpan w:val="8"/>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7"/>
          </w:tcPr>
          <w:p>
            <w:pPr>
              <w:ind w:left="76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9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1"/>
                <w:szCs w:val="11"/>
                <w:color w:val="auto"/>
              </w:rPr>
            </w:pP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of Shares</w:t>
            </w: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vMerge w:val="restart"/>
          </w:tcPr>
          <w:p>
            <w:pPr>
              <w:ind w:left="760"/>
              <w:spacing w:after="0"/>
              <w:rPr>
                <w:sz w:val="20"/>
                <w:szCs w:val="20"/>
                <w:color w:val="auto"/>
              </w:rPr>
            </w:pPr>
            <w:r>
              <w:rPr>
                <w:rFonts w:ascii="Arial" w:cs="Arial" w:eastAsia="Arial" w:hAnsi="Arial"/>
                <w:sz w:val="11"/>
                <w:szCs w:val="11"/>
                <w:color w:val="008000"/>
                <w:w w:val="88"/>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0" w:type="dxa"/>
            <w:vAlign w:val="bottom"/>
            <w:vMerge w:val="restart"/>
          </w:tcPr>
          <w:p>
            <w:pPr>
              <w:ind w:left="60"/>
              <w:spacing w:after="0" w:line="126" w:lineRule="exact"/>
              <w:rPr>
                <w:sz w:val="20"/>
                <w:szCs w:val="20"/>
                <w:color w:val="auto"/>
              </w:rPr>
            </w:pPr>
            <w:r>
              <w:rPr>
                <w:rFonts w:ascii="Arial" w:cs="Arial" w:eastAsia="Arial" w:hAnsi="Arial"/>
                <w:sz w:val="13"/>
                <w:szCs w:val="13"/>
                <w:color w:val="0000FF"/>
                <w:w w:val="93"/>
              </w:rPr>
              <w:t>Shares/Class</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20" w:type="dxa"/>
            <w:vAlign w:val="bottom"/>
            <w:vMerge w:val="restart"/>
          </w:tcPr>
          <w:p>
            <w:pPr>
              <w:jc w:val="right"/>
              <w:ind w:right="163"/>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700" w:type="dxa"/>
            <w:vAlign w:val="bottom"/>
            <w:vMerge w:val="restart"/>
          </w:tcPr>
          <w:p>
            <w:pPr>
              <w:ind w:left="80"/>
              <w:spacing w:after="0"/>
              <w:rPr>
                <w:sz w:val="20"/>
                <w:szCs w:val="20"/>
                <w:color w:val="auto"/>
              </w:rPr>
            </w:pPr>
            <w:r>
              <w:rPr>
                <w:rFonts w:ascii="Arial" w:cs="Arial" w:eastAsia="Arial" w:hAnsi="Arial"/>
                <w:sz w:val="17"/>
                <w:szCs w:val="17"/>
                <w:color w:val="0000FF"/>
                <w:w w:val="97"/>
              </w:rPr>
              <w:t>374,790</w:t>
            </w:r>
          </w:p>
        </w:tc>
        <w:tc>
          <w:tcPr>
            <w:tcW w:w="760" w:type="dxa"/>
            <w:vAlign w:val="bottom"/>
          </w:tcPr>
          <w:p>
            <w:pPr>
              <w:spacing w:after="0"/>
              <w:rPr>
                <w:sz w:val="5"/>
                <w:szCs w:val="5"/>
                <w:color w:val="auto"/>
              </w:rPr>
            </w:pPr>
          </w:p>
        </w:tc>
        <w:tc>
          <w:tcPr>
            <w:tcW w:w="880" w:type="dxa"/>
            <w:vAlign w:val="bottom"/>
            <w:vMerge w:val="restart"/>
          </w:tcPr>
          <w:p>
            <w:pPr>
              <w:ind w:left="60"/>
              <w:spacing w:after="0" w:line="204" w:lineRule="exact"/>
              <w:rPr>
                <w:sz w:val="20"/>
                <w:szCs w:val="20"/>
                <w:color w:val="auto"/>
              </w:rPr>
            </w:pPr>
            <w:r>
              <w:rPr>
                <w:rFonts w:ascii="Arial" w:cs="Arial" w:eastAsia="Arial" w:hAnsi="Arial"/>
                <w:sz w:val="13"/>
                <w:szCs w:val="13"/>
                <w:color w:val="0000FF"/>
                <w:w w:val="97"/>
              </w:rPr>
              <w:t>22,261,457</w:t>
            </w:r>
            <w:r>
              <w:rPr>
                <w:rFonts w:ascii="Arial" w:cs="Arial" w:eastAsia="Arial" w:hAnsi="Arial"/>
                <w:sz w:val="21"/>
                <w:szCs w:val="21"/>
                <w:color w:val="008000"/>
                <w:w w:val="97"/>
                <w:vertAlign w:val="superscript"/>
              </w:rPr>
              <w:t>(6)</w:t>
            </w:r>
          </w:p>
        </w:tc>
        <w:tc>
          <w:tcPr>
            <w:tcW w:w="7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80" w:type="dxa"/>
            <w:vAlign w:val="bottom"/>
            <w:vMerge w:val="restart"/>
          </w:tcPr>
          <w:p>
            <w:pPr>
              <w:jc w:val="right"/>
              <w:ind w:right="180"/>
              <w:spacing w:after="0" w:line="139" w:lineRule="exact"/>
              <w:rPr>
                <w:sz w:val="20"/>
                <w:szCs w:val="20"/>
                <w:color w:val="auto"/>
              </w:rPr>
            </w:pPr>
            <w:r>
              <w:rPr>
                <w:rFonts w:ascii="Arial" w:cs="Arial" w:eastAsia="Arial" w:hAnsi="Arial"/>
                <w:sz w:val="13"/>
                <w:szCs w:val="13"/>
                <w:color w:val="0000FF"/>
              </w:rPr>
              <w:t>06/30/2017</w:t>
            </w:r>
          </w:p>
        </w:tc>
        <w:tc>
          <w:tcPr>
            <w:tcW w:w="1100" w:type="dxa"/>
            <w:vAlign w:val="bottom"/>
          </w:tcPr>
          <w:p>
            <w:pPr>
              <w:spacing w:after="0"/>
              <w:rPr>
                <w:sz w:val="5"/>
                <w:szCs w:val="5"/>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M</w:t>
            </w:r>
          </w:p>
        </w:tc>
        <w:tc>
          <w:tcPr>
            <w:tcW w:w="880" w:type="dxa"/>
            <w:vAlign w:val="bottom"/>
            <w:vMerge w:val="restart"/>
          </w:tcPr>
          <w:p>
            <w:pPr>
              <w:ind w:left="400"/>
              <w:spacing w:after="0" w:line="139" w:lineRule="exact"/>
              <w:rPr>
                <w:sz w:val="20"/>
                <w:szCs w:val="20"/>
                <w:color w:val="auto"/>
              </w:rPr>
            </w:pPr>
            <w:r>
              <w:rPr>
                <w:rFonts w:ascii="Arial" w:cs="Arial" w:eastAsia="Arial" w:hAnsi="Arial"/>
                <w:sz w:val="13"/>
                <w:szCs w:val="13"/>
                <w:color w:val="0000FF"/>
                <w:w w:val="97"/>
              </w:rPr>
              <w:t>374,790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480" w:type="dxa"/>
            <w:vAlign w:val="bottom"/>
            <w:vMerge w:val="restart"/>
          </w:tcPr>
          <w:p>
            <w:pPr>
              <w:ind w:left="200"/>
              <w:spacing w:after="0" w:line="139" w:lineRule="exact"/>
              <w:rPr>
                <w:sz w:val="20"/>
                <w:szCs w:val="20"/>
                <w:color w:val="auto"/>
              </w:rPr>
            </w:pPr>
            <w:r>
              <w:rPr>
                <w:rFonts w:ascii="Arial" w:cs="Arial" w:eastAsia="Arial" w:hAnsi="Arial"/>
                <w:sz w:val="13"/>
                <w:szCs w:val="13"/>
                <w:color w:val="0000FF"/>
              </w:rPr>
              <w:t>A</w:t>
            </w:r>
          </w:p>
        </w:tc>
        <w:tc>
          <w:tcPr>
            <w:tcW w:w="700" w:type="dxa"/>
            <w:vAlign w:val="bottom"/>
            <w:vMerge w:val="continue"/>
          </w:tcPr>
          <w:p>
            <w:pPr>
              <w:spacing w:after="0"/>
              <w:rPr>
                <w:sz w:val="5"/>
                <w:szCs w:val="5"/>
                <w:color w:val="auto"/>
              </w:rPr>
            </w:pPr>
          </w:p>
        </w:tc>
        <w:tc>
          <w:tcPr>
            <w:tcW w:w="76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vMerge w:val="continue"/>
          </w:tcPr>
          <w:p>
            <w:pPr>
              <w:spacing w:after="0"/>
              <w:rPr>
                <w:sz w:val="5"/>
                <w:szCs w:val="5"/>
                <w:color w:val="auto"/>
              </w:rPr>
            </w:pPr>
          </w:p>
        </w:tc>
        <w:tc>
          <w:tcPr>
            <w:tcW w:w="7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I</w:t>
            </w: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A Units/GP</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900" w:type="dxa"/>
            <w:vAlign w:val="bottom"/>
          </w:tcPr>
          <w:p>
            <w:pPr>
              <w:ind w:left="60"/>
              <w:spacing w:after="0" w:line="78" w:lineRule="exact"/>
              <w:rPr>
                <w:sz w:val="20"/>
                <w:szCs w:val="20"/>
                <w:color w:val="auto"/>
              </w:rPr>
            </w:pPr>
            <w:r>
              <w:rPr>
                <w:rFonts w:ascii="Arial" w:cs="Arial" w:eastAsia="Arial" w:hAnsi="Arial"/>
                <w:sz w:val="9"/>
                <w:szCs w:val="9"/>
                <w:color w:val="0000FF"/>
              </w:rPr>
              <w:t>See footnotes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w w:val="92"/>
              </w:rPr>
              <w:t>Shares</w:t>
            </w: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ind w:left="60"/>
              <w:spacing w:after="0" w:line="82" w:lineRule="exact"/>
              <w:rPr>
                <w:sz w:val="20"/>
                <w:szCs w:val="20"/>
                <w:color w:val="auto"/>
              </w:rPr>
            </w:pPr>
            <w:r>
              <w:rPr>
                <w:rFonts w:ascii="Arial" w:cs="Arial" w:eastAsia="Arial" w:hAnsi="Arial"/>
                <w:sz w:val="9"/>
                <w:szCs w:val="9"/>
                <w:color w:val="008000"/>
              </w:rPr>
              <w:t>(2)(3)</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jc w:val="both"/>
        <w:ind w:left="40" w:right="4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L.P., KAFU Holdings (QP), L.P., and KAFU Holdings II, L.P. (collectively,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32" w:lineRule="exact"/>
        <w:rPr>
          <w:rFonts w:ascii="Arial" w:cs="Arial" w:eastAsia="Arial" w:hAnsi="Arial"/>
          <w:sz w:val="13"/>
          <w:szCs w:val="13"/>
          <w:color w:val="008000"/>
        </w:rPr>
      </w:pPr>
    </w:p>
    <w:p>
      <w:pPr>
        <w:ind w:left="40" w:right="26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Eighth Amended and Restated limited partnership agreement of Plains AAP, L.P. ("AAP") provides that each limited partner has the right at any time (without expiration) to immediately exchange (the "Exchange Right") its Class A Units in AAP, together with a like number of associated Class B Shares in the Issuer and GP Units in PAA GP Holdings LLC, for a like number of Class A Shares of the Issuer. On June 30,2017, KAFU Holdings (QP), L.P. exercised the Exchange Right with respect to 374,790 Class A Shares.</w:t>
      </w:r>
    </w:p>
    <w:p>
      <w:pPr>
        <w:spacing w:after="0" w:line="32"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ectPr>
          <w:pgSz w:w="11900" w:h="16877" w:orient="portrait"/>
          <w:cols w:equalWidth="0" w:num="1">
            <w:col w:w="11520"/>
          </w:cols>
          <w:pgMar w:left="240" w:top="222" w:right="139" w:bottom="0" w:gutter="0" w:footer="0" w:header="0"/>
          <w:type w:val="continuous"/>
        </w:sectPr>
      </w:pPr>
    </w:p>
    <w:bookmarkStart w:id="1" w:name="page2"/>
    <w:bookmarkEnd w:id="1"/>
    <w:p>
      <w:pPr>
        <w:ind w:left="140" w:hanging="137"/>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In a simultaneous transaction, KAFU exercised the redemption right provided for in the limited partnership agreement of AAP with respect to 959 Class A Units. As a result, such Class A Units were cancelled and</w:t>
      </w:r>
    </w:p>
    <w:p>
      <w:pPr>
        <w:spacing w:after="0" w:line="26" w:lineRule="exact"/>
        <w:rPr>
          <w:rFonts w:ascii="Arial" w:cs="Arial" w:eastAsia="Arial" w:hAnsi="Arial"/>
          <w:sz w:val="11"/>
          <w:szCs w:val="11"/>
          <w:color w:val="008000"/>
        </w:rPr>
      </w:pPr>
    </w:p>
    <w:p>
      <w:pPr>
        <w:ind w:right="120" w:firstLine="3"/>
        <w:spacing w:after="0" w:line="238" w:lineRule="auto"/>
        <w:tabs>
          <w:tab w:leader="none" w:pos="227"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Common Units of Plains All American Pipeline, L.P. were distributed by AAP to KAFU. The number of derivative securities owned reflects both the exchange transaction reported herein and the simultaneous redemption transaction.</w:t>
      </w:r>
    </w:p>
    <w:p>
      <w:pPr>
        <w:spacing w:after="0" w:line="31" w:lineRule="exact"/>
        <w:rPr>
          <w:rFonts w:ascii="Arial" w:cs="Arial" w:eastAsia="Arial" w:hAnsi="Arial"/>
          <w:sz w:val="13"/>
          <w:szCs w:val="13"/>
          <w:color w:val="008000"/>
        </w:rPr>
      </w:pPr>
    </w:p>
    <w:p>
      <w:pPr>
        <w:ind w:left="140" w:hanging="137"/>
        <w:spacing w:after="0"/>
        <w:tabs>
          <w:tab w:leader="none" w:pos="140" w:val="left"/>
        </w:tabs>
        <w:numPr>
          <w:ilvl w:val="0"/>
          <w:numId w:val="5"/>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54"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David Shladovsky</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07/05/2017</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3700" w:firstLine="3"/>
        <w:spacing w:after="0" w:line="337" w:lineRule="auto"/>
        <w:tabs>
          <w:tab w:leader="none" w:pos="137"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00"/>
      </w:cols>
      <w:pgMar w:left="280" w:top="15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5"/>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1"/>
      <w:numFmt w:val="decimal"/>
      <w:start w:val="959"/>
    </w:lvl>
  </w:abstractNum>
  <w:abstractNum w:abstractNumId="4">
    <w:nsid w:val="3D1B58BA"/>
    <w:multiLevelType w:val="hybridMultilevel"/>
    <w:lvl w:ilvl="0">
      <w:lvlJc w:val="left"/>
      <w:lvlText w:val="%1."/>
      <w:numFmt w:val="decimal"/>
      <w:start w:val="7"/>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2020-01-16T03:36:55Z</dcterms:created>
  <dcterms:modified xsi:type="dcterms:W3CDTF">2020-01-16T03:36:55Z</dcterms:modified>
</cp:coreProperties>
</file>