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20" w:type="dxa"/>
            <w:vAlign w:val="bottom"/>
            <w:vMerge w:val="restart"/>
          </w:tcPr>
          <w:p>
            <w:pPr>
              <w:jc w:val="center"/>
              <w:ind w:right="29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23495</wp:posOffset>
            </wp:positionV>
            <wp:extent cx="7278370"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03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520"/>
            <w:col w:w="8740"/>
          </w:cols>
          <w:pgMar w:left="240" w:top="217"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KAFU HOLDINGS, L.P.</w:t>
        </w:r>
      </w:hyperlink>
    </w:p>
    <w:p>
      <w:pPr>
        <w:spacing w:after="0" w:line="28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1000"/>
        <w:spacing w:after="0" w:line="343" w:lineRule="auto"/>
        <w:rPr>
          <w:sz w:val="20"/>
          <w:szCs w:val="20"/>
          <w:color w:val="auto"/>
        </w:rPr>
      </w:pPr>
      <w:r>
        <w:rPr>
          <w:rFonts w:ascii="Times New Roman" w:cs="Times New Roman" w:eastAsia="Times New Roman" w:hAnsi="Times New Roman"/>
          <w:sz w:val="17"/>
          <w:szCs w:val="17"/>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127"/>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PLAINS GP HOLDINGS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PAGP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11/25/2013</w:t>
      </w:r>
    </w:p>
    <w:p>
      <w:pPr>
        <w:spacing w:after="0" w:line="20" w:lineRule="exact"/>
        <w:rPr>
          <w:sz w:val="24"/>
          <w:szCs w:val="24"/>
          <w:color w:val="auto"/>
        </w:rPr>
      </w:pPr>
      <w:r>
        <w:rPr>
          <w:sz w:val="24"/>
          <w:szCs w:val="24"/>
          <w:color w:val="auto"/>
        </w:rPr>
        <w:br w:type="column"/>
      </w:r>
    </w:p>
    <w:p>
      <w:pPr>
        <w:ind w:left="-7" w:right="760" w:firstLine="7"/>
        <w:spacing w:after="0" w:line="26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3"/>
        <w:spacing w:after="0"/>
        <w:tabs>
          <w:tab w:leader="none" w:pos="512" w:val="left"/>
          <w:tab w:leader="none" w:pos="1832" w:val="left"/>
          <w:tab w:leader="none" w:pos="2152"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58"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33"/>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7" w:lineRule="exact"/>
        <w:rPr>
          <w:sz w:val="24"/>
          <w:szCs w:val="24"/>
          <w:color w:val="auto"/>
        </w:rPr>
      </w:pPr>
    </w:p>
    <w:p>
      <w:pPr>
        <w:sectPr>
          <w:pgSz w:w="11900" w:h="16838" w:orient="portrait"/>
          <w:cols w:equalWidth="0" w:num="3">
            <w:col w:w="3340" w:space="720"/>
            <w:col w:w="3267" w:space="720"/>
            <w:col w:w="3473"/>
          </w:cols>
          <w:pgMar w:left="240" w:top="217" w:right="13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Borders>
              <w:right w:val="single" w:sz="8" w:color="9A9A9A"/>
            </w:tcBorders>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50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400" w:type="dxa"/>
            <w:vAlign w:val="bottom"/>
            <w:shd w:val="clear" w:color="auto" w:fill="9A9A9A"/>
          </w:tcPr>
          <w:p>
            <w:pPr>
              <w:spacing w:after="0"/>
              <w:rPr>
                <w:sz w:val="2"/>
                <w:szCs w:val="2"/>
                <w:color w:val="auto"/>
              </w:rPr>
            </w:pPr>
          </w:p>
        </w:tc>
        <w:tc>
          <w:tcPr>
            <w:tcW w:w="1280" w:type="dxa"/>
            <w:vAlign w:val="bottom"/>
            <w:tcBorders>
              <w:right w:val="single" w:sz="8" w:color="9A9A9A"/>
            </w:tcBorders>
            <w:shd w:val="clear" w:color="auto" w:fill="9A9A9A"/>
          </w:tcPr>
          <w:p>
            <w:pPr>
              <w:spacing w:after="0"/>
              <w:rPr>
                <w:sz w:val="2"/>
                <w:szCs w:val="2"/>
                <w:color w:val="auto"/>
              </w:rPr>
            </w:pPr>
          </w:p>
        </w:tc>
        <w:tc>
          <w:tcPr>
            <w:tcW w:w="120" w:type="dxa"/>
            <w:vAlign w:val="bottom"/>
          </w:tcPr>
          <w:p>
            <w:pPr>
              <w:spacing w:after="0"/>
              <w:rPr>
                <w:sz w:val="2"/>
                <w:szCs w:val="2"/>
                <w:color w:val="auto"/>
              </w:rPr>
            </w:pPr>
          </w:p>
        </w:tc>
        <w:tc>
          <w:tcPr>
            <w:tcW w:w="3720" w:type="dxa"/>
            <w:vAlign w:val="bottom"/>
            <w:gridSpan w:val="8"/>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gridSpan w:val="8"/>
            <w:vMerge w:val="continue"/>
          </w:tcPr>
          <w:p>
            <w:pPr>
              <w:spacing w:after="0"/>
              <w:rPr>
                <w:sz w:val="10"/>
                <w:szCs w:val="10"/>
                <w:color w:val="auto"/>
              </w:rPr>
            </w:pPr>
          </w:p>
        </w:tc>
        <w:tc>
          <w:tcPr>
            <w:tcW w:w="37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77002</w:t>
            </w:r>
          </w:p>
        </w:tc>
        <w:tc>
          <w:tcPr>
            <w:tcW w:w="120" w:type="dxa"/>
            <w:vAlign w:val="bottom"/>
          </w:tcPr>
          <w:p>
            <w:pPr>
              <w:spacing w:after="0"/>
              <w:rPr>
                <w:sz w:val="14"/>
                <w:szCs w:val="14"/>
                <w:color w:val="auto"/>
              </w:rPr>
            </w:pPr>
          </w:p>
        </w:tc>
        <w:tc>
          <w:tcPr>
            <w:tcW w:w="1540" w:type="dxa"/>
            <w:vAlign w:val="bottom"/>
            <w:gridSpan w:val="4"/>
          </w:tcPr>
          <w:p>
            <w:pPr>
              <w:ind w:left="40"/>
              <w:spacing w:after="0" w:line="167" w:lineRule="exact"/>
              <w:rPr>
                <w:sz w:val="20"/>
                <w:szCs w:val="20"/>
                <w:color w:val="auto"/>
              </w:rPr>
            </w:pPr>
            <w:r>
              <w:rPr>
                <w:rFonts w:ascii="Times New Roman" w:cs="Times New Roman" w:eastAsia="Times New Roman" w:hAnsi="Times New Roman"/>
                <w:sz w:val="17"/>
                <w:szCs w:val="17"/>
                <w:color w:val="0000FF"/>
              </w:rPr>
              <w:t>11/26/2013</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5"/>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3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7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gridSpan w:val="2"/>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2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8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14"/>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ind w:left="900"/>
              <w:spacing w:after="0" w:line="124"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4"/>
          </w:tcPr>
          <w:p>
            <w:pPr>
              <w:ind w:left="14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gridSpan w:val="5"/>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(I) (Instr. 4)</w:t>
            </w:r>
          </w:p>
        </w:tc>
        <w:tc>
          <w:tcPr>
            <w:tcW w:w="3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vMerge w:val="continue"/>
          </w:tcPr>
          <w:p>
            <w:pPr>
              <w:spacing w:after="0"/>
              <w:rPr>
                <w:sz w:val="11"/>
                <w:szCs w:val="11"/>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28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20" w:type="dxa"/>
            <w:vAlign w:val="bottom"/>
            <w:gridSpan w:val="12"/>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93"/>
              </w:rPr>
              <w:t>8)</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10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continue"/>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50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340" w:type="dxa"/>
            <w:vAlign w:val="bottom"/>
          </w:tcPr>
          <w:p>
            <w:pPr>
              <w:spacing w:after="0"/>
              <w:rPr>
                <w:sz w:val="15"/>
                <w:szCs w:val="15"/>
                <w:color w:val="auto"/>
              </w:rPr>
            </w:pPr>
          </w:p>
        </w:tc>
        <w:tc>
          <w:tcPr>
            <w:tcW w:w="88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11/25/2013</w:t>
            </w:r>
          </w:p>
        </w:tc>
        <w:tc>
          <w:tcPr>
            <w:tcW w:w="1280" w:type="dxa"/>
            <w:vAlign w:val="bottom"/>
          </w:tcPr>
          <w:p>
            <w:pPr>
              <w:spacing w:after="0"/>
              <w:rPr>
                <w:sz w:val="15"/>
                <w:szCs w:val="15"/>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78"/>
              </w:rPr>
              <w:t>J</w:t>
            </w: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w w:val="77"/>
              </w:rPr>
              <w:t>(3)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492,791</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Class A</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492,791</w:t>
            </w:r>
          </w:p>
        </w:tc>
        <w:tc>
          <w:tcPr>
            <w:tcW w:w="20" w:type="dxa"/>
            <w:vAlign w:val="bottom"/>
          </w:tcPr>
          <w:p>
            <w:pPr>
              <w:spacing w:after="0"/>
              <w:rPr>
                <w:sz w:val="15"/>
                <w:szCs w:val="15"/>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104,161,328</w:t>
            </w: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008000"/>
                <w:w w:val="85"/>
              </w:rPr>
              <w:t>(1)(2)</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8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6"/>
                <w:szCs w:val="6"/>
                <w:color w:val="0000FF"/>
              </w:rPr>
              <w:t>Footnotes</w:t>
            </w:r>
            <w:r>
              <w:rPr>
                <w:rFonts w:ascii="Times New Roman" w:cs="Times New Roman" w:eastAsia="Times New Roman" w:hAnsi="Times New Roman"/>
                <w:sz w:val="8"/>
                <w:szCs w:val="8"/>
                <w:color w:val="008000"/>
                <w:vertAlign w:val="superscript"/>
              </w:rPr>
              <w:t>(1)(2)</w:t>
            </w: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ind w:left="80"/>
              <w:spacing w:after="0" w:line="69" w:lineRule="exact"/>
              <w:rPr>
                <w:sz w:val="20"/>
                <w:szCs w:val="20"/>
                <w:color w:val="auto"/>
              </w:rPr>
            </w:pPr>
            <w:r>
              <w:rPr>
                <w:rFonts w:ascii="Times New Roman" w:cs="Times New Roman" w:eastAsia="Times New Roman" w:hAnsi="Times New Roman"/>
                <w:sz w:val="8"/>
                <w:szCs w:val="8"/>
                <w:color w:val="0000FF"/>
                <w:vertAlign w:val="subscript"/>
              </w:rPr>
              <w:t>Shares</w:t>
            </w:r>
            <w:r>
              <w:rPr>
                <w:rFonts w:ascii="Times New Roman" w:cs="Times New Roman" w:eastAsia="Times New Roman" w:hAnsi="Times New Roman"/>
                <w:sz w:val="6"/>
                <w:szCs w:val="6"/>
                <w:color w:val="008000"/>
              </w:rPr>
              <w:t>(1)(2)</w:t>
            </w: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980" w:type="dxa"/>
            <w:vAlign w:val="bottom"/>
            <w:tcBorders>
              <w:bottom w:val="single" w:sz="8" w:color="2C2C2C"/>
            </w:tcBorders>
            <w:gridSpan w:val="4"/>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6"/>
          </w:tcPr>
          <w:p>
            <w:pPr>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KAFU HOLDINGS, L.P.</w:t>
              </w:r>
            </w:hyperlink>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280" w:type="dxa"/>
            <w:vAlign w:val="bottom"/>
          </w:tcPr>
          <w:p>
            <w:pPr>
              <w:ind w:left="4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1800 AVENUE OF THE STARS</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3RD FLOOR</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2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280" w:type="dxa"/>
            <w:vAlign w:val="bottom"/>
          </w:tcPr>
          <w:p>
            <w:pPr>
              <w:ind w:left="4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6"/>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KAFU Holdings II, L.P.</w:t>
              </w:r>
            </w:hyperlink>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280" w:type="dxa"/>
            <w:vAlign w:val="bottom"/>
          </w:tcPr>
          <w:p>
            <w:pPr>
              <w:ind w:left="4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1800 AVENUE OF THE STARS</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3RD FLOOR</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2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90067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280" w:type="dxa"/>
            <w:vAlign w:val="bottom"/>
          </w:tcPr>
          <w:p>
            <w:pPr>
              <w:ind w:left="4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11"/>
          </w:tcPr>
          <w:p>
            <w:pPr>
              <w:spacing w:after="0" w:line="219"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KAYNE ANDERSON CAPITAL ADVISORS LP</w:t>
              </w:r>
            </w:hyperlink>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280" w:type="dxa"/>
            <w:vAlign w:val="bottom"/>
          </w:tcPr>
          <w:p>
            <w:pPr>
              <w:ind w:left="4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-5784215</wp:posOffset>
            </wp:positionV>
            <wp:extent cx="24130" cy="1711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11960"/>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AVENUE OF THE STARS</w:t>
      </w:r>
    </w:p>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3RD FLOOR</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17" w:right="139" w:bottom="0" w:gutter="0" w:footer="0" w:header="0"/>
          <w:type w:val="continuous"/>
        </w:sectPr>
      </w:pPr>
    </w:p>
    <w:p>
      <w:pPr>
        <w:spacing w:after="0" w:line="35" w:lineRule="exact"/>
        <w:rPr>
          <w:sz w:val="20"/>
          <w:szCs w:val="20"/>
          <w:color w:val="auto"/>
        </w:rPr>
      </w:pPr>
    </w:p>
    <w:p>
      <w:pPr>
        <w:ind w:left="120"/>
        <w:spacing w:after="0"/>
        <w:tabs>
          <w:tab w:leader="none" w:pos="1560" w:val="left"/>
          <w:tab w:leader="none" w:pos="3020" w:val="left"/>
        </w:tabs>
        <w:rPr>
          <w:sz w:val="20"/>
          <w:szCs w:val="20"/>
          <w:color w:val="auto"/>
        </w:rPr>
      </w:pPr>
      <w:r>
        <w:rPr>
          <w:rFonts w:ascii="Times New Roman" w:cs="Times New Roman" w:eastAsia="Times New Roman" w:hAnsi="Times New Roman"/>
          <w:sz w:val="17"/>
          <w:szCs w:val="17"/>
          <w:color w:val="0000FF"/>
        </w:rPr>
        <w:t>LOS ANGELES</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90067</w:t>
      </w:r>
    </w:p>
    <w:p>
      <w:pPr>
        <w:sectPr>
          <w:pgSz w:w="11900" w:h="16838" w:orient="portrait"/>
          <w:cols w:equalWidth="0" w:num="1">
            <w:col w:w="11520"/>
          </w:cols>
          <w:pgMar w:left="240" w:top="217"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-83820</wp:posOffset>
            </wp:positionV>
            <wp:extent cx="2923540" cy="176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3540" cy="17653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2"/>
        <w:spacing w:after="0" w:line="237"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KAFU Holdings, L.P. and KAFU Holdings II, L.P. (colelctively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will have the right at any time (without expiration) to immediately exchange (the "Exchange Right") its Class A units in AAP together with a like number of Class B shares and the GP Units, for a like number of Class A shares of the Issuer.</w:t>
      </w:r>
    </w:p>
    <w:p>
      <w:pPr>
        <w:spacing w:after="0" w:line="28" w:lineRule="exact"/>
        <w:rPr>
          <w:rFonts w:ascii="Times New Roman" w:cs="Times New Roman" w:eastAsia="Times New Roman" w:hAnsi="Times New Roman"/>
          <w:sz w:val="13"/>
          <w:szCs w:val="13"/>
          <w:color w:val="008000"/>
        </w:rPr>
      </w:pPr>
    </w:p>
    <w:p>
      <w:pPr>
        <w:jc w:val="both"/>
        <w:ind w:right="380" w:firstLine="2"/>
        <w:spacing w:after="0" w:line="291" w:lineRule="auto"/>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in-kind distribution to a KAFU Holdings, L.P. limited partner for the sole purpose of affecting a charitable gift.</w:t>
      </w:r>
    </w:p>
    <w:p>
      <w:pPr>
        <w:spacing w:after="0" w:line="55"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David Shladovsky</w:t>
            </w:r>
          </w:p>
        </w:tc>
        <w:tc>
          <w:tcPr>
            <w:tcW w:w="10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12/31/2013</w:t>
            </w:r>
          </w:p>
        </w:tc>
      </w:tr>
      <w:tr>
        <w:trPr>
          <w:trHeight w:val="226"/>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88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87"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2019-12-06T12:50:08Z</dcterms:created>
  <dcterms:modified xsi:type="dcterms:W3CDTF">2019-12-06T12:50:08Z</dcterms:modified>
</cp:coreProperties>
</file>