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6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November 2, 2022</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19"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080"/>
          </w:cols>
          <w:pgMar w:left="320" w:top="1274" w:right="499" w:bottom="1440" w:gutter="0" w:footer="0" w:header="0"/>
          <w:type w:val="continuous"/>
        </w:sectPr>
      </w:pPr>
    </w:p>
    <w:p>
      <w:pPr>
        <w:spacing w:after="0" w:line="31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0"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(Address of principal executive offices) (Zip Code)</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97"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firstLine="172"/>
        <w:spacing w:after="0" w:line="285" w:lineRule="auto"/>
        <w:rPr>
          <w:sz w:val="20"/>
          <w:szCs w:val="20"/>
          <w:color w:val="auto"/>
        </w:rPr>
      </w:pPr>
      <w:r>
        <w:rPr>
          <w:rFonts w:ascii="Arial" w:cs="Arial" w:eastAsia="Arial" w:hAnsi="Arial"/>
          <w:sz w:val="16"/>
          <w:szCs w:val="16"/>
          <w:color w:val="auto"/>
        </w:rPr>
        <w:t>On November 2, 2022, the Registrant issued a press release reporting its third-quarter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6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4"/>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Number</w:t>
            </w: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color w:val="auto"/>
                <w:w w:val="90"/>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color w:val="0000FF"/>
              </w:rPr>
              <w:t>Press Release dated November 2, 2022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820" w:hanging="783"/>
        <w:spacing w:after="0"/>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6"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8" w:right="4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82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640" w:type="dxa"/>
        <w:tblCellMar>
          <w:top w:w="0" w:type="dxa"/>
          <w:left w:w="0" w:type="dxa"/>
          <w:bottom w:w="0" w:type="dxa"/>
          <w:right w:w="0" w:type="dxa"/>
        </w:tblCellMar>
      </w:tblPr>
      <w:tr>
        <w:trPr>
          <w:trHeight w:val="219"/>
        </w:trPr>
        <w:tc>
          <w:tcPr>
            <w:tcW w:w="3100" w:type="dxa"/>
            <w:vAlign w:val="bottom"/>
          </w:tcPr>
          <w:p>
            <w:pPr>
              <w:spacing w:after="0"/>
              <w:rPr>
                <w:sz w:val="19"/>
                <w:szCs w:val="19"/>
                <w:color w:val="auto"/>
              </w:rPr>
            </w:pPr>
          </w:p>
        </w:tc>
        <w:tc>
          <w:tcPr>
            <w:tcW w:w="7600" w:type="dxa"/>
            <w:vAlign w:val="bottom"/>
            <w:gridSpan w:val="3"/>
          </w:tcPr>
          <w:p>
            <w:pPr>
              <w:ind w:left="1420"/>
              <w:spacing w:after="0"/>
              <w:rPr>
                <w:sz w:val="20"/>
                <w:szCs w:val="20"/>
                <w:color w:val="auto"/>
              </w:rPr>
            </w:pPr>
            <w:r>
              <w:rPr>
                <w:rFonts w:ascii="Arial" w:cs="Arial" w:eastAsia="Arial" w:hAnsi="Arial"/>
                <w:sz w:val="17"/>
                <w:szCs w:val="17"/>
                <w:color w:val="auto"/>
              </w:rPr>
              <w:t>PLAINS GP HOLDINGS, L.P.</w:t>
            </w:r>
          </w:p>
        </w:tc>
      </w:tr>
      <w:tr>
        <w:trPr>
          <w:trHeight w:val="478"/>
        </w:trPr>
        <w:tc>
          <w:tcPr>
            <w:tcW w:w="3100" w:type="dxa"/>
            <w:vAlign w:val="bottom"/>
          </w:tcPr>
          <w:p>
            <w:pPr>
              <w:spacing w:after="0"/>
              <w:rPr>
                <w:sz w:val="24"/>
                <w:szCs w:val="24"/>
                <w:color w:val="auto"/>
              </w:rPr>
            </w:pPr>
          </w:p>
        </w:tc>
        <w:tc>
          <w:tcPr>
            <w:tcW w:w="1860" w:type="dxa"/>
            <w:vAlign w:val="bottom"/>
          </w:tcPr>
          <w:p>
            <w:pPr>
              <w:ind w:left="1420"/>
              <w:spacing w:after="0"/>
              <w:rPr>
                <w:sz w:val="20"/>
                <w:szCs w:val="20"/>
                <w:color w:val="auto"/>
              </w:rPr>
            </w:pPr>
            <w:r>
              <w:rPr>
                <w:rFonts w:ascii="Arial" w:cs="Arial" w:eastAsia="Arial" w:hAnsi="Arial"/>
                <w:sz w:val="17"/>
                <w:szCs w:val="17"/>
                <w:color w:val="auto"/>
              </w:rPr>
              <w:t>By:</w:t>
            </w:r>
          </w:p>
        </w:tc>
        <w:tc>
          <w:tcPr>
            <w:tcW w:w="5740" w:type="dxa"/>
            <w:vAlign w:val="bottom"/>
            <w:gridSpan w:val="2"/>
          </w:tcPr>
          <w:p>
            <w:pPr>
              <w:ind w:left="2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3100" w:type="dxa"/>
            <w:vAlign w:val="bottom"/>
          </w:tcPr>
          <w:p>
            <w:pPr>
              <w:spacing w:after="0"/>
              <w:rPr>
                <w:sz w:val="20"/>
                <w:szCs w:val="20"/>
                <w:color w:val="auto"/>
              </w:rPr>
            </w:pPr>
            <w:r>
              <w:rPr>
                <w:rFonts w:ascii="Arial" w:cs="Arial" w:eastAsia="Arial" w:hAnsi="Arial"/>
                <w:sz w:val="17"/>
                <w:szCs w:val="17"/>
                <w:color w:val="auto"/>
              </w:rPr>
              <w:t>Date: November 2, 2022</w:t>
            </w:r>
          </w:p>
        </w:tc>
        <w:tc>
          <w:tcPr>
            <w:tcW w:w="1860" w:type="dxa"/>
            <w:vAlign w:val="bottom"/>
          </w:tcPr>
          <w:p>
            <w:pPr>
              <w:ind w:left="1420"/>
              <w:spacing w:after="0"/>
              <w:rPr>
                <w:sz w:val="20"/>
                <w:szCs w:val="20"/>
                <w:color w:val="auto"/>
              </w:rPr>
            </w:pPr>
            <w:r>
              <w:rPr>
                <w:rFonts w:ascii="Arial" w:cs="Arial" w:eastAsia="Arial" w:hAnsi="Arial"/>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Al Swanson</w:t>
            </w:r>
          </w:p>
        </w:tc>
      </w:tr>
      <w:tr>
        <w:trPr>
          <w:trHeight w:val="213"/>
        </w:trPr>
        <w:tc>
          <w:tcPr>
            <w:tcW w:w="3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Name:</w:t>
            </w:r>
          </w:p>
        </w:tc>
        <w:tc>
          <w:tcPr>
            <w:tcW w:w="5100" w:type="dxa"/>
            <w:vAlign w:val="bottom"/>
          </w:tcPr>
          <w:p>
            <w:pPr>
              <w:ind w:left="180"/>
              <w:spacing w:after="0"/>
              <w:rPr>
                <w:sz w:val="20"/>
                <w:szCs w:val="20"/>
                <w:color w:val="auto"/>
              </w:rPr>
            </w:pPr>
            <w:r>
              <w:rPr>
                <w:rFonts w:ascii="Arial" w:cs="Arial" w:eastAsia="Arial" w:hAnsi="Arial"/>
                <w:sz w:val="17"/>
                <w:szCs w:val="17"/>
                <w:color w:val="auto"/>
              </w:rPr>
              <w:t>Al Swanson</w:t>
            </w:r>
          </w:p>
        </w:tc>
      </w:tr>
      <w:tr>
        <w:trPr>
          <w:trHeight w:val="220"/>
        </w:trPr>
        <w:tc>
          <w:tcPr>
            <w:tcW w:w="3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Title:</w:t>
            </w:r>
          </w:p>
        </w:tc>
        <w:tc>
          <w:tcPr>
            <w:tcW w:w="5100" w:type="dxa"/>
            <w:vAlign w:val="bottom"/>
          </w:tcPr>
          <w:p>
            <w:pPr>
              <w:ind w:left="18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Plains All American Reports Third-Quarter 2022 Results, Increases 2022 Guidance and Announces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Multi-Year Capital Allocation Framework</w:t>
      </w:r>
    </w:p>
    <w:p>
      <w:pPr>
        <w:spacing w:after="0" w:line="209"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Houston, TX – November 2, 2022 – Plains All American Pipeline, L.P. (Nasdaq: PAA) and Plains GP Holdings (Nasdaq: PAGP) today reported third-quarter 2022 results and provided the following highlights and increase to 2022 guidance:</w:t>
      </w:r>
    </w:p>
    <w:p>
      <w:pPr>
        <w:spacing w:after="0" w:line="18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Third-quarter Net income attributable to PAA of $384 million and Net cash provided by operating activities of $941 million</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Delivered strong third-quarter Adjusted EBITDA attributable to PAA of $623 million</w:t>
      </w:r>
    </w:p>
    <w:p>
      <w:pPr>
        <w:spacing w:after="0" w:line="243" w:lineRule="exact"/>
        <w:rPr>
          <w:rFonts w:ascii="Arial" w:cs="Arial" w:eastAsia="Arial" w:hAnsi="Arial"/>
          <w:sz w:val="17"/>
          <w:szCs w:val="17"/>
          <w:color w:val="auto"/>
        </w:rPr>
      </w:pPr>
    </w:p>
    <w:p>
      <w:pPr>
        <w:ind w:left="620" w:right="240" w:hanging="307"/>
        <w:spacing w:after="0" w:line="353"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guidance for full-year 2022 Adjusted EBITDA attributable to PAA by $75 million to +/- $2.450 billion, representing a $250 million increase compared to initial February 2022 guidance as a result of increased Permian tariff volumes, higher commodity prices and margin-based opportunities</w:t>
      </w:r>
    </w:p>
    <w:p>
      <w:pPr>
        <w:spacing w:after="0" w:line="138" w:lineRule="exact"/>
        <w:rPr>
          <w:rFonts w:ascii="Arial" w:cs="Arial" w:eastAsia="Arial" w:hAnsi="Arial"/>
          <w:sz w:val="15"/>
          <w:szCs w:val="15"/>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Achieved leverage ratio below the mid-point (4.0x) of targeted range, expect year-end 2022 leverage of +/- 3.8x</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Allocation Framework Update</w:t>
      </w:r>
    </w:p>
    <w:p>
      <w:pPr>
        <w:spacing w:after="0" w:line="244" w:lineRule="exact"/>
        <w:rPr>
          <w:sz w:val="20"/>
          <w:szCs w:val="20"/>
          <w:color w:val="auto"/>
        </w:rPr>
      </w:pPr>
    </w:p>
    <w:p>
      <w:pPr>
        <w:ind w:right="40" w:firstLine="620"/>
        <w:spacing w:after="0" w:line="263" w:lineRule="auto"/>
        <w:rPr>
          <w:sz w:val="20"/>
          <w:szCs w:val="20"/>
          <w:color w:val="auto"/>
        </w:rPr>
      </w:pPr>
      <w:r>
        <w:rPr>
          <w:rFonts w:ascii="Arial" w:cs="Arial" w:eastAsia="Arial" w:hAnsi="Arial"/>
          <w:sz w:val="17"/>
          <w:szCs w:val="17"/>
          <w:color w:val="auto"/>
        </w:rPr>
        <w:t>Plains has made significant progress on strengthening its financial position and continues to execute on its long-term goals of generating meaningful Free Cash Flow, maintaining capital discipline, improving financial flexibility, and increasing returns of capital to equity holders via both distribution growth and opportunistic equity repurchases. Plains has achieved leverage below the mid-point of its targeted leverage range well ahead of expectations entering 2022 and now anticipates exiting the year with a leverage ratio of approximately 3.8x.</w:t>
      </w:r>
    </w:p>
    <w:p>
      <w:pPr>
        <w:spacing w:after="0" w:line="203" w:lineRule="exact"/>
        <w:rPr>
          <w:sz w:val="20"/>
          <w:szCs w:val="20"/>
          <w:color w:val="auto"/>
        </w:rPr>
      </w:pPr>
    </w:p>
    <w:p>
      <w:pPr>
        <w:ind w:right="640" w:firstLine="310"/>
        <w:spacing w:after="0" w:line="283" w:lineRule="auto"/>
        <w:rPr>
          <w:sz w:val="20"/>
          <w:szCs w:val="20"/>
          <w:color w:val="auto"/>
        </w:rPr>
      </w:pPr>
      <w:r>
        <w:rPr>
          <w:rFonts w:ascii="Arial" w:cs="Arial" w:eastAsia="Arial" w:hAnsi="Arial"/>
          <w:sz w:val="17"/>
          <w:szCs w:val="17"/>
          <w:color w:val="auto"/>
        </w:rPr>
        <w:t>Given the progress made on deleveraging, solid financial and operating performance, and confidence in the long-term outlook of the business, we are providing the following multi-year capital allocation and financial framework:</w:t>
      </w:r>
    </w:p>
    <w:p>
      <w:pPr>
        <w:spacing w:after="0" w:line="185" w:lineRule="exact"/>
        <w:rPr>
          <w:sz w:val="20"/>
          <w:szCs w:val="20"/>
          <w:color w:val="auto"/>
        </w:rPr>
      </w:pPr>
    </w:p>
    <w:p>
      <w:pPr>
        <w:ind w:left="620" w:right="20" w:hanging="307"/>
        <w:spacing w:after="0" w:line="268"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currently intends to recommend to the Board of Directors of PAA GP Holdings LLC (“the Plains Board”) an annualized increase of $0.20 to PAA’s and PAGP’s fourth-quarter 2022 distribution payable in February 2023 (one quarter earlier than our standard beginning-of-the-year annual budgeting process), which would increase the annualized rate from $0.87 to $1.07 per common unit and Class A share</w:t>
      </w:r>
    </w:p>
    <w:p>
      <w:pPr>
        <w:spacing w:after="0" w:line="197" w:lineRule="exact"/>
        <w:rPr>
          <w:rFonts w:ascii="Arial" w:cs="Arial" w:eastAsia="Arial" w:hAnsi="Arial"/>
          <w:sz w:val="17"/>
          <w:szCs w:val="17"/>
          <w:color w:val="auto"/>
        </w:rPr>
      </w:pPr>
    </w:p>
    <w:p>
      <w:pPr>
        <w:ind w:left="620" w:right="1040" w:hanging="307"/>
        <w:spacing w:after="0" w:line="353"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color w:val="auto"/>
        </w:rPr>
        <w:t>Beyond 2023, as part of its standard annual review process, management anticipates targeting annualized common distribution increases of approximately $0.15 per unit each year until reaching a targeted Common Unit Distribution Coverage Ratio of approximately 160%</w:t>
      </w:r>
    </w:p>
    <w:p>
      <w:pPr>
        <w:spacing w:after="0" w:line="138" w:lineRule="exact"/>
        <w:rPr>
          <w:rFonts w:ascii="Arial" w:cs="Arial" w:eastAsia="Arial" w:hAnsi="Arial"/>
          <w:sz w:val="15"/>
          <w:szCs w:val="15"/>
          <w:color w:val="auto"/>
        </w:rPr>
      </w:pPr>
    </w:p>
    <w:p>
      <w:pPr>
        <w:ind w:left="620" w:right="22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Maintaining capital discipline, enhancing financial flexibility and achieving mid-BBB/Baa credit ratings remain top priorities; management anticipates leverage migrating below the low-end of the targeted 3.75x - 4.25x range in 2023</w:t>
      </w:r>
    </w:p>
    <w:p>
      <w:pPr>
        <w:spacing w:after="0" w:line="18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Opportunistic unit repurchases will remain a component of our long-term capital allocation framework</w:t>
      </w:r>
    </w:p>
    <w:p>
      <w:pPr>
        <w:spacing w:after="0" w:line="244" w:lineRule="exact"/>
        <w:rPr>
          <w:sz w:val="20"/>
          <w:szCs w:val="20"/>
          <w:color w:val="auto"/>
        </w:rPr>
      </w:pPr>
    </w:p>
    <w:p>
      <w:pPr>
        <w:ind w:right="40" w:firstLine="620"/>
        <w:spacing w:after="0" w:line="261" w:lineRule="auto"/>
        <w:rPr>
          <w:sz w:val="20"/>
          <w:szCs w:val="20"/>
          <w:color w:val="auto"/>
        </w:rPr>
      </w:pPr>
      <w:r>
        <w:rPr>
          <w:rFonts w:ascii="Arial" w:cs="Arial" w:eastAsia="Arial" w:hAnsi="Arial"/>
          <w:sz w:val="17"/>
          <w:szCs w:val="17"/>
          <w:color w:val="auto"/>
        </w:rPr>
        <w:t>“We continue to execute, and we maintain a constructive view of long-term global energy fundamentals. We also believe our business has reached a positive inflection point, and we are pleased to be achieving our leverage objectives earlier than anticipated, allowing us to increase returns of capital to equity holders in a prudent, long-term manner,” stated Willie Chiang, Chairman and CEO of Plains. “Given the positive outlook for our business, operating leverage across our crude oil and NGL footprints and continued focus on capital discipline, we are positioned to continue generating Free Cash Flow and increasing returns to our equity holders over multiple years while further enhancing our financial flexibility.”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25" w:lineRule="exact"/>
        <w:rPr>
          <w:sz w:val="20"/>
          <w:szCs w:val="20"/>
          <w:color w:val="auto"/>
        </w:rPr>
      </w:pPr>
    </w:p>
    <w:p>
      <w:pPr>
        <w:ind w:right="80" w:firstLine="620"/>
        <w:spacing w:after="0" w:line="261" w:lineRule="auto"/>
        <w:rPr>
          <w:sz w:val="20"/>
          <w:szCs w:val="20"/>
          <w:color w:val="auto"/>
        </w:rPr>
      </w:pPr>
      <w:r>
        <w:rPr>
          <w:rFonts w:ascii="Arial" w:cs="Arial" w:eastAsia="Arial" w:hAnsi="Arial"/>
          <w:sz w:val="17"/>
          <w:szCs w:val="17"/>
          <w:color w:val="auto"/>
        </w:rPr>
        <w:t>Consistent with past practice, the Plains Board will consider management’s recommendation prior to its approval and declaration of the distribution for the fourth quarter of 2022, payable in February of 2023. Moving forward, Plains management intends to review specific capital allocation recommendations with the Plains Board during its standard beginning-of-the-year annual budgeting process with any future adjustments occurring in the first quarter of each calendar year and payable in May. Future recommendations will be subject to financial positioning, investment opportunities and the general outlook for business, industry and macro economy.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income/(loss)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Diluted net income/(loss)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(0.15)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0.89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941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00" w:type="dxa"/>
            <w:vAlign w:val="bottom"/>
            <w:tcBorders>
              <w:bottom w:val="single" w:sz="8" w:color="auto"/>
            </w:tcBorders>
          </w:tcPr>
          <w:p>
            <w:pPr>
              <w:ind w:left="20"/>
              <w:spacing w:after="0" w:line="194"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7"/>
                <w:szCs w:val="17"/>
                <w:b w:val="1"/>
                <w:bCs w:val="1"/>
                <w:i w:val="1"/>
                <w:i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0.22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0.93</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1,851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1,631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1,093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1,615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53" w:lineRule="auto"/>
        <w:tabs>
          <w:tab w:leader="none" w:pos="30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9" w:lineRule="exact"/>
        <w:rPr>
          <w:rFonts w:ascii="Arial" w:cs="Arial" w:eastAsia="Arial" w:hAnsi="Arial"/>
          <w:sz w:val="21"/>
          <w:szCs w:val="21"/>
          <w:color w:val="auto"/>
          <w:vertAlign w:val="superscript"/>
        </w:rPr>
      </w:pPr>
    </w:p>
    <w:p>
      <w:pPr>
        <w:ind w:left="320" w:right="380" w:hanging="317"/>
        <w:spacing w:after="0" w:line="228" w:lineRule="auto"/>
        <w:tabs>
          <w:tab w:leader="none" w:pos="30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(the “Permian JV’) and Red River Pipeline LLC.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6"/>
                <w:szCs w:val="16"/>
                <w:b w:val="1"/>
                <w:bCs w:val="1"/>
                <w:color w:val="auto"/>
                <w:w w:val="99"/>
              </w:rPr>
              <w:t xml:space="preserve">Segment Adjusted EBITDA </w:t>
            </w:r>
            <w:r>
              <w:rPr>
                <w:rFonts w:ascii="Arial" w:cs="Arial" w:eastAsia="Arial" w:hAnsi="Arial"/>
                <w:sz w:val="20"/>
                <w:szCs w:val="20"/>
                <w:b w:val="1"/>
                <w:bCs w:val="1"/>
                <w:color w:val="auto"/>
                <w:w w:val="99"/>
                <w:vertAlign w:val="superscript"/>
              </w:rPr>
              <w:t>(1) (2)</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2022</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September 30, 2021</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459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17 %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59 %</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2021 period further adjusted for impact of divested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18 %</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59 %</w:t>
            </w:r>
          </w:p>
        </w:tc>
        <w:tc>
          <w:tcPr>
            <w:tcW w:w="0" w:type="dxa"/>
            <w:vAlign w:val="bottom"/>
          </w:tcPr>
          <w:p>
            <w:pPr>
              <w:spacing w:after="0"/>
              <w:rPr>
                <w:sz w:val="1"/>
                <w:szCs w:val="1"/>
                <w:color w:val="auto"/>
              </w:rPr>
            </w:pPr>
          </w:p>
        </w:tc>
      </w:tr>
      <w:tr>
        <w:trPr>
          <w:trHeight w:val="206"/>
        </w:trPr>
        <w:tc>
          <w:tcPr>
            <w:tcW w:w="7860" w:type="dxa"/>
            <w:vAlign w:val="bottom"/>
            <w:gridSpan w:val="2"/>
          </w:tcPr>
          <w:p>
            <w:pPr>
              <w:ind w:left="180"/>
              <w:spacing w:after="0" w:line="206" w:lineRule="exact"/>
              <w:rPr>
                <w:sz w:val="20"/>
                <w:szCs w:val="20"/>
                <w:color w:val="auto"/>
              </w:rPr>
            </w:pPr>
            <w:r>
              <w:rPr>
                <w:rFonts w:ascii="Arial" w:cs="Arial" w:eastAsia="Arial" w:hAnsi="Arial"/>
                <w:sz w:val="17"/>
                <w:szCs w:val="17"/>
                <w:b w:val="1"/>
                <w:bCs w:val="1"/>
                <w:i w:val="1"/>
                <w:iCs w:val="1"/>
                <w:color w:val="auto"/>
              </w:rPr>
              <w:t xml:space="preserve">assets </w:t>
            </w:r>
            <w:r>
              <w:rPr>
                <w:rFonts w:ascii="Arial" w:cs="Arial" w:eastAsia="Arial" w:hAnsi="Arial"/>
                <w:sz w:val="22"/>
                <w:szCs w:val="22"/>
                <w:b w:val="1"/>
                <w:bCs w:val="1"/>
                <w:i w:val="1"/>
                <w:iCs w:val="1"/>
                <w:color w:val="auto"/>
                <w:vertAlign w:val="superscript"/>
              </w:rPr>
              <w:t>(3)</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6"/>
                <w:szCs w:val="16"/>
                <w:b w:val="1"/>
                <w:bCs w:val="1"/>
                <w:color w:val="auto"/>
                <w:w w:val="99"/>
              </w:rPr>
              <w:t xml:space="preserve">Segment Adjusted EBITDA </w:t>
            </w:r>
            <w:r>
              <w:rPr>
                <w:rFonts w:ascii="Arial" w:cs="Arial" w:eastAsia="Arial" w:hAnsi="Arial"/>
                <w:sz w:val="20"/>
                <w:szCs w:val="20"/>
                <w:b w:val="1"/>
                <w:bCs w:val="1"/>
                <w:color w:val="auto"/>
                <w:w w:val="99"/>
                <w:vertAlign w:val="superscript"/>
              </w:rPr>
              <w:t>(1) (2)</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2022</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Nine Months Ended September 30, 2021</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1,486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3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7"/>
                <w:szCs w:val="17"/>
                <w:b w:val="1"/>
                <w:bCs w:val="1"/>
                <w:i w:val="1"/>
                <w:iCs w:val="1"/>
                <w:color w:val="auto"/>
              </w:rPr>
              <w:t>— %</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155 %</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2021 period further adjusted for impact of divested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4 %</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155 %</w:t>
            </w:r>
          </w:p>
        </w:tc>
        <w:tc>
          <w:tcPr>
            <w:tcW w:w="0" w:type="dxa"/>
            <w:vAlign w:val="bottom"/>
          </w:tcPr>
          <w:p>
            <w:pPr>
              <w:spacing w:after="0"/>
              <w:rPr>
                <w:sz w:val="1"/>
                <w:szCs w:val="1"/>
                <w:color w:val="auto"/>
              </w:rPr>
            </w:pPr>
          </w:p>
        </w:tc>
      </w:tr>
      <w:tr>
        <w:trPr>
          <w:trHeight w:val="206"/>
        </w:trPr>
        <w:tc>
          <w:tcPr>
            <w:tcW w:w="7860" w:type="dxa"/>
            <w:vAlign w:val="bottom"/>
            <w:gridSpan w:val="2"/>
          </w:tcPr>
          <w:p>
            <w:pPr>
              <w:ind w:left="180"/>
              <w:spacing w:after="0" w:line="206" w:lineRule="exact"/>
              <w:rPr>
                <w:sz w:val="20"/>
                <w:szCs w:val="20"/>
                <w:color w:val="auto"/>
              </w:rPr>
            </w:pPr>
            <w:r>
              <w:rPr>
                <w:rFonts w:ascii="Arial" w:cs="Arial" w:eastAsia="Arial" w:hAnsi="Arial"/>
                <w:sz w:val="17"/>
                <w:szCs w:val="17"/>
                <w:b w:val="1"/>
                <w:bCs w:val="1"/>
                <w:i w:val="1"/>
                <w:iCs w:val="1"/>
                <w:color w:val="auto"/>
              </w:rPr>
              <w:t xml:space="preserve">assets </w:t>
            </w:r>
            <w:r>
              <w:rPr>
                <w:rFonts w:ascii="Arial" w:cs="Arial" w:eastAsia="Arial" w:hAnsi="Arial"/>
                <w:sz w:val="22"/>
                <w:szCs w:val="22"/>
                <w:b w:val="1"/>
                <w:bCs w:val="1"/>
                <w:i w:val="1"/>
                <w:iCs w:val="1"/>
                <w:color w:val="auto"/>
                <w:vertAlign w:val="superscript"/>
              </w:rPr>
              <w:t>(3)</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80" w:type="dxa"/>
            <w:vAlign w:val="bottom"/>
            <w:tcBorders>
              <w:bottom w:val="single" w:sz="8" w:color="auto"/>
            </w:tcBorders>
          </w:tcPr>
          <w:p>
            <w:pPr>
              <w:spacing w:after="0"/>
              <w:rPr>
                <w:sz w:val="13"/>
                <w:szCs w:val="13"/>
                <w:color w:val="auto"/>
              </w:rPr>
            </w:pPr>
          </w:p>
        </w:tc>
        <w:tc>
          <w:tcPr>
            <w:tcW w:w="3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220" w:hanging="317"/>
        <w:spacing w:after="0" w:line="253" w:lineRule="auto"/>
        <w:tabs>
          <w:tab w:leader="none" w:pos="30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29" w:lineRule="exact"/>
        <w:rPr>
          <w:rFonts w:ascii="Arial" w:cs="Arial" w:eastAsia="Arial" w:hAnsi="Arial"/>
          <w:sz w:val="21"/>
          <w:szCs w:val="21"/>
          <w:color w:val="auto"/>
          <w:vertAlign w:val="superscript"/>
        </w:rPr>
      </w:pPr>
    </w:p>
    <w:p>
      <w:pPr>
        <w:ind w:left="320" w:right="40" w:hanging="317"/>
        <w:spacing w:after="0" w:line="285" w:lineRule="auto"/>
        <w:tabs>
          <w:tab w:leader="none" w:pos="308"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10" w:lineRule="exact"/>
        <w:rPr>
          <w:rFonts w:ascii="Arial" w:cs="Arial" w:eastAsia="Arial" w:hAnsi="Arial"/>
          <w:sz w:val="19"/>
          <w:szCs w:val="19"/>
          <w:color w:val="auto"/>
          <w:vertAlign w:val="superscript"/>
        </w:rPr>
      </w:pPr>
    </w:p>
    <w:p>
      <w:pPr>
        <w:ind w:left="320" w:right="40" w:hanging="317"/>
        <w:spacing w:after="0" w:line="228"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2021, assuming an effective date of January 1, 2021. Divested assets primarily included natural gas storage facilities previously included in our Crude Oil segment.</w:t>
      </w:r>
    </w:p>
    <w:p>
      <w:pPr>
        <w:spacing w:after="0" w:line="323" w:lineRule="exact"/>
        <w:rPr>
          <w:sz w:val="20"/>
          <w:szCs w:val="20"/>
          <w:color w:val="auto"/>
        </w:rPr>
      </w:pPr>
    </w:p>
    <w:p>
      <w:pPr>
        <w:ind w:right="80" w:firstLine="620"/>
        <w:spacing w:after="0" w:line="268" w:lineRule="auto"/>
        <w:rPr>
          <w:sz w:val="20"/>
          <w:szCs w:val="20"/>
          <w:color w:val="auto"/>
        </w:rPr>
      </w:pPr>
      <w:r>
        <w:rPr>
          <w:rFonts w:ascii="Arial" w:cs="Arial" w:eastAsia="Arial" w:hAnsi="Arial"/>
          <w:sz w:val="17"/>
          <w:szCs w:val="17"/>
          <w:color w:val="auto"/>
        </w:rPr>
        <w:t>Third-quarter 2022 Crude Oil Segment Adjusted EBITDA increased 17% versus comparable 2021 results primarily due to (i) higher tariff volumes on our pipelines and higher loss allowance revenue attributable to higher commodity prices and (ii) Canadian margin-based opportunities. These items were partially offset by the impact of asset sales and asset downtime associated with maintenance and repairs.</w:t>
      </w:r>
    </w:p>
    <w:p>
      <w:pPr>
        <w:spacing w:after="0" w:line="198" w:lineRule="exact"/>
        <w:rPr>
          <w:sz w:val="20"/>
          <w:szCs w:val="20"/>
          <w:color w:val="auto"/>
        </w:rPr>
      </w:pPr>
    </w:p>
    <w:p>
      <w:pPr>
        <w:ind w:right="380" w:firstLine="620"/>
        <w:spacing w:after="0" w:line="283" w:lineRule="auto"/>
        <w:rPr>
          <w:sz w:val="20"/>
          <w:szCs w:val="20"/>
          <w:color w:val="auto"/>
        </w:rPr>
      </w:pPr>
      <w:r>
        <w:rPr>
          <w:rFonts w:ascii="Arial" w:cs="Arial" w:eastAsia="Arial" w:hAnsi="Arial"/>
          <w:sz w:val="17"/>
          <w:szCs w:val="17"/>
          <w:color w:val="auto"/>
        </w:rPr>
        <w:t>Third-quarter 2022 NGL Segment Adjusted EBITDA increased 59% versus comparable 2021 results primarily due to the favorable impact of higher realized fractionation spreads between the price of natural gas and the extracted NGL (“frac spreads”).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will hold a joint conference call at 4:30 p.m. CT on Wednesday, November 2, 2022 to discuss the following items:</w:t>
      </w:r>
    </w:p>
    <w:p>
      <w:pPr>
        <w:spacing w:after="0" w:line="115" w:lineRule="exact"/>
        <w:rPr>
          <w:sz w:val="20"/>
          <w:szCs w:val="20"/>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PAA’s third-quarter 2022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Capitalization and liquidity;</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and operating guidance;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Updated multi-year capital allocation framework.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https://edge.media-server.com/mmc/p/u9gkztmh.</w:t>
      </w:r>
    </w:p>
    <w:p>
      <w:pPr>
        <w:spacing w:after="0" w:line="244" w:lineRule="exact"/>
        <w:rPr>
          <w:sz w:val="20"/>
          <w:szCs w:val="20"/>
          <w:color w:val="auto"/>
        </w:rPr>
      </w:pPr>
    </w:p>
    <w:p>
      <w:pPr>
        <w:ind w:right="80" w:firstLine="620"/>
        <w:spacing w:after="0" w:line="263" w:lineRule="auto"/>
        <w:rPr>
          <w:sz w:val="20"/>
          <w:szCs w:val="20"/>
          <w:color w:val="auto"/>
        </w:rPr>
      </w:pPr>
      <w:r>
        <w:rPr>
          <w:rFonts w:ascii="Arial" w:cs="Arial" w:eastAsia="Arial" w:hAnsi="Arial"/>
          <w:sz w:val="17"/>
          <w:szCs w:val="17"/>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180" w:firstLine="620"/>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6" w:lineRule="exact"/>
        <w:rPr>
          <w:sz w:val="20"/>
          <w:szCs w:val="20"/>
          <w:color w:val="auto"/>
        </w:rPr>
      </w:pPr>
    </w:p>
    <w:p>
      <w:pPr>
        <w:ind w:right="200" w:firstLine="620"/>
        <w:spacing w:after="0" w:line="290" w:lineRule="auto"/>
        <w:rPr>
          <w:sz w:val="20"/>
          <w:szCs w:val="20"/>
          <w:color w:val="auto"/>
        </w:rPr>
      </w:pPr>
      <w:r>
        <w:rPr>
          <w:rFonts w:ascii="Arial" w:cs="Arial" w:eastAsia="Arial" w:hAnsi="Arial"/>
          <w:sz w:val="15"/>
          <w:szCs w:val="15"/>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w:t>
      </w:r>
    </w:p>
    <w:p>
      <w:pPr>
        <w:spacing w:after="0" w:line="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89" w:lineRule="auto"/>
        <w:rPr>
          <w:sz w:val="20"/>
          <w:szCs w:val="20"/>
          <w:color w:val="auto"/>
        </w:rPr>
      </w:pPr>
      <w:r>
        <w:rPr>
          <w:rFonts w:ascii="Arial" w:cs="Arial" w:eastAsia="Arial" w:hAnsi="Arial"/>
          <w:sz w:val="15"/>
          <w:szCs w:val="15"/>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w:t>
      </w:r>
    </w:p>
    <w:p>
      <w:pPr>
        <w:spacing w:after="0" w:line="3" w:lineRule="exact"/>
        <w:rPr>
          <w:sz w:val="20"/>
          <w:szCs w:val="20"/>
          <w:color w:val="auto"/>
        </w:rPr>
      </w:pPr>
    </w:p>
    <w:p>
      <w:pPr>
        <w:ind w:right="40" w:firstLine="3"/>
        <w:spacing w:after="0" w:line="273"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29,089</w:t>
            </w:r>
          </w:p>
        </w:tc>
      </w:tr>
      <w:tr>
        <w:trPr>
          <w:trHeight w:val="245"/>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41,181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26,743</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6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w:t>
            </w:r>
          </w:p>
        </w:tc>
      </w:tr>
      <w:tr>
        <w:trPr>
          <w:trHeight w:val="213"/>
        </w:trPr>
        <w:tc>
          <w:tcPr>
            <w:tcW w:w="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28,837</w:t>
            </w:r>
          </w:p>
        </w:tc>
      </w:tr>
      <w:tr>
        <w:trPr>
          <w:trHeight w:val="245"/>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INCOME/(LOSS)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r>
      <w:tr>
        <w:trPr>
          <w:trHeight w:val="245"/>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INCOME/(EXPENSE)</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Equity earnings in unconsolidated entities</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190</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Gain on investment in unconsolidated entities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Interest expense, net</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 income/(expense), net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5"/>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INCOME/(LOSS) BEFORE TAX</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Current income tax expense</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(expense)/benefit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5"/>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INCOME/(LOSS)</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6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3"/>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INCOME/(LOSS) ATTRIBUTABLE TO PAA</w:t>
            </w:r>
          </w:p>
        </w:tc>
        <w:tc>
          <w:tcPr>
            <w:tcW w:w="6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INCOME/(LOSS) PER COMMON UNIT:</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240" w:type="dxa"/>
            <w:vAlign w:val="bottom"/>
            <w:gridSpan w:val="2"/>
          </w:tcPr>
          <w:p>
            <w:pPr>
              <w:ind w:left="120"/>
              <w:spacing w:after="0"/>
              <w:rPr>
                <w:sz w:val="20"/>
                <w:szCs w:val="20"/>
                <w:color w:val="auto"/>
              </w:rPr>
            </w:pPr>
            <w:r>
              <w:rPr>
                <w:rFonts w:ascii="Arial" w:cs="Arial" w:eastAsia="Arial" w:hAnsi="Arial"/>
                <w:sz w:val="17"/>
                <w:szCs w:val="17"/>
                <w:color w:val="auto"/>
                <w:w w:val="94"/>
              </w:rPr>
              <w:t>Net income/(loss) allocated to common unitholders — Basic and Diluted</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333</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621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5"/>
              </w:rPr>
              <w:t>Basic and diluted weighted average common units outstanding</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r>
      <w:tr>
        <w:trPr>
          <w:trHeight w:val="220"/>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Basic and diluted net income/(loss) per common unit</w:t>
            </w:r>
          </w:p>
        </w:tc>
        <w:tc>
          <w:tcPr>
            <w:tcW w:w="6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0.48</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 more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620" w:type="dxa"/>
            <w:vAlign w:val="bottom"/>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19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7"/>
              </w:rPr>
              <w:t>Houston, Texas 77002</w:t>
            </w:r>
          </w:p>
        </w:tc>
        <w:tc>
          <w:tcPr>
            <w:tcW w:w="880" w:type="dxa"/>
            <w:vAlign w:val="bottom"/>
          </w:tcPr>
          <w:p>
            <w:pPr>
              <w:spacing w:after="0"/>
              <w:rPr>
                <w:sz w:val="24"/>
                <w:szCs w:val="24"/>
                <w:color w:val="auto"/>
              </w:rPr>
            </w:pPr>
          </w:p>
        </w:tc>
        <w:tc>
          <w:tcPr>
            <w:tcW w:w="2540" w:type="dxa"/>
            <w:vAlign w:val="bottom"/>
            <w:gridSpan w:val="6"/>
          </w:tcPr>
          <w:p>
            <w:pPr>
              <w:jc w:val="right"/>
              <w:ind w:right="316"/>
              <w:spacing w:after="0"/>
              <w:rPr>
                <w:sz w:val="20"/>
                <w:szCs w:val="20"/>
                <w:color w:val="auto"/>
              </w:rPr>
            </w:pPr>
            <w:r>
              <w:rPr>
                <w:rFonts w:ascii="Arial" w:cs="Arial" w:eastAsia="Arial" w:hAnsi="Arial"/>
                <w:sz w:val="17"/>
                <w:szCs w:val="17"/>
                <w:b w:val="1"/>
                <w:bCs w:val="1"/>
                <w:color w:val="auto"/>
                <w:w w:val="93"/>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0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Arial" w:cs="Arial" w:eastAsia="Arial" w:hAnsi="Arial"/>
                <w:sz w:val="17"/>
                <w:szCs w:val="17"/>
                <w:color w:val="auto"/>
              </w:rPr>
              <w:t>Current assets (including Cash and cash equivalents of $623 and $449, respectively)</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5,574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6,137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27,457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15,799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3"/>
                <w:szCs w:val="13"/>
                <w:color w:val="auto"/>
              </w:rPr>
            </w:pPr>
          </w:p>
        </w:tc>
        <w:tc>
          <w:tcPr>
            <w:tcW w:w="106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90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18,389</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19,192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960" w:type="dxa"/>
            <w:vAlign w:val="bottom"/>
            <w:gridSpan w:val="3"/>
          </w:tcPr>
          <w:p>
            <w:pPr>
              <w:jc w:val="right"/>
              <w:ind w:right="256"/>
              <w:spacing w:after="0"/>
              <w:rPr>
                <w:sz w:val="20"/>
                <w:szCs w:val="20"/>
                <w:color w:val="auto"/>
              </w:rPr>
            </w:pPr>
            <w:r>
              <w:rPr>
                <w:rFonts w:ascii="Arial" w:cs="Arial" w:eastAsia="Arial" w:hAnsi="Arial"/>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8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72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allocated to participating securities</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allocated to common unitholders</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18"/>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0.48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8"/>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(0.15)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0" w:lineRule="exact"/>
        <w:rPr>
          <w:sz w:val="20"/>
          <w:szCs w:val="20"/>
          <w:color w:val="auto"/>
        </w:rPr>
      </w:pPr>
    </w:p>
    <w:p>
      <w:pPr>
        <w:ind w:left="320" w:right="40" w:hanging="317"/>
        <w:spacing w:after="0"/>
        <w:tabs>
          <w:tab w:leader="none" w:pos="30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income/(loss).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2"/>
          <w:szCs w:val="22"/>
          <w:color w:val="auto"/>
          <w:vertAlign w:val="superscript"/>
        </w:rPr>
      </w:pPr>
    </w:p>
    <w:p>
      <w:pPr>
        <w:ind w:left="320" w:right="40" w:hanging="317"/>
        <w:spacing w:after="0" w:line="228" w:lineRule="auto"/>
        <w:tabs>
          <w:tab w:leader="none" w:pos="30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nine months ended September 30, 2022 and 2021 as the effect was antidilutive.</w:t>
      </w:r>
    </w:p>
    <w:p>
      <w:pPr>
        <w:spacing w:after="0" w:line="39" w:lineRule="exact"/>
        <w:rPr>
          <w:rFonts w:ascii="Arial" w:cs="Arial" w:eastAsia="Arial" w:hAnsi="Arial"/>
          <w:sz w:val="22"/>
          <w:szCs w:val="22"/>
          <w:color w:val="auto"/>
          <w:vertAlign w:val="superscript"/>
        </w:rPr>
      </w:pPr>
    </w:p>
    <w:p>
      <w:pPr>
        <w:ind w:left="320" w:right="20" w:hanging="317"/>
        <w:spacing w:after="0" w:line="260" w:lineRule="auto"/>
        <w:tabs>
          <w:tab w:leader="none" w:pos="30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2022 and 2021, the effect of equity-indexed compensation plan awards was either antidilutive or did not change net income/(loss) per common unit.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225" w:lineRule="auto"/>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653</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allocated to participating securities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58"/>
        </w:trPr>
        <w:tc>
          <w:tcPr>
            <w:tcW w:w="388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0.70</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4" w:lineRule="exact"/>
        <w:rPr>
          <w:sz w:val="20"/>
          <w:szCs w:val="20"/>
          <w:color w:val="auto"/>
        </w:rPr>
      </w:pPr>
    </w:p>
    <w:p>
      <w:pPr>
        <w:ind w:left="320" w:right="80" w:hanging="317"/>
        <w:spacing w:after="0" w:line="267"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8" w:lineRule="exact"/>
        <w:rPr>
          <w:rFonts w:ascii="Arial" w:cs="Arial" w:eastAsia="Arial" w:hAnsi="Arial"/>
          <w:sz w:val="18"/>
          <w:szCs w:val="18"/>
          <w:color w:val="auto"/>
          <w:vertAlign w:val="superscript"/>
        </w:rPr>
      </w:pPr>
    </w:p>
    <w:p>
      <w:pPr>
        <w:ind w:left="320" w:right="220" w:hanging="317"/>
        <w:spacing w:after="0" w:line="226" w:lineRule="auto"/>
        <w:tabs>
          <w:tab w:leader="none" w:pos="308"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 See the “Selected Items Impacting Comparability” table for additional information.</w:t>
      </w:r>
    </w:p>
    <w:p>
      <w:pPr>
        <w:spacing w:after="0" w:line="36" w:lineRule="exact"/>
        <w:rPr>
          <w:rFonts w:ascii="Arial" w:cs="Arial" w:eastAsia="Arial" w:hAnsi="Arial"/>
          <w:sz w:val="20"/>
          <w:szCs w:val="20"/>
          <w:color w:val="auto"/>
          <w:vertAlign w:val="superscript"/>
        </w:rPr>
      </w:pPr>
    </w:p>
    <w:p>
      <w:pPr>
        <w:ind w:left="320" w:right="60" w:hanging="317"/>
        <w:spacing w:after="0" w:line="218" w:lineRule="auto"/>
        <w:tabs>
          <w:tab w:leader="none" w:pos="308"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The possible conversion of our Series A preferred units was excluded from the calculation of diluted adjusted net income per common unit for the three and nine months ended September 30, 2022 and 2021 as the effect was antidilutive.</w:t>
      </w:r>
    </w:p>
    <w:p>
      <w:pPr>
        <w:spacing w:after="0" w:line="50" w:lineRule="exact"/>
        <w:rPr>
          <w:rFonts w:ascii="Arial" w:cs="Arial" w:eastAsia="Arial" w:hAnsi="Arial"/>
          <w:sz w:val="20"/>
          <w:szCs w:val="20"/>
          <w:color w:val="auto"/>
          <w:vertAlign w:val="superscript"/>
        </w:rPr>
      </w:pPr>
    </w:p>
    <w:p>
      <w:pPr>
        <w:ind w:left="320" w:hanging="317"/>
        <w:spacing w:after="0" w:line="268" w:lineRule="auto"/>
        <w:tabs>
          <w:tab w:leader="none" w:pos="30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2022 and 2021, the effect of equity-indexed compensation plan awards did not change adjusted net income per common unit.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Adjusted Net Income Per Common Unit Reconciliation: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0.48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w w:val="94"/>
              </w:rPr>
              <w:t>(0.01)</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(0.15)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8"/>
              <w:spacing w:after="0"/>
              <w:rPr>
                <w:sz w:val="20"/>
                <w:szCs w:val="20"/>
                <w:color w:val="auto"/>
              </w:rPr>
            </w:pPr>
            <w:r>
              <w:rPr>
                <w:rFonts w:ascii="Arial" w:cs="Arial" w:eastAsia="Arial" w:hAnsi="Arial"/>
                <w:sz w:val="17"/>
                <w:szCs w:val="17"/>
                <w:color w:val="auto"/>
                <w:w w:val="90"/>
              </w:rPr>
              <w:t>0.71</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0.93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center"/>
              <w:ind w:left="258"/>
              <w:spacing w:after="0"/>
              <w:rPr>
                <w:sz w:val="20"/>
                <w:szCs w:val="20"/>
                <w:color w:val="auto"/>
              </w:rPr>
            </w:pPr>
            <w:r>
              <w:rPr>
                <w:rFonts w:ascii="Arial" w:cs="Arial" w:eastAsia="Arial" w:hAnsi="Arial"/>
                <w:sz w:val="17"/>
                <w:szCs w:val="17"/>
                <w:color w:val="auto"/>
                <w:w w:val="90"/>
              </w:rPr>
              <w:t>0.70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23"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See the “Selected Items Impacting Comparability” and the “Computation of Basic and Diluted Adjusted Net Income Per Common Unit” tables for additional information.</w:t>
      </w:r>
    </w:p>
    <w:p>
      <w:pPr>
        <w:spacing w:after="0" w:line="161"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to Adjusted EBITDA attributable to PAA and Implied DCF Reconciliation: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5"/>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20"/>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expense/(benefit)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551</w:t>
            </w:r>
          </w:p>
        </w:tc>
      </w:tr>
      <w:tr>
        <w:trPr>
          <w:trHeight w:val="220"/>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20"/>
        </w:trPr>
        <w:tc>
          <w:tcPr>
            <w:tcW w:w="6280" w:type="dxa"/>
            <w:vAlign w:val="bottom"/>
          </w:tcPr>
          <w:p>
            <w:pPr>
              <w:ind w:left="120"/>
              <w:spacing w:after="0"/>
              <w:rPr>
                <w:sz w:val="20"/>
                <w:szCs w:val="20"/>
                <w:color w:val="auto"/>
              </w:rPr>
            </w:pPr>
            <w:r>
              <w:rPr>
                <w:rFonts w:ascii="Arial" w:cs="Arial" w:eastAsia="Arial" w:hAnsi="Arial"/>
                <w:sz w:val="16"/>
                <w:szCs w:val="16"/>
                <w:color w:val="auto"/>
              </w:rPr>
              <w:t>Gain on investment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20"/>
        </w:trPr>
        <w:tc>
          <w:tcPr>
            <w:tcW w:w="6280" w:type="dxa"/>
            <w:vAlign w:val="bottom"/>
            <w:tcBorders>
              <w:bottom w:val="single" w:sz="8" w:color="CCEEFF"/>
            </w:tcBorders>
          </w:tcPr>
          <w:p>
            <w:pPr>
              <w:ind w:left="120"/>
              <w:spacing w:after="0" w:line="220" w:lineRule="exact"/>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1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r>
      <w:tr>
        <w:trPr>
          <w:trHeight w:val="22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38"/>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r>
      <w:tr>
        <w:trPr>
          <w:trHeight w:val="220"/>
        </w:trPr>
        <w:tc>
          <w:tcPr>
            <w:tcW w:w="6280" w:type="dxa"/>
            <w:vAlign w:val="bottom"/>
          </w:tcPr>
          <w:p>
            <w:pPr>
              <w:ind w:left="120"/>
              <w:spacing w:after="0" w:line="220" w:lineRule="exact"/>
              <w:rPr>
                <w:sz w:val="20"/>
                <w:szCs w:val="20"/>
                <w:color w:val="auto"/>
              </w:rPr>
            </w:pPr>
            <w:r>
              <w:rPr>
                <w:rFonts w:ascii="Arial" w:cs="Arial" w:eastAsia="Arial" w:hAnsi="Arial"/>
                <w:sz w:val="16"/>
                <w:szCs w:val="16"/>
                <w:color w:val="auto"/>
              </w:rPr>
              <w:t xml:space="preserve">Interest expense, net of certain non-cash items </w:t>
            </w:r>
            <w:r>
              <w:rPr>
                <w:rFonts w:ascii="Arial" w:cs="Arial" w:eastAsia="Arial" w:hAnsi="Arial"/>
                <w:sz w:val="21"/>
                <w:szCs w:val="21"/>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20"/>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Maintenance 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20"/>
        </w:trPr>
        <w:tc>
          <w:tcPr>
            <w:tcW w:w="6280" w:type="dxa"/>
            <w:vAlign w:val="bottom"/>
          </w:tcPr>
          <w:p>
            <w:pPr>
              <w:ind w:left="120"/>
              <w:spacing w:after="0" w:line="220" w:lineRule="exact"/>
              <w:rPr>
                <w:sz w:val="20"/>
                <w:szCs w:val="20"/>
                <w:color w:val="auto"/>
              </w:rPr>
            </w:pPr>
            <w:r>
              <w:rPr>
                <w:rFonts w:ascii="Arial" w:cs="Arial" w:eastAsia="Arial" w:hAnsi="Arial"/>
                <w:sz w:val="16"/>
                <w:szCs w:val="16"/>
                <w:color w:val="auto"/>
              </w:rPr>
              <w:t xml:space="preserve">Investment capital of noncontrolling interests </w:t>
            </w:r>
            <w:r>
              <w:rPr>
                <w:rFonts w:ascii="Arial" w:cs="Arial" w:eastAsia="Arial" w:hAnsi="Arial"/>
                <w:sz w:val="21"/>
                <w:szCs w:val="21"/>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6280" w:type="dxa"/>
            <w:vAlign w:val="bottom"/>
          </w:tcPr>
          <w:p>
            <w:pPr>
              <w:ind w:left="120"/>
              <w:spacing w:after="0" w:line="220" w:lineRule="exact"/>
              <w:rPr>
                <w:sz w:val="20"/>
                <w:szCs w:val="20"/>
                <w:color w:val="auto"/>
              </w:rPr>
            </w:pPr>
            <w:r>
              <w:rPr>
                <w:rFonts w:ascii="Arial" w:cs="Arial" w:eastAsia="Arial" w:hAnsi="Arial"/>
                <w:sz w:val="16"/>
                <w:szCs w:val="16"/>
                <w:color w:val="auto"/>
                <w:w w:val="93"/>
              </w:rPr>
              <w:t xml:space="preserve">Distributions from unconsolidated entities in excess of/(less than) adjusted equity earnings </w:t>
            </w:r>
            <w:r>
              <w:rPr>
                <w:rFonts w:ascii="Arial" w:cs="Arial" w:eastAsia="Arial" w:hAnsi="Arial"/>
                <w:sz w:val="21"/>
                <w:szCs w:val="21"/>
                <w:color w:val="auto"/>
                <w:w w:val="93"/>
                <w:vertAlign w:val="superscript"/>
              </w:rPr>
              <w:t>(5)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6280" w:type="dxa"/>
            <w:vAlign w:val="bottom"/>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Distributions to noncontrolling interests </w:t>
            </w:r>
            <w:r>
              <w:rPr>
                <w:rFonts w:ascii="Arial" w:cs="Arial" w:eastAsia="Arial" w:hAnsi="Arial"/>
                <w:sz w:val="21"/>
                <w:szCs w:val="21"/>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Implied DCF</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1,322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1,216</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6"/>
                <w:szCs w:val="16"/>
                <w:color w:val="auto"/>
              </w:rPr>
              <w:t xml:space="preserve">Preferred unit distributions paid </w:t>
            </w:r>
            <w:r>
              <w:rPr>
                <w:rFonts w:ascii="Arial" w:cs="Arial" w:eastAsia="Arial" w:hAnsi="Arial"/>
                <w:sz w:val="21"/>
                <w:szCs w:val="21"/>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Implied DCF Available to Common Unitholders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6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Weighted Average Common Units Outstanding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(7)</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6280" w:type="dxa"/>
            <w:vAlign w:val="bottom"/>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and Common Unit Equivalent </w:t>
            </w:r>
            <w:r>
              <w:rPr>
                <w:rFonts w:ascii="Arial" w:cs="Arial" w:eastAsia="Arial" w:hAnsi="Arial"/>
                <w:sz w:val="21"/>
                <w:szCs w:val="21"/>
                <w:color w:val="auto"/>
                <w:vertAlign w:val="superscript"/>
              </w:rPr>
              <w:t>(8)</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103"/>
        </w:trPr>
        <w:tc>
          <w:tcPr>
            <w:tcW w:w="6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Cash Distribution Paid per Common Unit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0.6150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0.54</w:t>
            </w: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(6)</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Common Unit Distribution Coverage Ratio</w:t>
            </w:r>
          </w:p>
        </w:tc>
        <w:tc>
          <w:tcPr>
            <w:tcW w:w="28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7"/>
                <w:szCs w:val="17"/>
                <w:color w:val="auto"/>
              </w:rPr>
              <w:t>2.53x</w:t>
            </w:r>
          </w:p>
        </w:tc>
        <w:tc>
          <w:tcPr>
            <w:tcW w:w="74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7"/>
                <w:szCs w:val="17"/>
                <w:color w:val="auto"/>
              </w:rPr>
              <w:t>2.61x</w:t>
            </w:r>
          </w:p>
        </w:tc>
        <w:tc>
          <w:tcPr>
            <w:tcW w:w="260" w:type="dxa"/>
            <w:vAlign w:val="bottom"/>
          </w:tcPr>
          <w:p>
            <w:pPr>
              <w:spacing w:after="0"/>
              <w:rPr>
                <w:sz w:val="19"/>
                <w:szCs w:val="19"/>
                <w:color w:val="auto"/>
              </w:rPr>
            </w:pPr>
          </w:p>
        </w:tc>
        <w:tc>
          <w:tcPr>
            <w:tcW w:w="1000" w:type="dxa"/>
            <w:vAlign w:val="bottom"/>
            <w:gridSpan w:val="2"/>
          </w:tcPr>
          <w:p>
            <w:pPr>
              <w:ind w:left="500"/>
              <w:spacing w:after="0"/>
              <w:rPr>
                <w:sz w:val="20"/>
                <w:szCs w:val="20"/>
                <w:color w:val="auto"/>
              </w:rPr>
            </w:pPr>
            <w:r>
              <w:rPr>
                <w:rFonts w:ascii="Arial" w:cs="Arial" w:eastAsia="Arial" w:hAnsi="Arial"/>
                <w:sz w:val="17"/>
                <w:szCs w:val="17"/>
                <w:color w:val="auto"/>
              </w:rPr>
              <w:t>2.74x</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2.77x</w:t>
            </w:r>
          </w:p>
        </w:tc>
      </w:tr>
      <w:tr>
        <w:trPr>
          <w:trHeight w:val="103"/>
        </w:trPr>
        <w:tc>
          <w:tcPr>
            <w:tcW w:w="6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Implied DCF Excess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2461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45"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32"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See the “Selected Items Impacting Comparability” table for additional information.</w:t>
      </w:r>
    </w:p>
    <w:p>
      <w:pPr>
        <w:spacing w:after="0" w:line="32"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5"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Investment capital expenditures attributable to noncontrolling interests that reduce Implied DCF available to PAA common unitholders.</w:t>
      </w:r>
    </w:p>
    <w:p>
      <w:pPr>
        <w:spacing w:after="0" w:line="32" w:lineRule="exact"/>
        <w:rPr>
          <w:rFonts w:ascii="Arial" w:cs="Arial" w:eastAsia="Arial" w:hAnsi="Arial"/>
          <w:sz w:val="16"/>
          <w:szCs w:val="16"/>
          <w:color w:val="auto"/>
          <w:vertAlign w:val="superscript"/>
        </w:rPr>
      </w:pPr>
    </w:p>
    <w:p>
      <w:pPr>
        <w:ind w:left="320" w:right="340" w:hanging="317"/>
        <w:spacing w:after="0" w:line="218" w:lineRule="auto"/>
        <w:tabs>
          <w:tab w:leader="none" w:pos="312"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ind w:left="300" w:hanging="297"/>
        <w:spacing w:after="0" w:line="235" w:lineRule="auto"/>
        <w:tabs>
          <w:tab w:leader="none" w:pos="3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Cash distributions paid during the period presented.</w:t>
      </w:r>
    </w:p>
    <w:p>
      <w:pPr>
        <w:spacing w:after="0" w:line="33"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45" w:lineRule="exact"/>
        <w:rPr>
          <w:rFonts w:ascii="Arial" w:cs="Arial" w:eastAsia="Arial" w:hAnsi="Arial"/>
          <w:sz w:val="16"/>
          <w:szCs w:val="16"/>
          <w:color w:val="auto"/>
          <w:vertAlign w:val="superscript"/>
        </w:rPr>
      </w:pPr>
    </w:p>
    <w:p>
      <w:pPr>
        <w:ind w:left="320" w:right="40" w:hanging="317"/>
        <w:spacing w:after="0" w:line="221" w:lineRule="auto"/>
        <w:tabs>
          <w:tab w:leader="none" w:pos="312"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8" w:lineRule="exact"/>
        <w:rPr>
          <w:rFonts w:ascii="Arial" w:cs="Arial" w:eastAsia="Arial" w:hAnsi="Arial"/>
          <w:sz w:val="16"/>
          <w:szCs w:val="16"/>
          <w:color w:val="auto"/>
          <w:vertAlign w:val="superscript"/>
        </w:rPr>
      </w:pPr>
    </w:p>
    <w:p>
      <w:pPr>
        <w:ind w:left="5440" w:hanging="93"/>
        <w:spacing w:after="0"/>
        <w:tabs>
          <w:tab w:leader="none" w:pos="54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Implied DCF Per Common Unit and Common Unit Equivalent Reconciliation: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2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94"/>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94"/>
              </w:rPr>
              <w:t>(0.01)</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0"/>
              </w:rPr>
              <w:t>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0.80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0"/>
              </w:rPr>
              <w:t>1.51</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center"/>
              <w:ind w:left="236"/>
              <w:spacing w:after="0"/>
              <w:rPr>
                <w:sz w:val="20"/>
                <w:szCs w:val="20"/>
                <w:color w:val="auto"/>
              </w:rPr>
            </w:pPr>
            <w:r>
              <w:rPr>
                <w:rFonts w:ascii="Arial" w:cs="Arial" w:eastAsia="Arial" w:hAnsi="Arial"/>
                <w:sz w:val="17"/>
                <w:szCs w:val="17"/>
                <w:color w:val="auto"/>
                <w:w w:val="90"/>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center"/>
              <w:ind w:left="236"/>
              <w:spacing w:after="0"/>
              <w:rPr>
                <w:sz w:val="20"/>
                <w:szCs w:val="20"/>
                <w:color w:val="auto"/>
              </w:rPr>
            </w:pPr>
            <w:r>
              <w:rPr>
                <w:rFonts w:ascii="Arial" w:cs="Arial" w:eastAsia="Arial" w:hAnsi="Arial"/>
                <w:sz w:val="17"/>
                <w:szCs w:val="17"/>
                <w:color w:val="auto"/>
                <w:w w:val="90"/>
              </w:rPr>
              <w:t>1.50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94"/>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center"/>
              <w:ind w:left="196"/>
              <w:spacing w:after="0"/>
              <w:rPr>
                <w:sz w:val="20"/>
                <w:szCs w:val="20"/>
                <w:color w:val="auto"/>
              </w:rPr>
            </w:pPr>
            <w:r>
              <w:rPr>
                <w:rFonts w:ascii="Arial" w:cs="Arial" w:eastAsia="Arial" w:hAnsi="Arial"/>
                <w:sz w:val="17"/>
                <w:szCs w:val="17"/>
                <w:color w:val="auto"/>
                <w:w w:val="94"/>
              </w:rPr>
              <w:t>(0.01)</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0"/>
              </w:rPr>
              <w:t>0.63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0.79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6"/>
              <w:spacing w:after="0"/>
              <w:rPr>
                <w:sz w:val="20"/>
                <w:szCs w:val="20"/>
                <w:color w:val="auto"/>
              </w:rPr>
            </w:pPr>
            <w:r>
              <w:rPr>
                <w:rFonts w:ascii="Arial" w:cs="Arial" w:eastAsia="Arial" w:hAnsi="Arial"/>
                <w:sz w:val="17"/>
                <w:szCs w:val="17"/>
                <w:color w:val="auto"/>
                <w:w w:val="90"/>
              </w:rPr>
              <w:t>1.52</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center"/>
              <w:ind w:left="236"/>
              <w:spacing w:after="0"/>
              <w:rPr>
                <w:sz w:val="20"/>
                <w:szCs w:val="20"/>
                <w:color w:val="auto"/>
              </w:rPr>
            </w:pPr>
            <w:r>
              <w:rPr>
                <w:rFonts w:ascii="Arial" w:cs="Arial" w:eastAsia="Arial" w:hAnsi="Arial"/>
                <w:sz w:val="17"/>
                <w:szCs w:val="17"/>
                <w:color w:val="auto"/>
                <w:w w:val="90"/>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center"/>
              <w:ind w:left="236"/>
              <w:spacing w:after="0"/>
              <w:rPr>
                <w:sz w:val="20"/>
                <w:szCs w:val="20"/>
                <w:color w:val="auto"/>
              </w:rPr>
            </w:pPr>
            <w:r>
              <w:rPr>
                <w:rFonts w:ascii="Arial" w:cs="Arial" w:eastAsia="Arial" w:hAnsi="Arial"/>
                <w:sz w:val="17"/>
                <w:szCs w:val="17"/>
                <w:color w:val="auto"/>
                <w:w w:val="90"/>
              </w:rPr>
              <w:t>1.51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17" w:lineRule="exact"/>
        <w:rPr>
          <w:sz w:val="20"/>
          <w:szCs w:val="20"/>
          <w:color w:val="auto"/>
        </w:rPr>
      </w:pPr>
    </w:p>
    <w:p>
      <w:pPr>
        <w:ind w:left="320" w:right="80" w:hanging="317"/>
        <w:spacing w:after="0" w:line="228" w:lineRule="auto"/>
        <w:tabs>
          <w:tab w:leader="none" w:pos="30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Income/(Loss) to calculate Implied DCF Available to Common Unitholders. See the “Net Income/(Loss) to Adjusted EBITDA attributable to PAA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698 million, 715 million, 702 million and 719 million, respectively.</w:t>
      </w:r>
    </w:p>
    <w:p>
      <w:pPr>
        <w:spacing w:after="0" w:line="52" w:lineRule="exact"/>
        <w:rPr>
          <w:rFonts w:ascii="Arial" w:cs="Arial" w:eastAsia="Arial" w:hAnsi="Arial"/>
          <w:sz w:val="22"/>
          <w:szCs w:val="22"/>
          <w:color w:val="auto"/>
          <w:vertAlign w:val="superscript"/>
        </w:rPr>
      </w:pPr>
    </w:p>
    <w:p>
      <w:pPr>
        <w:ind w:left="320" w:right="120" w:hanging="317"/>
        <w:spacing w:after="0" w:line="220" w:lineRule="auto"/>
        <w:tabs>
          <w:tab w:leader="none" w:pos="30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4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9"/>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(used in)/provided by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1,093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1,830</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117" w:lineRule="exact"/>
        <w:rPr>
          <w:sz w:val="20"/>
          <w:szCs w:val="20"/>
          <w:color w:val="auto"/>
        </w:rPr>
      </w:pPr>
    </w:p>
    <w:p>
      <w:pPr>
        <w:ind w:left="320" w:right="320" w:hanging="317"/>
        <w:spacing w:after="0" w:line="228" w:lineRule="auto"/>
        <w:tabs>
          <w:tab w:leader="none" w:pos="30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preferred and common unitholders during the period.</w:t>
      </w:r>
    </w:p>
    <w:p>
      <w:pPr>
        <w:spacing w:after="0" w:line="169"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2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760" w:type="dxa"/>
            <w:vAlign w:val="bottom"/>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9"/>
                <w:szCs w:val="19"/>
                <w:color w:val="auto"/>
              </w:rPr>
            </w:pPr>
          </w:p>
        </w:tc>
        <w:tc>
          <w:tcPr>
            <w:tcW w:w="760" w:type="dxa"/>
            <w:vAlign w:val="bottom"/>
          </w:tcPr>
          <w:p>
            <w:pPr>
              <w:jc w:val="right"/>
              <w:ind w:right="5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Net loss on foreign currency revaluation </w:t>
            </w:r>
            <w:r>
              <w:rPr>
                <w:rFonts w:ascii="Arial" w:cs="Arial" w:eastAsia="Arial" w:hAnsi="Arial"/>
                <w:sz w:val="21"/>
                <w:szCs w:val="21"/>
                <w:color w:val="auto"/>
                <w:vertAlign w:val="superscript"/>
              </w:rPr>
              <w:t>(6)</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7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(8)</w:t>
            </w:r>
          </w:p>
        </w:tc>
        <w:tc>
          <w:tcPr>
            <w:tcW w:w="7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3"/>
        </w:trPr>
        <w:tc>
          <w:tcPr>
            <w:tcW w:w="6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760" w:type="dxa"/>
            <w:vAlign w:val="bottom"/>
            <w:tcBorders>
              <w:top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Gains from derivative activities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investment in unconsolidated entities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0"/>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(592)</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(9)</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76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36" w:lineRule="exact"/>
        <w:rPr>
          <w:sz w:val="20"/>
          <w:szCs w:val="20"/>
          <w:color w:val="auto"/>
        </w:rPr>
      </w:pPr>
    </w:p>
    <w:p>
      <w:pPr>
        <w:ind w:left="320" w:right="360" w:hanging="317"/>
        <w:spacing w:after="0" w:line="280" w:lineRule="auto"/>
        <w:tabs>
          <w:tab w:leader="none" w:pos="312"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Certain of our non-GAAP financial measures may not be impacted by each of the selected items impacting comparability. See the “Net Income/(Loss) to Adjusted EBITDA attributable to PAA and Implied DCF Reconciliation” and “Computation of Basic and Diluted Adjusted Net Income Per Common Unit” table for additional details on how these selected items impacting comparability affect such measures.</w:t>
      </w:r>
    </w:p>
    <w:p>
      <w:pPr>
        <w:ind w:left="320" w:right="100" w:hanging="317"/>
        <w:spacing w:after="0" w:line="256" w:lineRule="auto"/>
        <w:tabs>
          <w:tab w:leader="none" w:pos="312"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15" w:lineRule="exact"/>
        <w:rPr>
          <w:rFonts w:ascii="Arial" w:cs="Arial" w:eastAsia="Arial" w:hAnsi="Arial"/>
          <w:sz w:val="15"/>
          <w:szCs w:val="15"/>
          <w:color w:val="auto"/>
          <w:vertAlign w:val="superscript"/>
        </w:rPr>
      </w:pPr>
    </w:p>
    <w:p>
      <w:pPr>
        <w:ind w:left="320" w:right="120" w:hanging="317"/>
        <w:spacing w:after="0" w:line="231" w:lineRule="auto"/>
        <w:tabs>
          <w:tab w:leader="none" w:pos="312"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4" w:lineRule="exact"/>
        <w:rPr>
          <w:rFonts w:ascii="Arial" w:cs="Arial" w:eastAsia="Arial" w:hAnsi="Arial"/>
          <w:sz w:val="16"/>
          <w:szCs w:val="16"/>
          <w:color w:val="auto"/>
          <w:vertAlign w:val="superscript"/>
        </w:rPr>
      </w:pPr>
    </w:p>
    <w:p>
      <w:pPr>
        <w:ind w:left="320" w:right="40" w:hanging="317"/>
        <w:spacing w:after="0" w:line="258" w:lineRule="auto"/>
        <w:tabs>
          <w:tab w:leader="none" w:pos="312"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6" w:lineRule="exact"/>
        <w:rPr>
          <w:rFonts w:ascii="Arial" w:cs="Arial" w:eastAsia="Arial" w:hAnsi="Arial"/>
          <w:sz w:val="15"/>
          <w:szCs w:val="15"/>
          <w:color w:val="auto"/>
          <w:vertAlign w:val="superscript"/>
        </w:rPr>
      </w:pPr>
    </w:p>
    <w:p>
      <w:pPr>
        <w:ind w:left="320" w:right="140" w:hanging="317"/>
        <w:spacing w:after="0" w:line="231" w:lineRule="auto"/>
        <w:tabs>
          <w:tab w:leader="none" w:pos="312"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7" w:lineRule="exact"/>
        <w:rPr>
          <w:rFonts w:ascii="Arial" w:cs="Arial" w:eastAsia="Arial" w:hAnsi="Arial"/>
          <w:sz w:val="16"/>
          <w:szCs w:val="16"/>
          <w:color w:val="auto"/>
          <w:vertAlign w:val="superscript"/>
        </w:rPr>
      </w:pPr>
    </w:p>
    <w:p>
      <w:pPr>
        <w:ind w:left="320" w:right="400" w:hanging="317"/>
        <w:spacing w:after="0" w:line="226" w:lineRule="auto"/>
        <w:tabs>
          <w:tab w:leader="none" w:pos="312"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ind w:left="300" w:hanging="297"/>
        <w:spacing w:after="0" w:line="235" w:lineRule="auto"/>
        <w:tabs>
          <w:tab w:leader="none" w:pos="30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6"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Includes expenses associated with the Permian Basin joint venture transaction announced in July 2021.</w:t>
      </w:r>
    </w:p>
    <w:p>
      <w:pPr>
        <w:spacing w:after="0" w:line="32" w:lineRule="exact"/>
        <w:rPr>
          <w:rFonts w:ascii="Arial" w:cs="Arial" w:eastAsia="Arial" w:hAnsi="Arial"/>
          <w:sz w:val="16"/>
          <w:szCs w:val="16"/>
          <w:color w:val="auto"/>
          <w:vertAlign w:val="superscript"/>
        </w:rPr>
      </w:pPr>
    </w:p>
    <w:p>
      <w:pPr>
        <w:ind w:left="300" w:hanging="297"/>
        <w:spacing w:after="0" w:line="193" w:lineRule="auto"/>
        <w:tabs>
          <w:tab w:leader="none" w:pos="30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Includes other immaterial selected items impacting comparability, as well as the noncontrolling interests’ portion of selected items.</w:t>
      </w:r>
    </w:p>
    <w:p>
      <w:pPr>
        <w:spacing w:after="0" w:line="158" w:lineRule="exact"/>
        <w:rPr>
          <w:rFonts w:ascii="Arial" w:cs="Arial" w:eastAsia="Arial" w:hAnsi="Arial"/>
          <w:sz w:val="16"/>
          <w:szCs w:val="16"/>
          <w:color w:val="auto"/>
          <w:vertAlign w:val="superscript"/>
        </w:rPr>
      </w:pPr>
    </w:p>
    <w:p>
      <w:pPr>
        <w:ind w:left="5440" w:hanging="93"/>
        <w:spacing w:after="0"/>
        <w:tabs>
          <w:tab w:leader="none" w:pos="54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22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September 30, 2022</w:t>
            </w:r>
          </w:p>
        </w:tc>
        <w:tc>
          <w:tcPr>
            <w:tcW w:w="180" w:type="dxa"/>
            <w:vAlign w:val="bottom"/>
          </w:tcPr>
          <w:p>
            <w:pPr>
              <w:spacing w:after="0"/>
              <w:rPr>
                <w:sz w:val="16"/>
                <w:szCs w:val="16"/>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September 30, 2021</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(gain)/loss on 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Significant transaction-related expenses</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18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Permian JV (beginning October 2021) and Red River Pipeline LLC.</w:t>
      </w:r>
    </w:p>
    <w:p>
      <w:pPr>
        <w:spacing w:after="0" w:line="52" w:lineRule="exact"/>
        <w:rPr>
          <w:rFonts w:ascii="Arial" w:cs="Arial" w:eastAsia="Arial" w:hAnsi="Arial"/>
          <w:sz w:val="22"/>
          <w:szCs w:val="22"/>
          <w:color w:val="auto"/>
          <w:vertAlign w:val="superscript"/>
        </w:rPr>
      </w:pPr>
    </w:p>
    <w:p>
      <w:pPr>
        <w:ind w:left="320" w:right="220" w:hanging="317"/>
        <w:spacing w:after="0" w:line="245" w:lineRule="auto"/>
        <w:tabs>
          <w:tab w:leader="none" w:pos="30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2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September 30, 2021</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42,694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(875)</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(gain)/loss on 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Significant transaction-related expenses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Permian JV (beginning October 2021) and Red River Pipeline LLC.</w:t>
      </w:r>
    </w:p>
    <w:p>
      <w:pPr>
        <w:spacing w:after="0" w:line="52" w:lineRule="exact"/>
        <w:rPr>
          <w:rFonts w:ascii="Arial" w:cs="Arial" w:eastAsia="Arial" w:hAnsi="Arial"/>
          <w:sz w:val="22"/>
          <w:szCs w:val="22"/>
          <w:color w:val="auto"/>
          <w:vertAlign w:val="superscript"/>
        </w:rPr>
      </w:pPr>
    </w:p>
    <w:p>
      <w:pPr>
        <w:ind w:left="320" w:right="220" w:hanging="317"/>
        <w:spacing w:after="0" w:line="245" w:lineRule="auto"/>
        <w:tabs>
          <w:tab w:leader="none" w:pos="30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tbl>
      <w:tblPr>
        <w:tblLayout w:type="fixed"/>
        <w:tblInd w:w="0" w:type="dxa"/>
        <w:tblCellMar>
          <w:top w:w="0" w:type="dxa"/>
          <w:left w:w="0" w:type="dxa"/>
          <w:bottom w:w="0" w:type="dxa"/>
          <w:right w:w="0" w:type="dxa"/>
        </w:tblCellMar>
      </w:tblPr>
      <w:tr>
        <w:trPr>
          <w:trHeight w:val="130"/>
        </w:trPr>
        <w:tc>
          <w:tcPr>
            <w:tcW w:w="38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540" w:type="dxa"/>
            <w:vAlign w:val="bottom"/>
            <w:gridSpan w:val="5"/>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pipeline tariff volumes (by region)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13"/>
        </w:trPr>
        <w:tc>
          <w:tcPr>
            <w:tcW w:w="6280" w:type="dxa"/>
            <w:vAlign w:val="bottom"/>
            <w:gridSpan w:val="2"/>
          </w:tcPr>
          <w:p>
            <w:pPr>
              <w:ind w:left="120"/>
              <w:spacing w:after="0" w:line="212" w:lineRule="exact"/>
              <w:rPr>
                <w:sz w:val="20"/>
                <w:szCs w:val="20"/>
                <w:color w:val="auto"/>
              </w:rPr>
            </w:pPr>
            <w:r>
              <w:rPr>
                <w:rFonts w:ascii="Arial" w:cs="Arial" w:eastAsia="Arial" w:hAnsi="Arial"/>
                <w:sz w:val="17"/>
                <w:szCs w:val="17"/>
                <w:color w:val="auto"/>
                <w:w w:val="92"/>
              </w:rPr>
              <w:t xml:space="preserve">Crude oil pipeline tariff volumes (average volumes in thousands of barrels per day) </w:t>
            </w:r>
            <w:r>
              <w:rPr>
                <w:rFonts w:ascii="Arial" w:cs="Arial" w:eastAsia="Arial" w:hAnsi="Arial"/>
                <w:sz w:val="22"/>
                <w:szCs w:val="22"/>
                <w:color w:val="auto"/>
                <w:w w:val="92"/>
                <w:vertAlign w:val="superscript"/>
              </w:rPr>
              <w:t>(1) (2)</w:t>
            </w:r>
          </w:p>
        </w:tc>
        <w:tc>
          <w:tcPr>
            <w:tcW w:w="1160" w:type="dxa"/>
            <w:vAlign w:val="bottom"/>
          </w:tcPr>
          <w:p>
            <w:pPr>
              <w:jc w:val="right"/>
              <w:spacing w:after="0"/>
              <w:rPr>
                <w:sz w:val="20"/>
                <w:szCs w:val="20"/>
                <w:color w:val="auto"/>
              </w:rPr>
            </w:pPr>
            <w:r>
              <w:rPr>
                <w:rFonts w:ascii="Arial" w:cs="Arial" w:eastAsia="Arial" w:hAnsi="Arial"/>
                <w:sz w:val="17"/>
                <w:szCs w:val="17"/>
                <w:color w:val="auto"/>
              </w:rPr>
              <w:t>7,581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6,162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5,869</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280" w:type="dxa"/>
            <w:vAlign w:val="bottom"/>
            <w:gridSpan w:val="2"/>
          </w:tcPr>
          <w:p>
            <w:pPr>
              <w:ind w:left="120"/>
              <w:spacing w:after="0" w:line="168" w:lineRule="exact"/>
              <w:rPr>
                <w:sz w:val="20"/>
                <w:szCs w:val="20"/>
                <w:color w:val="auto"/>
              </w:rPr>
            </w:pPr>
            <w:r>
              <w:rPr>
                <w:rFonts w:ascii="Arial" w:cs="Arial" w:eastAsia="Arial" w:hAnsi="Arial"/>
                <w:sz w:val="17"/>
                <w:szCs w:val="17"/>
                <w:color w:val="auto"/>
                <w:w w:val="94"/>
              </w:rPr>
              <w:t>Commercial crude oil storage capacity (average monthly volumes in millions of barrels)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880" w:type="dxa"/>
            <w:vAlign w:val="bottom"/>
          </w:tcPr>
          <w:p>
            <w:pPr>
              <w:ind w:left="120"/>
              <w:spacing w:after="0" w:line="116" w:lineRule="exact"/>
              <w:rPr>
                <w:sz w:val="20"/>
                <w:szCs w:val="20"/>
                <w:color w:val="auto"/>
              </w:rPr>
            </w:pPr>
            <w:r>
              <w:rPr>
                <w:rFonts w:ascii="Arial" w:cs="Arial" w:eastAsia="Arial" w:hAnsi="Arial"/>
                <w:sz w:val="11"/>
                <w:szCs w:val="11"/>
                <w:color w:val="auto"/>
              </w:rPr>
              <w:t>(2) (3)</w:t>
            </w:r>
          </w:p>
        </w:tc>
        <w:tc>
          <w:tcPr>
            <w:tcW w:w="2400" w:type="dxa"/>
            <w:vAlign w:val="bottom"/>
          </w:tcPr>
          <w:p>
            <w:pPr>
              <w:spacing w:after="0"/>
              <w:rPr>
                <w:sz w:val="10"/>
                <w:szCs w:val="10"/>
                <w:color w:val="auto"/>
              </w:rPr>
            </w:pPr>
          </w:p>
        </w:tc>
        <w:tc>
          <w:tcPr>
            <w:tcW w:w="1160" w:type="dxa"/>
            <w:vAlign w:val="bottom"/>
            <w:vMerge w:val="restart"/>
          </w:tcPr>
          <w:p>
            <w:pPr>
              <w:jc w:val="right"/>
              <w:spacing w:after="0" w:line="168" w:lineRule="exact"/>
              <w:rPr>
                <w:sz w:val="20"/>
                <w:szCs w:val="20"/>
                <w:color w:val="auto"/>
              </w:rPr>
            </w:pPr>
            <w:r>
              <w:rPr>
                <w:rFonts w:ascii="Arial" w:cs="Arial" w:eastAsia="Arial" w:hAnsi="Arial"/>
                <w:sz w:val="17"/>
                <w:szCs w:val="17"/>
                <w:color w:val="auto"/>
              </w:rPr>
              <w:t>72</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restart"/>
          </w:tcPr>
          <w:p>
            <w:pPr>
              <w:jc w:val="right"/>
              <w:spacing w:after="0" w:line="168" w:lineRule="exact"/>
              <w:rPr>
                <w:sz w:val="20"/>
                <w:szCs w:val="20"/>
                <w:color w:val="auto"/>
              </w:rPr>
            </w:pPr>
            <w:r>
              <w:rPr>
                <w:rFonts w:ascii="Arial" w:cs="Arial" w:eastAsia="Arial" w:hAnsi="Arial"/>
                <w:sz w:val="17"/>
                <w:szCs w:val="17"/>
                <w:color w:val="auto"/>
              </w:rPr>
              <w:t>73</w:t>
            </w:r>
          </w:p>
        </w:tc>
        <w:tc>
          <w:tcPr>
            <w:tcW w:w="100" w:type="dxa"/>
            <w:vAlign w:val="bottom"/>
          </w:tcPr>
          <w:p>
            <w:pPr>
              <w:spacing w:after="0"/>
              <w:rPr>
                <w:sz w:val="10"/>
                <w:szCs w:val="10"/>
                <w:color w:val="auto"/>
              </w:rPr>
            </w:pPr>
          </w:p>
        </w:tc>
        <w:tc>
          <w:tcPr>
            <w:tcW w:w="1160" w:type="dxa"/>
            <w:vAlign w:val="bottom"/>
            <w:vMerge w:val="restart"/>
          </w:tcPr>
          <w:p>
            <w:pPr>
              <w:jc w:val="right"/>
              <w:spacing w:after="0" w:line="168" w:lineRule="exact"/>
              <w:rPr>
                <w:sz w:val="20"/>
                <w:szCs w:val="20"/>
                <w:color w:val="auto"/>
              </w:rPr>
            </w:pPr>
            <w:r>
              <w:rPr>
                <w:rFonts w:ascii="Arial" w:cs="Arial" w:eastAsia="Arial" w:hAnsi="Arial"/>
                <w:sz w:val="17"/>
                <w:szCs w:val="17"/>
                <w:color w:val="auto"/>
              </w:rPr>
              <w:t>72</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jc w:val="right"/>
              <w:spacing w:after="0" w:line="168"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52"/>
        </w:trPr>
        <w:tc>
          <w:tcPr>
            <w:tcW w:w="38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w w:val="90"/>
              </w:rPr>
              <w:t xml:space="preserve">Crude oil lease gathering purchases (average volumes in thousands of barrels per day) </w:t>
            </w:r>
            <w:r>
              <w:rPr>
                <w:rFonts w:ascii="Arial" w:cs="Arial" w:eastAsia="Arial" w:hAnsi="Arial"/>
                <w:sz w:val="22"/>
                <w:szCs w:val="22"/>
                <w:color w:val="auto"/>
                <w:w w:val="90"/>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b w:val="1"/>
                <w:bCs w:val="1"/>
                <w:color w:val="auto"/>
              </w:rPr>
              <w:t>NGL Segment Volumes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fractionation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w w:val="99"/>
              </w:rPr>
              <w:t xml:space="preserve">NGL pipeline tariff volumes (average volumes in thousands of barrels per day) </w:t>
            </w:r>
            <w:r>
              <w:rPr>
                <w:rFonts w:ascii="Arial" w:cs="Arial" w:eastAsia="Arial" w:hAnsi="Arial"/>
                <w:sz w:val="22"/>
                <w:szCs w:val="22"/>
                <w:color w:val="auto"/>
                <w:w w:val="99"/>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sales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80" w:hanging="317"/>
        <w:spacing w:after="0" w:line="235" w:lineRule="auto"/>
        <w:tabs>
          <w:tab w:leader="none" w:pos="30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daily volumes calculated as the total volumes (attributable to our interest for assets owned by unconsolidated entities or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assets owned by unconsolidated entities.</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Adjusted EBITDA to Adjusted EBITDA attributable to PAA Reconciliation: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Crude Oil Segment Adjusted EBITDA</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r>
      <w:tr>
        <w:trPr>
          <w:trHeight w:val="22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NGL Segment Adjusted EBITDA</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r>
      <w:tr>
        <w:trPr>
          <w:trHeight w:val="213"/>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Segment Adjusted EBITDA</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6180" w:type="dxa"/>
            <w:vAlign w:val="bottom"/>
            <w:tcBorders>
              <w:bottom w:val="single" w:sz="8" w:color="CCEEFF"/>
            </w:tcBorders>
            <w:gridSpan w:val="2"/>
            <w:shd w:val="clear" w:color="auto" w:fill="CCEEFF"/>
          </w:tcPr>
          <w:p>
            <w:pPr>
              <w:ind w:left="120"/>
              <w:spacing w:after="0" w:line="21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17" w:lineRule="exact"/>
        <w:rPr>
          <w:sz w:val="20"/>
          <w:szCs w:val="20"/>
          <w:color w:val="auto"/>
        </w:rPr>
      </w:pPr>
    </w:p>
    <w:p>
      <w:pPr>
        <w:ind w:left="320" w:right="200" w:hanging="317"/>
        <w:spacing w:after="0" w:line="284" w:lineRule="auto"/>
        <w:tabs>
          <w:tab w:leader="none" w:pos="308"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Represents “Other income/(expense), net” as reported on our Condensed Consolidated Statements of Operations, adjusted for selected items impacting comparability of $83 million and $11 million for the three months ended September 30, 2022 and 2021, respectively and $239 million and $(12) million for the nine months ended September 30, 2022 and 2021, respectively. See the “Selected Items Impacting Comparability” table for additional information. Adjusted other income/(expense), net attributable to noncontrolling interests is less than $1 million for each of the periods presented.</w:t>
      </w: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attributable to PAA and Implied DCF Reconciliation” table for reconciliation to Net Income.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0"/>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r>
      <w:tr>
        <w:trPr>
          <w:trHeight w:val="185"/>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4"/>
                <w:szCs w:val="14"/>
                <w:b w:val="1"/>
                <w:bCs w:val="1"/>
                <w:color w:val="auto"/>
                <w:w w:val="87"/>
              </w:rPr>
              <w:t>September 30, 2022</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 2021</w:t>
            </w:r>
          </w:p>
        </w:tc>
      </w:tr>
      <w:tr>
        <w:trPr>
          <w:trHeight w:val="191"/>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NGL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20"/>
        </w:trPr>
        <w:tc>
          <w:tcPr>
            <w:tcW w:w="6180" w:type="dxa"/>
            <w:vAlign w:val="bottom"/>
          </w:tcPr>
          <w:p>
            <w:pPr>
              <w:ind w:left="20"/>
              <w:spacing w:after="0" w:line="220"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82"/>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0"/>
              </w:rPr>
              <w:t>Nine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r>
      <w:tr>
        <w:trPr>
          <w:trHeight w:val="187"/>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4"/>
                <w:szCs w:val="14"/>
                <w:b w:val="1"/>
                <w:bCs w:val="1"/>
                <w:color w:val="auto"/>
                <w:w w:val="87"/>
              </w:rPr>
              <w:t>September 30, 2022</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 2021</w:t>
            </w:r>
          </w:p>
        </w:tc>
      </w:t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NGL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Arial" w:cs="Arial" w:eastAsia="Arial" w:hAnsi="Arial"/>
                <w:sz w:val="15"/>
                <w:szCs w:val="15"/>
                <w:b w:val="1"/>
                <w:bCs w:val="1"/>
                <w:color w:val="auto"/>
              </w:rPr>
              <w:t>NGL</w:t>
            </w:r>
          </w:p>
        </w:tc>
      </w:tr>
      <w:tr>
        <w:trPr>
          <w:trHeight w:val="21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20"/>
        </w:trPr>
        <w:tc>
          <w:tcPr>
            <w:tcW w:w="6180" w:type="dxa"/>
            <w:vAlign w:val="bottom"/>
          </w:tcPr>
          <w:p>
            <w:pPr>
              <w:ind w:left="20"/>
              <w:spacing w:after="0" w:line="220"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2461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20" w:right="40" w:hanging="317"/>
        <w:spacing w:after="0" w:line="214" w:lineRule="auto"/>
        <w:tabs>
          <w:tab w:leader="none" w:pos="308"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Estimated impact of divestitures completed during 2021, assuming an effective date of January 1, 2021. Divested assets primarily included natural gas storage facilities previously included in our Crude Oil segment. Note: The natural gas storage business captured one-time benefits from Winter Storm Uri in the first quarter 2021.</w:t>
      </w:r>
    </w:p>
    <w:p>
      <w:pPr>
        <w:spacing w:after="0" w:line="157" w:lineRule="exact"/>
        <w:rPr>
          <w:rFonts w:ascii="Arial" w:cs="Arial" w:eastAsia="Arial" w:hAnsi="Arial"/>
          <w:sz w:val="25"/>
          <w:szCs w:val="25"/>
          <w:color w:val="auto"/>
          <w:vertAlign w:val="superscript"/>
        </w:rPr>
      </w:pPr>
    </w:p>
    <w:p>
      <w:pPr>
        <w:ind w:left="5440" w:hanging="93"/>
        <w:spacing w:after="0"/>
        <w:tabs>
          <w:tab w:leader="none" w:pos="54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 2022</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14,336</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13,071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13,071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10,074</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10,816</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INCOME/(LOSS) ATTRIBUTABLE</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12"/>
                <w:szCs w:val="12"/>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 PAGP</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20" w:type="dxa"/>
            <w:vAlign w:val="bottom"/>
            <w:gridSpan w:val="8"/>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OUTSTANDING</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7"/>
        </w:trPr>
        <w:tc>
          <w:tcPr>
            <w:tcW w:w="3880" w:type="dxa"/>
            <w:vAlign w:val="bottom"/>
            <w:gridSpan w:val="3"/>
          </w:tcPr>
          <w:p>
            <w:pPr>
              <w:spacing w:after="0"/>
              <w:rPr>
                <w:sz w:val="17"/>
                <w:szCs w:val="17"/>
                <w:color w:val="auto"/>
              </w:rPr>
            </w:pPr>
          </w:p>
        </w:tc>
        <w:tc>
          <w:tcPr>
            <w:tcW w:w="78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2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Nine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September 30, 2022</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September 30,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44,390</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29,089</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41,181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41,181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26,743</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43,060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28,843</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INCOME/(LOSS) ATTRIBUTABLE</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12"/>
                <w:szCs w:val="12"/>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 PAGP</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20" w:type="dxa"/>
            <w:vAlign w:val="bottom"/>
            <w:gridSpan w:val="8"/>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OUTSTANDING</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7"/>
        </w:trPr>
        <w:tc>
          <w:tcPr>
            <w:tcW w:w="38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2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September 30, 2022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December 31, 2021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9"/>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5,574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5,576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6,140</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14,909</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3,805</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1,362</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r>
      <w:tr>
        <w:trPr>
          <w:trHeight w:val="168"/>
        </w:trPr>
        <w:tc>
          <w:tcPr>
            <w:tcW w:w="3360" w:type="dxa"/>
            <w:vAlign w:val="bottom"/>
          </w:tcPr>
          <w:p>
            <w:pPr>
              <w:ind w:left="20"/>
              <w:spacing w:after="0" w:line="168" w:lineRule="exact"/>
              <w:rPr>
                <w:sz w:val="20"/>
                <w:szCs w:val="20"/>
                <w:color w:val="auto"/>
              </w:rPr>
            </w:pPr>
            <w:r>
              <w:rPr>
                <w:rFonts w:ascii="Arial" w:cs="Arial" w:eastAsia="Arial" w:hAnsi="Arial"/>
                <w:sz w:val="17"/>
                <w:szCs w:val="17"/>
                <w:color w:val="auto"/>
                <w:w w:val="95"/>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3360" w:type="dxa"/>
            <w:vAlign w:val="bottom"/>
          </w:tcPr>
          <w:p>
            <w:pPr>
              <w:ind w:left="180"/>
              <w:spacing w:after="0"/>
              <w:rPr>
                <w:sz w:val="20"/>
                <w:szCs w:val="20"/>
                <w:color w:val="auto"/>
              </w:rPr>
            </w:pPr>
            <w:r>
              <w:rPr>
                <w:rFonts w:ascii="Arial" w:cs="Arial" w:eastAsia="Arial" w:hAnsi="Arial"/>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27,457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5,333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6,234</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w w:val="96"/>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1,095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15,801</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2"/>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12,644</w:t>
            </w:r>
          </w:p>
        </w:tc>
      </w:tr>
      <w:tr>
        <w:trPr>
          <w:trHeight w:val="21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12,743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14,177</w:t>
            </w:r>
          </w:p>
        </w:tc>
      </w:tr>
      <w:tr>
        <w:trPr>
          <w:trHeight w:val="253"/>
        </w:trPr>
        <w:tc>
          <w:tcPr>
            <w:tcW w:w="3360" w:type="dxa"/>
            <w:vAlign w:val="bottom"/>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27,457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CLASS A SHARE</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3"/>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080" w:type="dxa"/>
            <w:vAlign w:val="bottom"/>
            <w:gridSpan w:val="2"/>
          </w:tcPr>
          <w:p>
            <w:pPr>
              <w:ind w:left="140"/>
              <w:spacing w:after="0"/>
              <w:rPr>
                <w:sz w:val="20"/>
                <w:szCs w:val="20"/>
                <w:color w:val="auto"/>
              </w:rPr>
            </w:pPr>
            <w:r>
              <w:rPr>
                <w:rFonts w:ascii="Arial" w:cs="Arial" w:eastAsia="Arial" w:hAnsi="Arial"/>
                <w:sz w:val="17"/>
                <w:szCs w:val="17"/>
                <w:color w:val="auto"/>
              </w:rPr>
              <w:t>Net income/(loss) attributable to PAGP</w:t>
            </w:r>
          </w:p>
        </w:tc>
        <w:tc>
          <w:tcPr>
            <w:tcW w:w="820" w:type="dxa"/>
            <w:vAlign w:val="bottom"/>
          </w:tcPr>
          <w:p>
            <w:pPr>
              <w:jc w:val="right"/>
              <w:ind w:right="64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800" w:type="dxa"/>
            <w:vAlign w:val="bottom"/>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45"/>
        </w:trPr>
        <w:tc>
          <w:tcPr>
            <w:tcW w:w="38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5"/>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net income/(loss) per Class A share</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73" w:lineRule="exact"/>
        <w:rPr>
          <w:sz w:val="20"/>
          <w:szCs w:val="20"/>
          <w:color w:val="auto"/>
        </w:rPr>
      </w:pPr>
    </w:p>
    <w:p>
      <w:pPr>
        <w:ind w:left="320" w:right="260" w:hanging="317"/>
        <w:spacing w:after="0" w:line="226" w:lineRule="auto"/>
        <w:tabs>
          <w:tab w:leader="none" w:pos="315"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For each of the three and nine months ended September 30, 2022 and 2021, the possible exchange of AAP units and AAP Management units would not have had a dilutive effect on basic net income/(loss) per Class A share.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96"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7" w:lineRule="exact"/>
        <w:rPr>
          <w:sz w:val="20"/>
          <w:szCs w:val="20"/>
          <w:color w:val="auto"/>
        </w:rPr>
      </w:pPr>
    </w:p>
    <w:p>
      <w:pPr>
        <w:ind w:left="620" w:right="240" w:hanging="307"/>
        <w:spacing w:after="0" w:line="249"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3" w:lineRule="exact"/>
        <w:rPr>
          <w:rFonts w:ascii="Arial" w:cs="Arial" w:eastAsia="Arial" w:hAnsi="Arial"/>
          <w:sz w:val="21"/>
          <w:szCs w:val="21"/>
          <w:color w:val="auto"/>
        </w:rPr>
      </w:pPr>
    </w:p>
    <w:p>
      <w:pPr>
        <w:ind w:left="620" w:right="160" w:hanging="307"/>
        <w:spacing w:after="0" w:line="248"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23" w:lineRule="exact"/>
        <w:rPr>
          <w:rFonts w:ascii="Arial" w:cs="Arial" w:eastAsia="Arial" w:hAnsi="Arial"/>
          <w:sz w:val="21"/>
          <w:szCs w:val="21"/>
          <w:color w:val="auto"/>
        </w:rPr>
      </w:pPr>
    </w:p>
    <w:p>
      <w:pPr>
        <w:ind w:left="620" w:right="480" w:hanging="307"/>
        <w:spacing w:after="0" w:line="23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29" w:lineRule="exact"/>
        <w:rPr>
          <w:rFonts w:ascii="Arial" w:cs="Arial" w:eastAsia="Arial" w:hAnsi="Arial"/>
          <w:sz w:val="21"/>
          <w:szCs w:val="21"/>
          <w:color w:val="auto"/>
        </w:rPr>
      </w:pPr>
    </w:p>
    <w:p>
      <w:pPr>
        <w:ind w:left="620" w:hanging="307"/>
        <w:spacing w:after="0"/>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29" w:lineRule="exact"/>
        <w:rPr>
          <w:rFonts w:ascii="Arial" w:cs="Arial" w:eastAsia="Arial" w:hAnsi="Arial"/>
          <w:sz w:val="21"/>
          <w:szCs w:val="21"/>
          <w:color w:val="auto"/>
        </w:rPr>
      </w:pPr>
    </w:p>
    <w:p>
      <w:pPr>
        <w:ind w:left="620" w:right="240" w:hanging="307"/>
        <w:spacing w:after="0" w:line="234" w:lineRule="auto"/>
        <w:tabs>
          <w:tab w:leader="none" w:pos="615" w:val="left"/>
        </w:tabs>
        <w:numPr>
          <w:ilvl w:val="0"/>
          <w:numId w:val="25"/>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environmental liabilities, litigation or other events that are not covered by an indemnity, insurance or existing reserves;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63" w:lineRule="exact"/>
        <w:rPr>
          <w:sz w:val="20"/>
          <w:szCs w:val="20"/>
          <w:color w:val="auto"/>
        </w:rPr>
      </w:pPr>
    </w:p>
    <w:p>
      <w:pPr>
        <w:ind w:left="620" w:right="360" w:hanging="307"/>
        <w:spacing w:after="0" w:line="234"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9" w:lineRule="exact"/>
        <w:rPr>
          <w:rFonts w:ascii="Arial" w:cs="Arial" w:eastAsia="Arial" w:hAnsi="Arial"/>
          <w:sz w:val="21"/>
          <w:szCs w:val="21"/>
          <w:color w:val="auto"/>
        </w:rPr>
      </w:pPr>
    </w:p>
    <w:p>
      <w:pPr>
        <w:ind w:left="620" w:hanging="307"/>
        <w:spacing w:after="0" w:line="267" w:lineRule="auto"/>
        <w:tabs>
          <w:tab w:leader="none" w:pos="615" w:val="left"/>
        </w:tabs>
        <w:numPr>
          <w:ilvl w:val="0"/>
          <w:numId w:val="26"/>
        </w:numPr>
        <w:rPr>
          <w:rFonts w:ascii="Arial" w:cs="Arial" w:eastAsia="Arial" w:hAnsi="Arial"/>
          <w:sz w:val="20"/>
          <w:szCs w:val="20"/>
          <w:color w:val="auto"/>
        </w:rPr>
      </w:pPr>
      <w:r>
        <w:rPr>
          <w:rFonts w:ascii="Arial" w:cs="Arial" w:eastAsia="Arial" w:hAnsi="Arial"/>
          <w:sz w:val="16"/>
          <w:szCs w:val="16"/>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88" w:lineRule="exact"/>
        <w:rPr>
          <w:rFonts w:ascii="Arial" w:cs="Arial" w:eastAsia="Arial" w:hAnsi="Arial"/>
          <w:sz w:val="20"/>
          <w:szCs w:val="20"/>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loss of key personnel and inability to attract and retain new talent;</w:t>
      </w:r>
    </w:p>
    <w:p>
      <w:pPr>
        <w:spacing w:after="0" w:line="129" w:lineRule="exact"/>
        <w:rPr>
          <w:rFonts w:ascii="Arial" w:cs="Arial" w:eastAsia="Arial" w:hAnsi="Arial"/>
          <w:sz w:val="21"/>
          <w:szCs w:val="21"/>
          <w:color w:val="auto"/>
        </w:rPr>
      </w:pPr>
    </w:p>
    <w:p>
      <w:pPr>
        <w:ind w:left="620" w:right="420" w:hanging="307"/>
        <w:spacing w:after="0" w:line="234"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42" w:lineRule="exact"/>
        <w:rPr>
          <w:rFonts w:ascii="Arial" w:cs="Arial" w:eastAsia="Arial" w:hAnsi="Arial"/>
          <w:sz w:val="21"/>
          <w:szCs w:val="21"/>
          <w:color w:val="auto"/>
        </w:rPr>
      </w:pPr>
    </w:p>
    <w:p>
      <w:pPr>
        <w:ind w:left="620" w:right="300" w:hanging="307"/>
        <w:spacing w:after="0" w:line="255" w:lineRule="auto"/>
        <w:tabs>
          <w:tab w:leader="none" w:pos="615" w:val="left"/>
        </w:tabs>
        <w:numPr>
          <w:ilvl w:val="0"/>
          <w:numId w:val="26"/>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15" w:lineRule="exact"/>
        <w:rPr>
          <w:rFonts w:ascii="Arial" w:cs="Arial" w:eastAsia="Arial" w:hAnsi="Arial"/>
          <w:sz w:val="20"/>
          <w:szCs w:val="20"/>
          <w:color w:val="auto"/>
        </w:rPr>
      </w:pPr>
    </w:p>
    <w:p>
      <w:pPr>
        <w:ind w:left="620" w:hanging="307"/>
        <w:spacing w:after="0" w:line="234"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29" w:lineRule="exact"/>
        <w:rPr>
          <w:rFonts w:ascii="Arial" w:cs="Arial" w:eastAsia="Arial" w:hAnsi="Arial"/>
          <w:sz w:val="21"/>
          <w:szCs w:val="21"/>
          <w:color w:val="auto"/>
        </w:rPr>
      </w:pPr>
    </w:p>
    <w:p>
      <w:pPr>
        <w:ind w:left="620" w:right="20" w:hanging="307"/>
        <w:spacing w:after="0" w:line="263" w:lineRule="auto"/>
        <w:tabs>
          <w:tab w:leader="none" w:pos="615" w:val="left"/>
        </w:tabs>
        <w:numPr>
          <w:ilvl w:val="0"/>
          <w:numId w:val="26"/>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2" w:lineRule="exact"/>
        <w:rPr>
          <w:rFonts w:ascii="Arial" w:cs="Arial" w:eastAsia="Arial" w:hAnsi="Arial"/>
          <w:sz w:val="20"/>
          <w:szCs w:val="20"/>
          <w:color w:val="auto"/>
        </w:rPr>
      </w:pPr>
    </w:p>
    <w:p>
      <w:pPr>
        <w:jc w:val="both"/>
        <w:ind w:left="620" w:right="120" w:hanging="307"/>
        <w:spacing w:after="0" w:line="305" w:lineRule="auto"/>
        <w:tabs>
          <w:tab w:leader="none" w:pos="615" w:val="left"/>
        </w:tabs>
        <w:numPr>
          <w:ilvl w:val="0"/>
          <w:numId w:val="26"/>
        </w:numPr>
        <w:rPr>
          <w:rFonts w:ascii="Arial" w:cs="Arial" w:eastAsia="Arial" w:hAnsi="Arial"/>
          <w:sz w:val="18"/>
          <w:szCs w:val="18"/>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1" w:lineRule="exact"/>
        <w:rPr>
          <w:rFonts w:ascii="Arial" w:cs="Arial" w:eastAsia="Arial" w:hAnsi="Arial"/>
          <w:sz w:val="18"/>
          <w:szCs w:val="18"/>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42" w:lineRule="exact"/>
        <w:rPr>
          <w:rFonts w:ascii="Arial" w:cs="Arial" w:eastAsia="Arial" w:hAnsi="Arial"/>
          <w:sz w:val="21"/>
          <w:szCs w:val="21"/>
          <w:color w:val="auto"/>
        </w:rPr>
      </w:pPr>
    </w:p>
    <w:p>
      <w:pPr>
        <w:ind w:left="620" w:right="100" w:hanging="307"/>
        <w:spacing w:after="0" w:line="234" w:lineRule="auto"/>
        <w:tabs>
          <w:tab w:leader="none" w:pos="615" w:val="left"/>
        </w:tabs>
        <w:numPr>
          <w:ilvl w:val="0"/>
          <w:numId w:val="26"/>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63" w:lineRule="exact"/>
        <w:rPr>
          <w:sz w:val="20"/>
          <w:szCs w:val="20"/>
          <w:color w:val="auto"/>
        </w:rPr>
      </w:pPr>
    </w:p>
    <w:p>
      <w:pPr>
        <w:ind w:left="620" w:right="620" w:hanging="307"/>
        <w:spacing w:after="0" w:line="234" w:lineRule="auto"/>
        <w:tabs>
          <w:tab w:leader="none" w:pos="615" w:val="left"/>
        </w:tabs>
        <w:numPr>
          <w:ilvl w:val="0"/>
          <w:numId w:val="27"/>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29" w:lineRule="exact"/>
        <w:rPr>
          <w:rFonts w:ascii="Arial" w:cs="Arial" w:eastAsia="Arial" w:hAnsi="Arial"/>
          <w:sz w:val="21"/>
          <w:szCs w:val="21"/>
          <w:color w:val="auto"/>
        </w:rPr>
      </w:pPr>
    </w:p>
    <w:p>
      <w:pPr>
        <w:ind w:left="620" w:right="60" w:hanging="307"/>
        <w:spacing w:after="0" w:line="255" w:lineRule="auto"/>
        <w:tabs>
          <w:tab w:leader="none" w:pos="615" w:val="left"/>
        </w:tabs>
        <w:numPr>
          <w:ilvl w:val="0"/>
          <w:numId w:val="27"/>
        </w:numPr>
        <w:rPr>
          <w:rFonts w:ascii="Arial" w:cs="Arial" w:eastAsia="Arial" w:hAnsi="Arial"/>
          <w:sz w:val="20"/>
          <w:szCs w:val="20"/>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70" w:lineRule="exact"/>
        <w:rPr>
          <w:sz w:val="20"/>
          <w:szCs w:val="20"/>
          <w:color w:val="auto"/>
        </w:rPr>
      </w:pPr>
    </w:p>
    <w:p>
      <w:pPr>
        <w:jc w:val="both"/>
        <w:ind w:right="120" w:firstLine="620"/>
        <w:spacing w:after="0" w:line="285"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86"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 Communications and Government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Gladstein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04"/>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lowerRoman"/>
      <w:start w:val="5"/>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lvl w:ilvl="1">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lvl w:ilvl="1">
      <w:lvlJc w:val="left"/>
      <w:lvlText w:val="-"/>
      <w:numFmt w:val="bullet"/>
      <w:start w:val="1"/>
    </w:lvl>
  </w:abstractNum>
  <w:abstractNum w:abstractNumId="14">
    <w:nsid w:val="628C895D"/>
    <w:multiLevelType w:val="hybridMultilevel"/>
    <w:lvl w:ilvl="0">
      <w:lvlJc w:val="left"/>
      <w:lvlText w:val="(%1)"/>
      <w:numFmt w:val="decimal"/>
      <w:start w:val="1"/>
    </w:lvl>
    <w:lvl w:ilvl="1">
      <w:lvlJc w:val="left"/>
      <w:lvlText w:val="-"/>
      <w:numFmt w:val="bullet"/>
      <w:start w:val="1"/>
    </w:lvl>
  </w:abstractNum>
  <w:abstractNum w:abstractNumId="15">
    <w:nsid w:val="333AB105"/>
    <w:multiLevelType w:val="hybridMultilevel"/>
    <w:lvl w:ilvl="0">
      <w:lvlJc w:val="left"/>
      <w:lvlText w:val="(%1)"/>
      <w:numFmt w:val="decimal"/>
      <w:start w:val="3"/>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lvl w:ilvl="1">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2022-11-02T16:24:33Z</dcterms:created>
  <dcterms:modified xsi:type="dcterms:W3CDTF">2022-11-02T16:24:33Z</dcterms:modified>
</cp:coreProperties>
</file>