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9"/>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01/04/2017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116,000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242,447,426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01/05/2017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(1)(4)</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147,052</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242,594,478</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PAGP is obligated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is obligated to use the net proceeds it receives from such sale of AAP Class A units to PAGP to purchase from PAA an equivalent number of common units representing limited partner interests of PAA ("Common Units").</w:t>
      </w:r>
    </w:p>
    <w:p>
      <w:pPr>
        <w:spacing w:after="0" w:line="11" w:lineRule="exact"/>
        <w:rPr>
          <w:rFonts w:ascii="Arial" w:cs="Arial" w:eastAsia="Arial" w:hAnsi="Arial"/>
          <w:sz w:val="12"/>
          <w:szCs w:val="12"/>
          <w:color w:val="008000"/>
        </w:rPr>
      </w:pPr>
    </w:p>
    <w:p>
      <w:pPr>
        <w:ind w:left="20" w:right="6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4, 2017, PAGP sold an aggregate 116,000 Class A shares under its continuous equity offering program and used the net proceeds therefrom ($4,018,140.15) to purchase an equivalent number of AAP Class A units.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12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right="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5, 2017, PAGP sold an aggregate 147,052 Class A shares under its continuous equity offering program and used the net proceeds therefrom ($5,069,020.95) to purchase an equivalent number of AAP Class A units. AAP used such net proceeds to purchase an equivalent number of Common Units from PAA.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01/06/2017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2020-01-15T23:43:16Z</dcterms:created>
  <dcterms:modified xsi:type="dcterms:W3CDTF">2020-01-15T23:43:16Z</dcterms:modified>
</cp:coreProperties>
</file>