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8-41341_18k.htm"/>
      <w:bookmarkStart w:id="1" w:name="ksa1841341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w:t>
      </w:r>
    </w:p>
    <w:p>
      <w:pPr>
        <w:pStyle w:val="TextBody"/>
        <w:spacing w:before="0" w:after="0"/>
        <w:ind w:left="0" w:right="0" w:hanging="0"/>
        <w:jc w:val="center"/>
        <w:rPr>
          <w:rFonts w:ascii="Times New Roman" w:hAnsi="Times New Roman"/>
          <w:b/>
          <w:sz w:val="20"/>
        </w:rPr>
      </w:pPr>
      <w:r>
        <w:rPr>
          <w:rFonts w:ascii="Times New Roman" w:hAnsi="Times New Roman"/>
          <w:b/>
          <w:sz w:val="20"/>
        </w:rPr>
        <w:t>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December 10, 2018</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506"/>
        <w:gridCol w:w="101"/>
        <w:gridCol w:w="3093"/>
        <w:gridCol w:w="205"/>
        <w:gridCol w:w="3300"/>
      </w:tblGrid>
      <w:tr>
        <w:trPr/>
        <w:tc>
          <w:tcPr>
            <w:tcW w:w="350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101" w:type="dxa"/>
            <w:tcBorders/>
            <w:shd w:fill="auto" w:val="clear"/>
            <w:vAlign w:val="bottom"/>
          </w:tcPr>
          <w:p>
            <w:pPr>
              <w:pStyle w:val="TableContents"/>
              <w:spacing w:before="0" w:after="0"/>
              <w:ind w:left="0" w:right="0" w:hanging="0"/>
              <w:rPr/>
            </w:pPr>
            <w:r>
              <w:rPr/>
              <w:t> </w:t>
            </w:r>
          </w:p>
        </w:tc>
        <w:tc>
          <w:tcPr>
            <w:tcW w:w="3093"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5" w:type="dxa"/>
            <w:tcBorders/>
            <w:shd w:fill="auto" w:val="clear"/>
            <w:vAlign w:val="bottom"/>
          </w:tcPr>
          <w:p>
            <w:pPr>
              <w:pStyle w:val="TableContents"/>
              <w:spacing w:before="0" w:after="0"/>
              <w:ind w:left="0" w:right="0" w:hanging="0"/>
              <w:rPr/>
            </w:pPr>
            <w:r>
              <w:rPr/>
              <w:t> </w:t>
            </w:r>
          </w:p>
        </w:tc>
        <w:tc>
          <w:tcPr>
            <w:tcW w:w="330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5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 incorporation)</w:t>
            </w:r>
          </w:p>
        </w:tc>
        <w:tc>
          <w:tcPr>
            <w:tcW w:w="101" w:type="dxa"/>
            <w:tcBorders/>
            <w:shd w:fill="auto" w:val="clear"/>
            <w:vAlign w:val="bottom"/>
          </w:tcPr>
          <w:p>
            <w:pPr>
              <w:pStyle w:val="TableContents"/>
              <w:spacing w:before="0" w:after="0"/>
              <w:ind w:left="0" w:right="0" w:hanging="0"/>
              <w:rPr/>
            </w:pPr>
            <w:r>
              <w:rPr/>
              <w:t> </w:t>
            </w:r>
          </w:p>
        </w:tc>
        <w:tc>
          <w:tcPr>
            <w:tcW w:w="309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5" w:type="dxa"/>
            <w:tcBorders/>
            <w:shd w:fill="auto" w:val="clear"/>
            <w:vAlign w:val="bottom"/>
          </w:tcPr>
          <w:p>
            <w:pPr>
              <w:pStyle w:val="TableContents"/>
              <w:spacing w:before="0" w:after="0"/>
              <w:ind w:left="0" w:right="0" w:hanging="0"/>
              <w:rPr/>
            </w:pPr>
            <w:r>
              <w:rPr/>
              <w:t> </w:t>
            </w:r>
          </w:p>
        </w:tc>
        <w:tc>
          <w:tcPr>
            <w:tcW w:w="33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xml:space="preserve">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xml:space="preserve">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xml:space="preserve">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xml:space="preserve">      Pre-commencement communications pursuant to Rule 13e-4(c) under the Exchange Act (17 CFR 240.13e-4(c))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Emerging growth company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sz w:val="17"/>
        </w:rPr>
        <w:t>o</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5.02.</w:t>
      </w:r>
      <w:r>
        <w:rPr>
          <w:rFonts w:ascii="Times New Roman" w:hAnsi="Times New Roman"/>
          <w:sz w:val="17"/>
        </w:rPr>
        <w:t xml:space="preserve">                                        </w:t>
      </w:r>
      <w:r>
        <w:rPr>
          <w:rFonts w:ascii="Times New Roman" w:hAnsi="Times New Roman"/>
          <w:b/>
          <w:sz w:val="17"/>
        </w:rPr>
        <w:t>Departure of Directors or Certain Officers; Election of Directors; Appointment of Certain Officers; Compensatory Arrangements of Certain Officers.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10, 2018, the board of directors (the Board) of Plains All American Pipeline, L.P.s (the Registrant) general partner, PAA GP Holdings LLC (the Company), appointed Alexandra Pruner as an independent member of the Board and as a member of the Audit Committee. The Board has responsibility for managing the business and affairs of the Registrant and of Plains GP Holdings, L.P. (PAGP).  Ms. Pruner was appointed by the Board to fill the vacancy that was created by the Boards approval of an amendment to the limited liability company agreement for the Company that increased the size of the Board to 13 members (see Item 5.03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Ms. Pruner, age 56, served as Partner and Chief Financial Officer of Perella Weinberg Partners (PWP), a global independent advisory firm, from December 2016 through November of this year and prior to that served as Chief Financial Officer and a member of the Management Committee of Tudor, Pickering, Holt &amp; Co. from the firms founding in 2007 until its combination with PWP in 2016.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her appointment to the Board, Ms. Pruner will receive an initial grant of phantom Class A Shares of PAGP that will vest (become payable in Class A Shares of PAGP) in August of each year for the next four years commencing in August of 2019 and continuing through August of 2022.  Such initial grant will be sized so that the number of phantom Class A Shares vesting each August will have a market value on the date of such initial grant equal to $125,000 (or pro rata portion thereof for the period from her appointment through August 2019).  As each tranche of phantom Class A Shares vests, they will be replaced with a new grant of phantom Class A Shares having a market value on the date of grant equal to $125,000 and which will vest four years after the date of grant.  The phantom Class A Shares include associated dividend equivalent rights.  Ms. Pruner will also receive an annual cash retainer of $75,000 for service as a Board member plus an additional annual retainer fee of $15,000 for service as an Audit Committee member.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5.03.</w:t>
      </w:r>
      <w:r>
        <w:rPr>
          <w:rFonts w:ascii="Times New Roman" w:hAnsi="Times New Roman"/>
          <w:sz w:val="17"/>
        </w:rPr>
        <w:t xml:space="preserve">                                        </w:t>
      </w:r>
      <w:r>
        <w:rPr>
          <w:rFonts w:ascii="Times New Roman" w:hAnsi="Times New Roman"/>
          <w:b/>
          <w:sz w:val="17"/>
        </w:rPr>
        <w:t>Amendments to Articles of Incorporation of Bylaws; Change in Fiscal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Effective on December 10, 2018, the Third Amended and Restated Limited Liability Company Agreement of the Company was amended to increase the size of the Board from 12 to 13. A copy of the amendment is filed as Exhibit 3.1 to this Current Report on Form 8-K and incorporated into this item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7.01.</w:t>
      </w:r>
      <w:r>
        <w:rPr>
          <w:rFonts w:ascii="Times New Roman" w:hAnsi="Times New Roman"/>
          <w:sz w:val="17"/>
        </w:rPr>
        <w:t xml:space="preserve">                                        </w:t>
      </w:r>
      <w:r>
        <w:rPr>
          <w:rFonts w:ascii="Times New Roman" w:hAnsi="Times New Roman"/>
          <w:b/>
          <w:sz w:val="17"/>
        </w:rPr>
        <w:t>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11, 2018, the Registrant issued a press release announcing the appointment of Ms. Pruner to the Board and Audit Committee of the Company. A copy of the press release is furnished as Exhibit 99.1 hereto.</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00036_1207"/>
      <w:bookmarkEnd w:id="2"/>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9.01.</w:t>
      </w:r>
      <w:r>
        <w:rPr>
          <w:rFonts w:ascii="Times New Roman" w:hAnsi="Times New Roman"/>
          <w:sz w:val="17"/>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 Exhibits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48"/>
        <w:gridCol w:w="208"/>
        <w:gridCol w:w="8749"/>
      </w:tblGrid>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3.1 </w:t>
            </w:r>
          </w:p>
        </w:tc>
        <w:tc>
          <w:tcPr>
            <w:tcW w:w="208"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hyperlink w:anchor="Exhibit3_1_120053">
              <w:r>
                <w:rPr>
                  <w:rStyle w:val="InternetLink"/>
                  <w:rFonts w:ascii="Times New Roman" w:hAnsi="Times New Roman"/>
                  <w:sz w:val="17"/>
                </w:rPr>
                <w:t>Amendment No. 2 dated December 10, 2018 to Third Amended and Restated Limited Liability Company Agreement of PAA GP Holdings LLC.</w:t>
              </w:r>
            </w:hyperlink>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99.1 </w:t>
            </w:r>
          </w:p>
        </w:tc>
        <w:tc>
          <w:tcPr>
            <w:tcW w:w="208"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hyperlink w:anchor="Exhibit99_1_120535">
              <w:r>
                <w:rPr>
                  <w:rStyle w:val="InternetLink"/>
                  <w:rFonts w:ascii="Times New Roman" w:hAnsi="Times New Roman"/>
                  <w:sz w:val="17"/>
                </w:rPr>
                <w:t>Press Release dated December 11, 2018.</w:t>
              </w:r>
            </w:hyperlink>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00108_7056"/>
      <w:bookmarkEnd w:id="3"/>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5"/>
        <w:gridCol w:w="514"/>
        <w:gridCol w:w="4536"/>
      </w:tblGrid>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December 11, 2018</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 its sole member</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 its general partner</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Richard McGee</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Executive Vice President</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000226_5335"/>
      <w:bookmarkEnd w:id="4"/>
    </w:p>
    <w:p>
      <w:pPr>
        <w:pStyle w:val="HorizontalLine"/>
        <w:pBdr>
          <w:bottom w:val="single" w:sz="18"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5" w:name="a18-41341_1ex3d1.htm"/>
      <w:bookmarkStart w:id="6" w:name="ksa1841341_1ex3d1"/>
      <w:bookmarkEnd w:id="5"/>
      <w:bookmarkEnd w:id="6"/>
      <w:r>
        <w:rPr>
          <w:rFonts w:ascii="Times New Roman" w:hAnsi="Times New Roman"/>
          <w:b/>
          <w:sz w:val="17"/>
        </w:rPr>
        <w:t>Exhibit 3.1</w:t>
      </w:r>
      <w:bookmarkStart w:id="7" w:name="Exhibit3_1_120053"/>
      <w:bookmarkEnd w:id="7"/>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AMENDMENT NO. 2 TO THE</w:t>
      </w:r>
    </w:p>
    <w:p>
      <w:pPr>
        <w:pStyle w:val="TextBody"/>
        <w:spacing w:before="0" w:after="0"/>
        <w:ind w:left="0" w:right="0" w:hanging="0"/>
        <w:jc w:val="center"/>
        <w:rPr>
          <w:rFonts w:ascii="Times New Roman" w:hAnsi="Times New Roman"/>
          <w:sz w:val="17"/>
        </w:rPr>
      </w:pPr>
      <w:r>
        <w:rPr>
          <w:rFonts w:ascii="Times New Roman" w:hAnsi="Times New Roman"/>
          <w:sz w:val="17"/>
        </w:rPr>
        <w:t>THIRD AMENDED AND RESTATED</w:t>
        <w:br/>
        <w:t xml:space="preserve">LIMITED LIABILITY COMPANY AGREEMENT OF </w:t>
        <w:br/>
        <w:t>PAA GP HOLDINGS,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Amendment No. 2 (this Amendment) to the Third Amended and Restated Limited Liability Company Agreement of PAA GP Holdings LLC., a Delaware limited liability company (the Company), dated as of February 16, 2017 (the LLC Agreement), is hereby adopted effective as of December 10, 2018, by the Company.  Capitalized terms used but not defined herein are used as defined in the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Section 12.2(a) of the LLC Agreement provides that the LLC Agreement shall not be altered, modified or changed except by an amendment approved by the Board of Directors of the Company;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Board of Directors of the Company has approved and does hereby amend the LLC Agreement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Section 1</w:t>
      </w:r>
      <w:r>
        <w:rPr>
          <w:rFonts w:ascii="Times New Roman" w:hAnsi="Times New Roman"/>
          <w:sz w:val="17"/>
        </w:rPr>
        <w:t>.                   The first sentence of Section 6.1(a) of the LLC Agreement is hereby amended and restated in its entirety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6.1       </w:t>
      </w:r>
      <w:r>
        <w:rPr>
          <w:rFonts w:ascii="Times New Roman" w:hAnsi="Times New Roman"/>
          <w:sz w:val="17"/>
          <w:u w:val="single"/>
        </w:rPr>
        <w:t>Board of Directors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Except as otherwise provided hereunder, the business and affairs of the Company shall be managed by or under the direction of the Board, which shall, subject to this </w:t>
      </w:r>
      <w:r>
        <w:rPr>
          <w:rFonts w:ascii="Times New Roman" w:hAnsi="Times New Roman"/>
          <w:sz w:val="17"/>
          <w:u w:val="single"/>
        </w:rPr>
        <w:t>Section 6.1(a)</w:t>
      </w:r>
      <w:r>
        <w:rPr>
          <w:rFonts w:ascii="Times New Roman" w:hAnsi="Times New Roman"/>
          <w:sz w:val="17"/>
        </w:rPr>
        <w:t xml:space="preserve">, </w:t>
      </w:r>
      <w:r>
        <w:rPr>
          <w:rFonts w:ascii="Times New Roman" w:hAnsi="Times New Roman"/>
          <w:sz w:val="17"/>
          <w:u w:val="single"/>
        </w:rPr>
        <w:t>Section 6.2(b)</w:t>
      </w:r>
      <w:r>
        <w:rPr>
          <w:rFonts w:ascii="Times New Roman" w:hAnsi="Times New Roman"/>
          <w:sz w:val="17"/>
        </w:rPr>
        <w:t xml:space="preserve"> and </w:t>
      </w:r>
      <w:r>
        <w:rPr>
          <w:rFonts w:ascii="Times New Roman" w:hAnsi="Times New Roman"/>
          <w:sz w:val="17"/>
          <w:u w:val="single"/>
        </w:rPr>
        <w:t>Section 6.2(c)</w:t>
      </w:r>
      <w:r>
        <w:rPr>
          <w:rFonts w:ascii="Times New Roman" w:hAnsi="Times New Roman"/>
          <w:sz w:val="17"/>
        </w:rPr>
        <w:t xml:space="preserve">, consist of up to thirteen (plus up to one additional Director which may be appointed by the Series A Preferred Unitholders pursuant to </w:t>
      </w:r>
      <w:r>
        <w:rPr>
          <w:rFonts w:ascii="Times New Roman" w:hAnsi="Times New Roman"/>
          <w:sz w:val="17"/>
          <w:u w:val="single"/>
        </w:rPr>
        <w:t>Section 6.1(c)</w:t>
      </w:r>
      <w:r>
        <w:rPr>
          <w:rFonts w:ascii="Times New Roman" w:hAnsi="Times New Roman"/>
          <w:sz w:val="17"/>
        </w:rPr>
        <w:t>) individuals designated as directors of the Company (the </w:t>
      </w:r>
      <w:r>
        <w:rPr>
          <w:rFonts w:ascii="Times New Roman" w:hAnsi="Times New Roman"/>
          <w:b/>
          <w:i/>
          <w:sz w:val="17"/>
        </w:rPr>
        <w:t>Directors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Section 2</w:t>
      </w:r>
      <w:r>
        <w:rPr>
          <w:rFonts w:ascii="Times New Roman" w:hAnsi="Times New Roman"/>
          <w:sz w:val="17"/>
        </w:rPr>
        <w:t>.                   Section 6.2(a) of the LLC Agreement is hereby amended and restated in its entirety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6.2       </w:t>
      </w:r>
      <w:r>
        <w:rPr>
          <w:rFonts w:ascii="Times New Roman" w:hAnsi="Times New Roman"/>
          <w:sz w:val="17"/>
          <w:u w:val="single"/>
        </w:rPr>
        <w:t>Classification of the Board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The Directors, other than (i) any Director that serves as an Officer of the Company or is an employee of Plains All American GP LLC, and (ii) any Series A Designated Director, shall be divided into three classes denominated as Class I, Class II and Class III (each being referred to herein as a </w:t>
      </w:r>
      <w:r>
        <w:rPr>
          <w:rFonts w:ascii="Times New Roman" w:hAnsi="Times New Roman"/>
          <w:b/>
          <w:i/>
          <w:sz w:val="17"/>
        </w:rPr>
        <w:t>Class</w:t>
      </w:r>
      <w:r>
        <w:rPr>
          <w:rFonts w:ascii="Times New Roman" w:hAnsi="Times New Roman"/>
          <w:sz w:val="17"/>
        </w:rPr>
        <w:t xml:space="preserve">) as set forth on </w:t>
      </w:r>
      <w:r>
        <w:rPr>
          <w:rFonts w:ascii="Times New Roman" w:hAnsi="Times New Roman"/>
          <w:sz w:val="17"/>
          <w:u w:val="single"/>
        </w:rPr>
        <w:t>Schedule 3</w:t>
      </w:r>
      <w:r>
        <w:rPr>
          <w:rFonts w:ascii="Times New Roman" w:hAnsi="Times New Roman"/>
          <w:sz w:val="17"/>
        </w:rPr>
        <w:t xml:space="preserve"> to this Agreement. If the size of the Board is increased or decreased in accordance with the terms of this Agreement, or if a Director becomes an Eligible Director and is not otherwise assigned to a Class by virtue of the immediately preceding sentence, the Board shall adjust the makeup of the Classes such that Directors are as evenly distributed among Classes as possible.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Section 3</w:t>
      </w:r>
      <w:r>
        <w:rPr>
          <w:rFonts w:ascii="Times New Roman" w:hAnsi="Times New Roman"/>
          <w:sz w:val="17"/>
        </w:rPr>
        <w:t>.                   Except as hereby amended, the LLC Agreement shall remain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Section 4</w:t>
      </w:r>
      <w:r>
        <w:rPr>
          <w:rFonts w:ascii="Times New Roman" w:hAnsi="Times New Roman"/>
          <w:sz w:val="17"/>
        </w:rPr>
        <w:t>.                   This Amendment shall be governed by, and interpreted in accordance with, the laws of the State of Delaware, all rights and remedies being governed by such laws without regard to principles of conflicts of laws.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Section 5</w:t>
      </w:r>
      <w:r>
        <w:rPr>
          <w:rFonts w:ascii="Times New Roman" w:hAnsi="Times New Roman"/>
          <w:sz w:val="17"/>
        </w:rPr>
        <w:t>.                   If any provision of this Amendment is or becomes invalid, illegal or unenforceable in any respect, the validity, legality and enforceability of the remaining provisions contained herein shall not be effected thereby.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this Amendment has been executed as of December 10, 2018.</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515"/>
        <w:gridCol w:w="4536"/>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sz w:val="17"/>
              </w:rPr>
            </w:pPr>
            <w:r>
              <w:rPr>
                <w:rFonts w:ascii="Times New Roman" w:hAnsi="Times New Roman"/>
                <w:sz w:val="17"/>
              </w:rPr>
              <w:t xml:space="preserve">/s/ </w:t>
            </w:r>
            <w:r>
              <w:rPr>
                <w:sz w:val="17"/>
              </w:rPr>
              <w:t>Richard K. McGee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K. McGee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bl>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u w:val="single"/>
        </w:rPr>
        <w:t>SCHEDULE 3</w:t>
        <w:br/>
      </w:r>
      <w:r>
        <w:rPr>
          <w:rFonts w:ascii="Times New Roman" w:hAnsi="Times New Roman"/>
          <w:b/>
          <w:i/>
          <w:sz w:val="17"/>
        </w:rPr>
        <w:t>Directors</w:t>
      </w:r>
    </w:p>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3267"/>
        <w:gridCol w:w="201"/>
        <w:gridCol w:w="3268"/>
        <w:gridCol w:w="201"/>
        <w:gridCol w:w="3268"/>
      </w:tblGrid>
      <w:tr>
        <w:trPr/>
        <w:tc>
          <w:tcPr>
            <w:tcW w:w="326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Classification</w:t>
            </w:r>
          </w:p>
        </w:tc>
        <w:tc>
          <w:tcPr>
            <w:tcW w:w="201" w:type="dxa"/>
            <w:tcBorders/>
            <w:shd w:fill="auto" w:val="clear"/>
            <w:tcMar>
              <w:bottom w:w="0" w:type="dxa"/>
            </w:tcMar>
            <w:vAlign w:val="bottom"/>
          </w:tcPr>
          <w:p>
            <w:pPr>
              <w:pStyle w:val="TableContents"/>
              <w:spacing w:before="0" w:after="0"/>
              <w:ind w:left="0" w:right="0" w:hanging="0"/>
              <w:jc w:val="center"/>
              <w:rPr/>
            </w:pPr>
            <w:r>
              <w:rPr/>
              <w:t> </w:t>
            </w:r>
          </w:p>
        </w:tc>
        <w:tc>
          <w:tcPr>
            <w:tcW w:w="326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Individual</w:t>
            </w:r>
          </w:p>
        </w:tc>
        <w:tc>
          <w:tcPr>
            <w:tcW w:w="201" w:type="dxa"/>
            <w:tcBorders/>
            <w:shd w:fill="auto" w:val="clear"/>
            <w:tcMar>
              <w:bottom w:w="0" w:type="dxa"/>
            </w:tcMar>
            <w:vAlign w:val="bottom"/>
          </w:tcPr>
          <w:p>
            <w:pPr>
              <w:pStyle w:val="TableContents"/>
              <w:spacing w:before="0" w:after="0"/>
              <w:ind w:left="0" w:right="0" w:hanging="0"/>
              <w:jc w:val="center"/>
              <w:rPr/>
            </w:pPr>
            <w:r>
              <w:rPr/>
              <w:t> </w:t>
            </w:r>
          </w:p>
        </w:tc>
        <w:tc>
          <w:tcPr>
            <w:tcW w:w="326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Class</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Oxy Designee</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Oscar Brown</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Designee</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Robert V. Sinnott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Designee</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John T. Raymond</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Chairman of the Board (non-executive)</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Chief Commercial Officer</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Willie C. Chiang</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Bobby S. Shackouls</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Victor Burk</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Everardo Goyanes</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Christopher M. Temple</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Gary R. Petersen</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 Taft Symonds</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Alexandra Pruner</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w:t>
            </w:r>
          </w:p>
        </w:tc>
      </w:tr>
    </w:tbl>
    <w:p>
      <w:pPr>
        <w:pStyle w:val="TextBody"/>
        <w:spacing w:before="0" w:after="0"/>
        <w:ind w:left="0" w:right="0" w:hanging="0"/>
        <w:rPr/>
      </w:pPr>
      <w:r>
        <w:rPr/>
        <w:t> </w:t>
      </w:r>
    </w:p>
    <w:p>
      <w:pPr>
        <w:pStyle w:val="HorizontalLine"/>
        <w:pBdr>
          <w:bottom w:val="single" w:sz="18"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8" w:name="a18-41341_1ex99d1.htm"/>
      <w:bookmarkStart w:id="9" w:name="ksa1841341_1ex99d1"/>
      <w:bookmarkEnd w:id="8"/>
      <w:bookmarkEnd w:id="9"/>
      <w:r>
        <w:rPr>
          <w:rFonts w:ascii="Times New Roman" w:hAnsi="Times New Roman"/>
          <w:b/>
          <w:sz w:val="17"/>
        </w:rPr>
        <w:t>Exhibit 99.1</w:t>
      </w:r>
      <w:bookmarkStart w:id="10" w:name="Exhibit99_1_120535"/>
      <w:bookmarkEnd w:id="10"/>
    </w:p>
    <w:p>
      <w:pPr>
        <w:pStyle w:val="TextBody"/>
        <w:spacing w:before="0" w:after="0"/>
        <w:ind w:left="0" w:right="0" w:hanging="0"/>
        <w:jc w:val="center"/>
        <w:rPr/>
      </w:pPr>
      <w:r>
        <w:rPr/>
        <w:t> </w:t>
      </w:r>
    </w:p>
    <w:p>
      <w:pPr>
        <w:pStyle w:val="TextBody"/>
        <w:spacing w:before="0" w:after="0"/>
        <w:ind w:left="0" w:right="0" w:hanging="0"/>
        <w:jc w:val="center"/>
        <w:rPr/>
      </w:pPr>
      <w:r>
        <w:rPr/>
        <w:drawing>
          <wp:inline distT="0" distB="0" distL="0" distR="0">
            <wp:extent cx="6858000"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057275"/>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Plains GP Holdings Announce Appointment of New Board Member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December 11, 2018  Plains All American Pipeline, L.P. (NYSE: PAA) and Plains GP Holdings (NYSE: PAGP) today announced that Alexandra Pruner has been appointed to serve as an independent member of the Board of Directors and Audit Committee of PAA GP Holdings LLC (GP Holdings).  The GP Holdings Board has responsibility for managing the business and affairs of PAA and PAGP.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pleased to welcome Alie to our Board, said CEO Willie Chiang.  She has extensive experience in the energy industry from a variety of perspectives, and her strong finance and investment banking background is a good fit with our board.  We feel fortunate to add such a talented and capable individual to our board, and we look forward to working with her.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Ms. Pruner, age 56, served as Partner and Chief Financial Officer of Perella Weinberg Partners (PWP), a global independent advisory firm, from December 2016 through November of this year and prior to that served as Chief Financial Officer and a member of the Management Committee of Tudor, Pickering, Holt &amp; Co. from the firms founding in 2007 until its combination with PWP in 2016.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Contact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Brett Magill</w:t>
      </w:r>
    </w:p>
    <w:p>
      <w:pPr>
        <w:pStyle w:val="TextBody"/>
        <w:spacing w:before="0" w:after="0"/>
        <w:ind w:left="0" w:right="0" w:hanging="0"/>
        <w:rPr>
          <w:rFonts w:ascii="Times New Roman" w:hAnsi="Times New Roman"/>
          <w:sz w:val="17"/>
        </w:rPr>
      </w:pPr>
      <w:r>
        <w:rPr>
          <w:rFonts w:ascii="Times New Roman" w:hAnsi="Times New Roman"/>
          <w:sz w:val="17"/>
        </w:rPr>
        <w:t>Director, Investor Relations</w:t>
      </w:r>
    </w:p>
    <w:p>
      <w:pPr>
        <w:pStyle w:val="TextBody"/>
        <w:spacing w:before="0" w:after="0"/>
        <w:ind w:left="0" w:right="0" w:hanging="0"/>
        <w:rPr>
          <w:rFonts w:ascii="Times New Roman" w:hAnsi="Times New Roman"/>
          <w:sz w:val="17"/>
        </w:rPr>
      </w:pPr>
      <w:r>
        <w:rPr>
          <w:rFonts w:ascii="Times New Roman" w:hAnsi="Times New Roman"/>
          <w:sz w:val="17"/>
        </w:rPr>
        <w:t>(866) 809-1291</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 #</w:t>
      </w:r>
    </w:p>
    <w:p>
      <w:pPr>
        <w:pStyle w:val="TextBody"/>
        <w:spacing w:before="0" w:after="0"/>
        <w:ind w:left="0" w:right="0" w:hanging="0"/>
        <w:rPr/>
      </w:pPr>
      <w:r>
        <w:rPr/>
        <w:t> </w:t>
      </w:r>
    </w:p>
    <w:p>
      <w:pPr>
        <w:pStyle w:val="HorizontalLine"/>
        <w:pBdr>
          <w:bottom w:val="single" w:sz="18"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1974</Words>
  <CharactersWithSpaces>12146</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