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90-1005472</w:t>
            </w:r>
          </w:p>
        </w:tc>
      </w:tr>
      <w:tr>
        <w:trPr>
          <w:trHeight w:val="251"/>
        </w:trPr>
        <w:tc>
          <w:tcPr>
            <w:tcW w:w="6700" w:type="dxa"/>
            <w:vAlign w:val="bottom"/>
          </w:tcPr>
          <w:p>
            <w:pPr>
              <w:jc w:val="center"/>
              <w:ind w:right="3293"/>
              <w:spacing w:after="0"/>
              <w:rPr>
                <w:sz w:val="20"/>
                <w:szCs w:val="20"/>
                <w:color w:val="auto"/>
              </w:rPr>
            </w:pPr>
            <w:r>
              <w:rPr>
                <w:rFonts w:ascii="Arial" w:cs="Arial" w:eastAsia="Arial" w:hAnsi="Arial"/>
                <w:sz w:val="16"/>
                <w:szCs w:val="16"/>
                <w:color w:val="auto"/>
                <w:w w:val="93"/>
              </w:rPr>
              <w:t>(State or other jurisdiction of</w:t>
            </w: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3"/>
              </w:rPr>
              <w:t>incorporation or organization)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11"/>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00" w:type="dxa"/>
            <w:vAlign w:val="bottom"/>
          </w:tcPr>
          <w:p>
            <w:pPr>
              <w:jc w:val="right"/>
              <w:ind w:right="275"/>
              <w:spacing w:after="0"/>
              <w:rPr>
                <w:sz w:val="20"/>
                <w:szCs w:val="20"/>
                <w:color w:val="auto"/>
              </w:rPr>
            </w:pPr>
            <w:r>
              <w:rPr>
                <w:rFonts w:ascii="Arial" w:cs="Arial" w:eastAsia="Arial" w:hAnsi="Arial"/>
                <w:sz w:val="18"/>
                <w:szCs w:val="18"/>
                <w:b w:val="1"/>
                <w:bCs w:val="1"/>
                <w:color w:val="auto"/>
              </w:rPr>
              <w:t>77002</w:t>
            </w:r>
          </w:p>
        </w:tc>
      </w:tr>
      <w:tr>
        <w:trPr>
          <w:trHeight w:val="251"/>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4"/>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437"/>
        </w:trPr>
        <w:tc>
          <w:tcPr>
            <w:tcW w:w="6700" w:type="dxa"/>
            <w:vAlign w:val="bottom"/>
          </w:tcPr>
          <w:p>
            <w:pPr>
              <w:jc w:val="right"/>
              <w:ind w:right="1273"/>
              <w:spacing w:after="0"/>
              <w:rPr>
                <w:sz w:val="20"/>
                <w:szCs w:val="20"/>
                <w:color w:val="auto"/>
              </w:rPr>
            </w:pPr>
            <w:r>
              <w:rPr>
                <w:rFonts w:ascii="Arial" w:cs="Arial" w:eastAsia="Arial" w:hAnsi="Arial"/>
                <w:sz w:val="18"/>
                <w:szCs w:val="18"/>
                <w:b w:val="1"/>
                <w:bCs w:val="1"/>
                <w:color w:val="auto"/>
              </w:rPr>
              <w:t>(713) 646-4100</w:t>
            </w:r>
          </w:p>
        </w:tc>
        <w:tc>
          <w:tcPr>
            <w:tcW w:w="1200" w:type="dxa"/>
            <w:vAlign w:val="bottom"/>
          </w:tcPr>
          <w:p>
            <w:pPr>
              <w:spacing w:after="0"/>
              <w:rPr>
                <w:sz w:val="24"/>
                <w:szCs w:val="24"/>
                <w:color w:val="auto"/>
              </w:rPr>
            </w:pPr>
          </w:p>
        </w:tc>
      </w:tr>
      <w:tr>
        <w:trPr>
          <w:trHeight w:val="216"/>
        </w:trPr>
        <w:tc>
          <w:tcPr>
            <w:tcW w:w="6700" w:type="dxa"/>
            <w:vAlign w:val="bottom"/>
          </w:tcPr>
          <w:p>
            <w:pPr>
              <w:ind w:left="2860"/>
              <w:spacing w:after="0"/>
              <w:rPr>
                <w:sz w:val="20"/>
                <w:szCs w:val="20"/>
                <w:color w:val="auto"/>
              </w:rPr>
            </w:pPr>
            <w:r>
              <w:rPr>
                <w:rFonts w:ascii="Arial" w:cs="Arial" w:eastAsia="Arial" w:hAnsi="Arial"/>
                <w:sz w:val="18"/>
                <w:szCs w:val="18"/>
                <w:color w:val="auto"/>
                <w:w w:val="90"/>
              </w:rPr>
              <w:t>(Registrant’s telephone number, including area code)</w:t>
            </w:r>
          </w:p>
        </w:tc>
        <w:tc>
          <w:tcPr>
            <w:tcW w:w="120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27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340" w:right="188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October 31, 2018, there were 159,160,785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9"/>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80" w:type="dxa"/>
            <w:vAlign w:val="bottom"/>
            <w:gridSpan w:val="18"/>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140" w:type="dxa"/>
            <w:vAlign w:val="bottom"/>
            <w:gridSpan w:val="3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2018 and December 31, 2017</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2018 and 2017</w:t>
              </w:r>
            </w:hyperlink>
          </w:p>
        </w:tc>
        <w:tc>
          <w:tcPr>
            <w:tcW w:w="1420" w:type="dxa"/>
            <w:vAlign w:val="bottom"/>
            <w:gridSpan w:val="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500" w:type="dxa"/>
            <w:vAlign w:val="bottom"/>
            <w:tcBorders>
              <w:bottom w:val="single" w:sz="8" w:color="0000EE"/>
            </w:tcBorders>
            <w:gridSpan w:val="3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2018 and 2017</w:t>
              </w:r>
            </w:hyperlink>
          </w:p>
        </w:tc>
        <w:tc>
          <w:tcPr>
            <w:tcW w:w="50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6"/>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Changes in Accumulated Other Comprehensive Income/(Loss): For the nine months ended</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2018 and 2017</w:t>
              </w:r>
            </w:hyperlink>
          </w:p>
        </w:tc>
        <w:tc>
          <w:tcPr>
            <w:tcW w:w="7080" w:type="dxa"/>
            <w:vAlign w:val="bottom"/>
            <w:tcBorders>
              <w:top w:val="single" w:sz="8" w:color="0000EE"/>
            </w:tcBorders>
            <w:gridSpan w:val="21"/>
          </w:tcPr>
          <w:p>
            <w:pPr>
              <w:spacing w:after="0"/>
              <w:rPr>
                <w:sz w:val="17"/>
                <w:szCs w:val="17"/>
                <w:color w:val="auto"/>
              </w:rPr>
            </w:pPr>
          </w:p>
        </w:tc>
        <w:tc>
          <w:tcPr>
            <w:tcW w:w="60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792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2018 and 2017</w:t>
              </w:r>
            </w:hyperlink>
          </w:p>
        </w:tc>
        <w:tc>
          <w:tcPr>
            <w:tcW w:w="208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nine months ended September 30, 2018 and 2017</w:t>
              </w:r>
            </w:hyperlink>
          </w:p>
        </w:tc>
        <w:tc>
          <w:tcPr>
            <w:tcW w:w="86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700" w:type="dxa"/>
            <w:vAlign w:val="bottom"/>
            <w:gridSpan w:val="13"/>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40" w:type="dxa"/>
            <w:vAlign w:val="bottom"/>
            <w:gridSpan w:val="1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7"/>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6960" w:type="dxa"/>
            <w:vAlign w:val="bottom"/>
            <w:gridSpan w:val="1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2680" w:type="dxa"/>
            <w:vAlign w:val="bottom"/>
            <w:gridSpan w:val="17"/>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Revenues</w:t>
              </w:r>
            </w:hyperlink>
          </w:p>
        </w:tc>
        <w:tc>
          <w:tcPr>
            <w:tcW w:w="6960" w:type="dxa"/>
            <w:vAlign w:val="bottom"/>
            <w:gridSpan w:val="1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4.</w:t>
              </w:r>
            </w:hyperlink>
          </w:p>
        </w:tc>
        <w:tc>
          <w:tcPr>
            <w:tcW w:w="2220" w:type="dxa"/>
            <w:vAlign w:val="bottom"/>
            <w:gridSpan w:val="12"/>
          </w:tcPr>
          <w:p>
            <w:pPr>
              <w:ind w:left="20"/>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Net Income Per Class A Share</w:t>
              </w:r>
            </w:hyperlink>
          </w:p>
        </w:tc>
        <w:tc>
          <w:tcPr>
            <w:tcW w:w="742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5.</w:t>
              </w:r>
            </w:hyperlink>
          </w:p>
        </w:tc>
        <w:tc>
          <w:tcPr>
            <w:tcW w:w="2220" w:type="dxa"/>
            <w:vAlign w:val="bottom"/>
            <w:gridSpan w:val="12"/>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Accounts Receivable, Net</w:t>
              </w:r>
            </w:hyperlink>
          </w:p>
        </w:tc>
        <w:tc>
          <w:tcPr>
            <w:tcW w:w="742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6.</w:t>
              </w:r>
            </w:hyperlink>
          </w:p>
        </w:tc>
        <w:tc>
          <w:tcPr>
            <w:tcW w:w="4240" w:type="dxa"/>
            <w:vAlign w:val="bottom"/>
            <w:gridSpan w:val="22"/>
          </w:tcPr>
          <w:p>
            <w:pPr>
              <w:ind w:left="20"/>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Inventory, Linefill and Base Gas and Long-term Inventory</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7.</w:t>
              </w:r>
            </w:hyperlink>
          </w:p>
        </w:tc>
        <w:tc>
          <w:tcPr>
            <w:tcW w:w="860" w:type="dxa"/>
            <w:vAlign w:val="bottom"/>
            <w:gridSpan w:val="4"/>
          </w:tcPr>
          <w:p>
            <w:pPr>
              <w:ind w:left="20"/>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Divestitures</w:t>
              </w:r>
            </w:hyperlink>
          </w:p>
        </w:tc>
        <w:tc>
          <w:tcPr>
            <w:tcW w:w="3380" w:type="dxa"/>
            <w:vAlign w:val="bottom"/>
            <w:gridSpan w:val="18"/>
          </w:tcPr>
          <w:p>
            <w:pPr>
              <w:spacing w:after="0"/>
              <w:rPr>
                <w:sz w:val="21"/>
                <w:szCs w:val="21"/>
                <w:color w:val="auto"/>
              </w:rPr>
            </w:pPr>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8.</w:t>
              </w:r>
            </w:hyperlink>
          </w:p>
        </w:tc>
        <w:tc>
          <w:tcPr>
            <w:tcW w:w="860" w:type="dxa"/>
            <w:vAlign w:val="bottom"/>
            <w:gridSpan w:val="4"/>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Goodwill</w:t>
              </w:r>
            </w:hyperlink>
          </w:p>
        </w:tc>
        <w:tc>
          <w:tcPr>
            <w:tcW w:w="8780" w:type="dxa"/>
            <w:vAlign w:val="bottom"/>
            <w:gridSpan w:val="2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9.</w:t>
              </w:r>
            </w:hyperlink>
          </w:p>
        </w:tc>
        <w:tc>
          <w:tcPr>
            <w:tcW w:w="380" w:type="dxa"/>
            <w:vAlign w:val="bottom"/>
          </w:tcPr>
          <w:p>
            <w:pPr>
              <w:ind w:left="2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8940" w:type="dxa"/>
            <w:vAlign w:val="bottom"/>
            <w:gridSpan w:val="30"/>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3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10. Partners’ Capital and Distributions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3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11. Derivatives and Risk Management Activities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12. Related Party Transactions</w:t>
              </w:r>
            </w:hyperlink>
          </w:p>
        </w:tc>
        <w:tc>
          <w:tcPr>
            <w:tcW w:w="630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13. Commitments and Contingencies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14. Operating Segments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140" w:type="dxa"/>
            <w:vAlign w:val="bottom"/>
            <w:gridSpan w:val="3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9"/>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68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21"/>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4. CONTROLS AND PROCEDURES</w:t>
              </w:r>
            </w:hyperlink>
          </w:p>
        </w:tc>
        <w:tc>
          <w:tcPr>
            <w:tcW w:w="3520" w:type="dxa"/>
            <w:vAlign w:val="bottom"/>
            <w:gridSpan w:val="8"/>
          </w:tcPr>
          <w:p>
            <w:pPr>
              <w:spacing w:after="0"/>
              <w:rPr>
                <w:sz w:val="21"/>
                <w:szCs w:val="21"/>
                <w:color w:val="auto"/>
              </w:rPr>
            </w:pPr>
          </w:p>
        </w:tc>
        <w:tc>
          <w:tcPr>
            <w:tcW w:w="344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520"/>
        </w:trPr>
        <w:tc>
          <w:tcPr>
            <w:tcW w:w="276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4"/>
          </w:tcPr>
          <w:p>
            <w:pPr>
              <w:spacing w:after="0"/>
              <w:rPr>
                <w:sz w:val="24"/>
                <w:szCs w:val="24"/>
                <w:color w:val="auto"/>
              </w:rPr>
            </w:pPr>
          </w:p>
        </w:tc>
        <w:tc>
          <w:tcPr>
            <w:tcW w:w="6960" w:type="dxa"/>
            <w:vAlign w:val="bottom"/>
            <w:gridSpan w:val="16"/>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140" w:type="dxa"/>
            <w:vAlign w:val="bottom"/>
            <w:gridSpan w:val="3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 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1A. RISK FACTORS</w:t>
              </w:r>
            </w:hyperlink>
          </w:p>
        </w:tc>
        <w:tc>
          <w:tcPr>
            <w:tcW w:w="7720" w:type="dxa"/>
            <w:vAlign w:val="bottom"/>
            <w:gridSpan w:val="2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3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2"/>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Item 3. DEFAULTS UPON SENIOR SECURITIES</w:t>
              </w:r>
            </w:hyperlink>
          </w:p>
        </w:tc>
        <w:tc>
          <w:tcPr>
            <w:tcW w:w="2880" w:type="dxa"/>
            <w:vAlign w:val="bottom"/>
            <w:gridSpan w:val="6"/>
          </w:tcPr>
          <w:p>
            <w:pPr>
              <w:spacing w:after="0"/>
              <w:rPr>
                <w:sz w:val="21"/>
                <w:szCs w:val="21"/>
                <w:color w:val="auto"/>
              </w:rPr>
            </w:pPr>
          </w:p>
        </w:tc>
        <w:tc>
          <w:tcPr>
            <w:tcW w:w="352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8"/>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40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140" w:type="dxa"/>
            <w:vAlign w:val="bottom"/>
            <w:gridSpan w:val="1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5. OTHER INFORMATION</w:t>
              </w:r>
            </w:hyperlink>
          </w:p>
        </w:tc>
        <w:tc>
          <w:tcPr>
            <w:tcW w:w="560" w:type="dxa"/>
            <w:vAlign w:val="bottom"/>
            <w:gridSpan w:val="5"/>
          </w:tcPr>
          <w:p>
            <w:pPr>
              <w:spacing w:after="0"/>
              <w:rPr>
                <w:sz w:val="21"/>
                <w:szCs w:val="21"/>
                <w:color w:val="auto"/>
              </w:rPr>
            </w:pPr>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7700" w:type="dxa"/>
            <w:vAlign w:val="bottom"/>
            <w:gridSpan w:val="24"/>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 EXHIBITS</w:t>
              </w:r>
            </w:hyperlink>
          </w:p>
        </w:tc>
        <w:tc>
          <w:tcPr>
            <w:tcW w:w="7700" w:type="dxa"/>
            <w:vAlign w:val="bottom"/>
            <w:gridSpan w:val="2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780" w:type="dxa"/>
            <w:vAlign w:val="bottom"/>
            <w:gridSpan w:val="2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8780" w:type="dxa"/>
            <w:vAlign w:val="bottom"/>
            <w:gridSpan w:val="2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1"/>
          </w:tcPr>
          <w:p>
            <w:pPr>
              <w:jc w:val="right"/>
              <w:ind w:right="6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w w:val="94"/>
              </w:rPr>
              <w:t>December 31,</w:t>
            </w:r>
          </w:p>
        </w:tc>
      </w:tr>
      <w:tr>
        <w:trPr>
          <w:trHeight w:val="222"/>
        </w:trPr>
        <w:tc>
          <w:tcPr>
            <w:tcW w:w="8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31"/>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19"/>
        </w:trPr>
        <w:tc>
          <w:tcPr>
            <w:tcW w:w="8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4"/>
          </w:tcPr>
          <w:p>
            <w:pPr>
              <w:jc w:val="right"/>
              <w:ind w:right="1015"/>
              <w:spacing w:after="0"/>
              <w:rPr>
                <w:sz w:val="20"/>
                <w:szCs w:val="20"/>
                <w:color w:val="auto"/>
              </w:rPr>
            </w:pPr>
            <w:r>
              <w:rPr>
                <w:rFonts w:ascii="Arial" w:cs="Arial" w:eastAsia="Arial" w:hAnsi="Arial"/>
                <w:sz w:val="17"/>
                <w:szCs w:val="17"/>
                <w:b w:val="1"/>
                <w:bCs w:val="1"/>
                <w:color w:val="auto"/>
              </w:rPr>
              <w:t>(unaudited)</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40</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accounts receivable and other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3,029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Inventory</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713</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4,131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4,003</w:t>
            </w:r>
          </w:p>
        </w:tc>
      </w:tr>
      <w:tr>
        <w:trPr>
          <w:trHeight w:val="31"/>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PROPERTY AND EQUIPMENT</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17,751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16,901</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(2,796)</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14,692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14,105</w:t>
            </w:r>
          </w:p>
        </w:tc>
      </w:tr>
      <w:tr>
        <w:trPr>
          <w:trHeight w:val="31"/>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6"/>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OTHER 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5"/>
        </w:trPr>
        <w:tc>
          <w:tcPr>
            <w:tcW w:w="8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Investments in unconsolidated entities</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2,539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2,756</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asset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Linefill and base gas</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872</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Other long-term assets, net</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948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901</w:t>
            </w:r>
          </w:p>
        </w:tc>
      </w:tr>
      <w:tr>
        <w:trPr>
          <w:trHeight w:val="31"/>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3,614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3,459</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Short-term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Other current liabilities</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337</w:t>
            </w:r>
          </w:p>
        </w:tc>
      </w:tr>
      <w:tr>
        <w:trPr>
          <w:trHeight w:val="31"/>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4,533</w:t>
            </w:r>
          </w:p>
        </w:tc>
      </w:tr>
      <w:tr>
        <w:trPr>
          <w:trHeight w:val="210"/>
        </w:trPr>
        <w:tc>
          <w:tcPr>
            <w:tcW w:w="8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Senior notes, net</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8,939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8,933</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Other long-term liabilities and deferred credits</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679</w:t>
            </w:r>
          </w:p>
        </w:tc>
      </w:tr>
      <w:tr>
        <w:trPr>
          <w:trHeight w:val="31"/>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9,862</w:t>
            </w:r>
          </w:p>
        </w:tc>
      </w:tr>
      <w:tr>
        <w:trPr>
          <w:trHeight w:val="210"/>
        </w:trPr>
        <w:tc>
          <w:tcPr>
            <w:tcW w:w="8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COMMITMENTS AND CONTINGENCIES (NOTE 13)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Class A Shareholders (159,160,785 and 156,111,139 shares outstanding, respectively)</w:t>
            </w:r>
          </w:p>
        </w:tc>
        <w:tc>
          <w:tcPr>
            <w:tcW w:w="1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1,747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1,695</w:t>
            </w:r>
          </w:p>
        </w:tc>
      </w:tr>
      <w:tr>
        <w:trPr>
          <w:trHeight w:val="31"/>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10,663</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partners’ capital</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12,711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12,358</w:t>
            </w:r>
          </w:p>
        </w:tc>
      </w:tr>
      <w:tr>
        <w:trPr>
          <w:trHeight w:val="31"/>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40" w:type="dxa"/>
            <w:vAlign w:val="bottom"/>
            <w:gridSpan w:val="4"/>
          </w:tcPr>
          <w:p>
            <w:pPr>
              <w:jc w:val="center"/>
              <w:ind w:left="457"/>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8,482</w:t>
            </w:r>
          </w:p>
        </w:tc>
        <w:tc>
          <w:tcPr>
            <w:tcW w:w="12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5,573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24,374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8,792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18,618</w:t>
            </w: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7,768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22,838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8"/>
              </w:rPr>
              <w:t>8,300</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5,830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24,311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investment in unconsolidated entities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 of capitalized interest of $8, $11, $21 and $26,</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INCOME/(LOSS) BEFORE TAX</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(expense)/benefit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Deferred income tax (expense)/benefit</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860" w:type="dxa"/>
            <w:vAlign w:val="bottom"/>
          </w:tcPr>
          <w:p>
            <w:pPr>
              <w:spacing w:after="0"/>
              <w:rPr>
                <w:sz w:val="19"/>
                <w:szCs w:val="19"/>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vMerge w:val="restart"/>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1"/>
        </w:trPr>
        <w:tc>
          <w:tcPr>
            <w:tcW w:w="5620" w:type="dxa"/>
            <w:vAlign w:val="bottom"/>
          </w:tcPr>
          <w:p>
            <w:pPr>
              <w:ind w:left="200"/>
              <w:spacing w:after="0"/>
              <w:rPr>
                <w:sz w:val="20"/>
                <w:szCs w:val="20"/>
                <w:color w:val="auto"/>
              </w:rPr>
            </w:pPr>
            <w:r>
              <w:rPr>
                <w:rFonts w:ascii="Arial" w:cs="Arial" w:eastAsia="Arial" w:hAnsi="Arial"/>
                <w:sz w:val="18"/>
                <w:szCs w:val="18"/>
                <w:b w:val="1"/>
                <w:bCs w:val="1"/>
                <w:color w:val="auto"/>
              </w:rPr>
              <w:t>OUTSTANDING</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vMerge w:val="restart"/>
          </w:tcPr>
          <w:p>
            <w:pPr>
              <w:jc w:val="right"/>
              <w:ind w:right="133"/>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Pr>
          <w:p>
            <w:pPr>
              <w:spacing w:after="0"/>
              <w:rPr>
                <w:sz w:val="21"/>
                <w:szCs w:val="21"/>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(624)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loss on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sale of investment in unconsolidated entities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r>
      <w:tr>
        <w:trPr>
          <w:trHeight w:val="169"/>
        </w:trPr>
        <w:tc>
          <w:tcPr>
            <w:tcW w:w="83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PAA commercial paper program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borrowings/(repayments) under PAA senior secured hedged inventory facility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PAA GO Zone term loans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PAA senior notes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sales of Class A shares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sales of common units by a subsidiary</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10)</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10)</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67"/>
        </w:trPr>
        <w:tc>
          <w:tcPr>
            <w:tcW w:w="83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56"/>
        </w:trPr>
        <w:tc>
          <w:tcPr>
            <w:tcW w:w="8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09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097"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Impact of adoption of ASU 2017-05 (Note 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10)</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units by a subsidiary for acquisition of interest in Advantage Joint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00" w:right="250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September 30, 2018,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September 30, 2018, PAGP owned (i) a 100% managing member interest in Plains All American GP LLC (“GP LLC”), an entity that has also elected to be taxed as a corporation for United States federal income tax purposes and (ii) an approximate 57% limited partner interest in Plains AAP, L.P. (“AAP”) through our direct ownership of approximately 158.2 million Class A units of AAP (“AAP units”) and indirect ownership of approximately 1.0 million AAP units through GP LLC. GP LLC is a Delaware limited liability company that also holds the non-economic general partner interest in AAP. AAP is a Delaware limited partnership that, as of September 30, 2018, directly owned a limited partner interest in PAA through its ownership of approximately 281.0 million PAA common units (approximately 35% of PAA’s total outstanding common units and Series A preferred units combined). AAP is the sole member of PAA GP LLC (“PAA GP”), a Delaware limited liability company that directly holds the non-economic general partner interest in PAA.</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2017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2017 was derived from audited financial statements, but does not include all disclosures required by GAAP. The results of operations for the three and nine months ended September 30, 2018 should not be taken as indicative of results to be expected for the entire year.</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44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 the exception of a deferred tax asset of $1.347 billion and $1.386 billion as of September 30, 2018 and December 31, 2017, respectively, substantially all assets and liabilities presented on PAGP’s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2018 or the year ended December 31, 2017. See Note 15 to our Consolidated Financial Statements included in Part IV of our 2017 Annual Report on Form 10-K for information regarding the Omnibus Agreement entered into in connection with the Simplification Transactions.</w:t>
      </w:r>
    </w:p>
    <w:p>
      <w:pPr>
        <w:spacing w:after="0" w:line="1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Except as discussed below and in our 2017 Annual Report on Form 10-K, there have been no new accounting pronouncements that have become effective or have been issued during the nine months ended September 30, 2018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February 2017, the FASB issued ASU 2017-05, </w:t>
      </w:r>
      <w:r>
        <w:rPr>
          <w:rFonts w:ascii="Arial" w:cs="Arial" w:eastAsia="Arial" w:hAnsi="Arial"/>
          <w:sz w:val="17"/>
          <w:szCs w:val="17"/>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7"/>
          <w:szCs w:val="17"/>
          <w:color w:val="auto"/>
        </w:rPr>
        <w:t>. The ASU clarifies what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(defined below).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during 2016 and 2017.</w:t>
      </w:r>
    </w:p>
    <w:p>
      <w:pPr>
        <w:spacing w:after="0" w:line="18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15, 2017. We adopted this ASU on January 1, 2018. Our adoption did not have an impact on our statement of cash flows.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(a consensus of the FASB Emerging Issues Task Force), </w:t>
      </w:r>
      <w:r>
        <w:rPr>
          <w:rFonts w:ascii="Arial" w:cs="Arial" w:eastAsia="Arial" w:hAnsi="Arial"/>
          <w:sz w:val="17"/>
          <w:szCs w:val="17"/>
          <w:color w:val="auto"/>
        </w:rPr>
        <w:t>to address the accounting for implementation costs of a hosting arrangement that is a service contract and to align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for hosting arrangements, regardless of whether they convey a license to the hosted software. This guidance is effective for interim and annual periods beginning after December 15, 2019, with early adoption permitted. We expect to adopt this guidance on January 1, 2020, and we are currently evaluating the effect that our adoption of this guidance will have on our financial position, results of operations and cash flows.</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modifying the disclosure requirements on fair value measurements in Topic 820. This guidance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and annual periods beginning after December 15, 2019, with early adoption permitted. We expect to adopt this guidance on January 1, 2020, and we are currently evaluating the effect that our adoption of this guidance will have on our financial position, results of operations and cash flows.</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July 2018, the FASB issued ASU 2018-09,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makes updates for clarifications, technical corrections and other minor improvements to a wide variety of Topics to make the ASC easier to understand and to apply. The transition and effective date is based on the facts and circumstances of each amendment with some amendments effective upon issuance. The remaining amendments are effective for annual periods beginning after December 15, 2018. We expect to adopt the remaining applicable amendments within this guidance on January 1, 2019, and we are currently evaluating the effect that our adoption of this guidance will have on our financial position, results of operations and cash flows.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expands the scope of Topic 718 to include share-based payment awards to nonemployees and eliminates the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for employee and nonemployee share-based payment awards. This guidance is effective for interim and annual periods beginning after December 15, 2018, with early adoption permitted. We expect to adopt this guidance on January 1, 2019, and we do not currently anticipate that our adoption will have a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that revises the current accounting model for leases. The most significant changes are the clarification of the definition of a lease and required lessee recognition on the balance sheet of lease assets and liabilities with lease terms of more than 12 months (with the election of the practical expedient to exclude short-term leases on the balance sheet),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We have implemented a process to evaluate the impact of adopting this guidance on each type of lease contract we have entered into with counterparties. Our implementation team is in the process of determining appropriate changes to our business processes, systems and controls to support recognition and disclosure under the new standard. Although our evaluation and implementation procedures are ongoing, we currently estimate that there will be a material impact on our financial position (both lease assets and lease liabilities), as well as an increase in disclosures related to leases. However, the determination of the ultimate impact of adopting this guidance will not be known until our implementation procedures are complete and will depend on our lease portfolio as of the adoption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There was no material impact to opening retained earnings as of January 1, 2018 due to the adoption of Topic 606. There also was no material impact to revenues, or any other financial statement line items, for the three and nine months ended September 30, 2018 as a result of applying Topic 606.</w:t>
      </w:r>
    </w:p>
    <w:p>
      <w:pPr>
        <w:spacing w:after="0" w:line="12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20" w:type="dxa"/>
            <w:vAlign w:val="bottom"/>
          </w:tcPr>
          <w:p>
            <w:pPr>
              <w:jc w:val="right"/>
              <w:ind w:right="217"/>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6"/>
                <w:szCs w:val="16"/>
                <w:color w:val="auto"/>
              </w:rPr>
            </w:pPr>
          </w:p>
        </w:tc>
        <w:tc>
          <w:tcPr>
            <w:tcW w:w="1620" w:type="dxa"/>
            <w:vAlign w:val="bottom"/>
          </w:tcPr>
          <w:p>
            <w:pPr>
              <w:jc w:val="right"/>
              <w:ind w:right="237"/>
              <w:spacing w:after="0"/>
              <w:rPr>
                <w:sz w:val="20"/>
                <w:szCs w:val="20"/>
                <w:color w:val="auto"/>
              </w:rPr>
            </w:pPr>
            <w:r>
              <w:rPr>
                <w:rFonts w:ascii="Arial" w:cs="Arial" w:eastAsia="Arial" w:hAnsi="Arial"/>
                <w:sz w:val="14"/>
                <w:szCs w:val="14"/>
                <w:b w:val="1"/>
                <w:bCs w:val="1"/>
                <w:color w:val="auto"/>
                <w:w w:val="97"/>
              </w:rPr>
              <w:t>September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Crude oil transactions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7,978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22,651</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other transactions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2,181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24,832</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purchases and sales under buy/sell transactions are treated as inventory exchanges which are excluded from Supply and Logistics segment revenues in our Condensed Consolidated Statements of Operations. Revenues recognized by our Supply and Logistics segment primarily represent margin based activities.</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Condensed Consolidated Balance Sheet until all of our performance obligations are complete. At that time, the inventory that has been sold is removed from our Condensed Consolidated Balance Sheet and recorded as “Purchases and Related Costs” in our Condensed Consolidated Statement of Operations. At September 30, 2018, other current assets and deferred revenue associated with these agreements was approximately $157 million and $159 million, respectively. See Contract Balances below for further discussion of contract liabilities associated with these agreements.</w:t>
      </w:r>
    </w:p>
    <w:p>
      <w:pPr>
        <w:spacing w:after="0" w:line="17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2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6"/>
                <w:szCs w:val="16"/>
                <w:color w:val="auto"/>
              </w:rPr>
            </w:pPr>
          </w:p>
        </w:tc>
        <w:tc>
          <w:tcPr>
            <w:tcW w:w="1620" w:type="dxa"/>
            <w:vAlign w:val="bottom"/>
          </w:tcPr>
          <w:p>
            <w:pPr>
              <w:jc w:val="right"/>
              <w:ind w:right="235"/>
              <w:spacing w:after="0"/>
              <w:rPr>
                <w:sz w:val="20"/>
                <w:szCs w:val="20"/>
                <w:color w:val="auto"/>
              </w:rPr>
            </w:pPr>
            <w:r>
              <w:rPr>
                <w:rFonts w:ascii="Arial" w:cs="Arial" w:eastAsia="Arial" w:hAnsi="Arial"/>
                <w:sz w:val="14"/>
                <w:szCs w:val="14"/>
                <w:b w:val="1"/>
                <w:bCs w:val="1"/>
                <w:color w:val="auto"/>
                <w:w w:val="97"/>
              </w:rPr>
              <w:t>September 30, 2018</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Transportation segment revenues from contracts with customers</w:t>
            </w:r>
          </w:p>
        </w:tc>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2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2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Trucking</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Total Transportation segment revenues from contracts with customers</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7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Arial" w:cs="Arial" w:eastAsia="Arial" w:hAnsi="Arial"/>
                <w:sz w:val="14"/>
                <w:szCs w:val="14"/>
                <w:b w:val="1"/>
                <w:bCs w:val="1"/>
                <w:color w:val="auto"/>
                <w:w w:val="97"/>
              </w:rPr>
              <w:t>September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Crude oil, NGL and other terminalling and storage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511</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natural gas processing and fractionation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Rail load / unload</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56</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845</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 (iii) fees from NGL fractionation and isomerization services, (iv) fees from natural gas and condensate processing services, (v) fees associated with natural gas park and loan activities, interruptible storage services and wheeling and balancing services (“natural gas storage related activities”) and (vi) loading and unloading fees at our rail terminals.</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Condensed Consolidated Statement of Operations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Supply and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3"/>
                <w:szCs w:val="23"/>
                <w:color w:val="auto"/>
              </w:rPr>
            </w:pPr>
          </w:p>
        </w:tc>
        <w:tc>
          <w:tcPr>
            <w:tcW w:w="4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40" w:type="dxa"/>
            <w:vAlign w:val="bottom"/>
            <w:vMerge w:val="restart"/>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4"/>
            <w:vMerge w:val="continue"/>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25,269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Trade Accounts Receivable and Other Receivables. </w:t>
      </w:r>
      <w:r>
        <w:rPr>
          <w:rFonts w:ascii="Arial" w:cs="Arial" w:eastAsia="Arial" w:hAnsi="Arial"/>
          <w:sz w:val="18"/>
          <w:szCs w:val="18"/>
          <w:color w:val="auto"/>
        </w:rPr>
        <w:t>We generally invoice customers in the month following that in which products or services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and generally require payment within 30 days of the invoice date. The following is a reconciliation of trade accounts receivable from revenues from contracts with customers to total Trade accounts receivable and other receivables, net as presented on our Condensed Consolidated Balance Sheet (in millions):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0"/>
        </w:trPr>
        <w:tc>
          <w:tcPr>
            <w:tcW w:w="8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57"/>
        </w:trPr>
        <w:tc>
          <w:tcPr>
            <w:tcW w:w="828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agreed upon period. These contracts are within the scope of Topic 606. In addition, we have certain buy/sell agreements that require customers to deliver a minimum volume over an agreed upon period that are within the scope of ASC Topic 845, </w:t>
      </w:r>
      <w:r>
        <w:rPr>
          <w:rFonts w:ascii="Arial" w:cs="Arial" w:eastAsia="Arial" w:hAnsi="Arial"/>
          <w:sz w:val="17"/>
          <w:szCs w:val="17"/>
          <w:i w:val="1"/>
          <w:iCs w:val="1"/>
          <w:color w:val="auto"/>
        </w:rPr>
        <w:t>Nonmonetary Transactions</w:t>
      </w:r>
      <w:r>
        <w:rPr>
          <w:rFonts w:ascii="Arial" w:cs="Arial" w:eastAsia="Arial" w:hAnsi="Arial"/>
          <w:sz w:val="17"/>
          <w:szCs w:val="17"/>
          <w:color w:val="auto"/>
        </w:rPr>
        <w:t xml:space="preserve"> (“Topic 845”).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At September 30, 2018 and December 31, 2017, counterparty deficiencies associated with agreements (under Topic 606 and Topic 845) that include minimum volume commitments totaled $62 million and $57 million, respectively, of which $42 million and $37 million, respectively, was recorded as a contract liability, which we refer to as deferred revenue. The remaining balance of $20 million at both September 30, 2018 and December 31, 2017 was related to deficiencies for which the counterparties had not met their contractual minimum commitments and were not reflected in our Condensed Consolidated Financial Statements as we had not yet billed or collected such amounts.</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nine months ended September 30, 2018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9360" w:type="dxa"/>
            <w:vAlign w:val="bottom"/>
          </w:tcPr>
          <w:p>
            <w:pPr>
              <w:ind w:left="18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 (2)</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0" w:hanging="652"/>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Includes approximately $159 million associated with crude oil sales agreements that are entered into in conjunction with storage arrangements and future inventory exchanges. Such amount is expected to be recognized as revenue in the fourth quarter of 2018.</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Includes $100 million associated with long-term capacity agreements with Cactus II Pipeline LLC. See Note 12 for additional information.</w:t>
      </w:r>
    </w:p>
    <w:p>
      <w:pPr>
        <w:spacing w:after="0" w:line="20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September 30, 2018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2023 and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w w:val="90"/>
              </w:rPr>
              <w:t xml:space="preserve">commitments and long-term capacity agreements </w:t>
            </w:r>
            <w:r>
              <w:rPr>
                <w:rFonts w:ascii="Arial" w:cs="Arial" w:eastAsia="Arial" w:hAnsi="Arial"/>
                <w:sz w:val="25"/>
                <w:szCs w:val="25"/>
                <w:color w:val="auto"/>
                <w:w w:val="90"/>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Long-term storage, terminalling and throughput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agreements revenues</w:t>
            </w:r>
          </w:p>
        </w:tc>
        <w:tc>
          <w:tcPr>
            <w:tcW w:w="14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4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Includes revenues from certain contracts for which the amount and timing of revenue is subject to the completion of underlying construction projects.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right="10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related to the assets of equity method investees — Contracts include those related to the Eagle Ford, BridgeTex, STACK, Caddo, Saddlehorn, White Cliffs, Cheyenne, Diamond and Cactus II pipeline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44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Logistics contracts within the scope of Topic 845 — Contracts include buy/sell arrangements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right="16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2017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16 to our Consolidated Financial Statements included in Part IV of our 2017 Annual Report on Form 10-K for information regarding PAGP LTIP awards.</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three and nine months ended September 30, 2018 and 2017, the possible exchange of any AAP units and certain AAP Management Units would not have had a dilutive effect on basic net income per Class A share. For the three and nine months ended September 30, 2018 and 2017, our PAGP LTIP awards were dilutive; however, there were less than 0.1 million dilutive LTIP awards for each period, which did not change the presentation of weighted average Class A shares outstanding or net income per Class A share.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0.70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5—Accounts Receivable, Net</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September 30, 2018 and December 31, 2017, we had received $136 million and $117 million, respectively, of advance cash payments from third parties to mitigate credit risk. We also received $36 million and $54 million as of September 30,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6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2018 and December 31, 2017, substantially all of our trade accounts receivable (net of allowance for doubtful accounts) were less than 30 days past their scheduled invoice date. Our allowance for doubtful accounts receivable totaled $3 million at both September 30, 2018 and December 31, 2017. Although we consider our allowance for doubtful accounts receivable to be adequate, actual amounts could vary significantly from estimated amounts.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7,020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55.41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15,122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13,033</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58.01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59.51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2,351</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nine months ended September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on our accompanying Condensed Consolidated Statements of Operations. See Note 11 for discussion of our derivative and risk management activities. We did not record such charges during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7—Divestitures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September 30, 2018, we received proceeds from asset sales of $1.298 billion.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BridgeTex</w:t>
      </w:r>
      <w:r>
        <w:rPr>
          <w:rFonts w:ascii="Arial" w:cs="Arial" w:eastAsia="Arial" w:hAnsi="Arial"/>
          <w:sz w:val="18"/>
          <w:szCs w:val="18"/>
          <w:color w:val="auto"/>
        </w:rPr>
        <w:t>. During the third quarter of 2018, we sold a 30% interest in BridgeTex Pipeline Company, LLC (“BridgeTex”) for proceeds of $868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including working capital adjustments, and have retained a 20% interest. We recorded a gain of $210 million related to this sale, which is included in “Gain on sale of investment in unconsolidated entities” on our Condensed Consolidated Statement of Operations. We continue to account for our remaining interest under the equity method of accounting.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The other assets sold during the nine months ended September 30, 2018 primarily included non-core property and equipment or are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formation of strategic joint ventures and were previously reported in our Facilities and Transportation segments. We recognized losses related to these asset sales of $2 million for the three months ended September 30, 2018. For the nine months ended September 30, 2018, we recognized a net gain of $79 million, which is comprised of gains of $105 million and losses of $26 million. Such amounts are included in “Depreciation and amortization” on our Condensed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2,540</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goodwill impairment test as of June 30, 2018 and determined that there was no impairment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63" w:lineRule="exact"/>
        <w:rPr>
          <w:sz w:val="20"/>
          <w:szCs w:val="20"/>
          <w:color w:val="auto"/>
        </w:rPr>
      </w:pPr>
    </w:p>
    <w:p>
      <w:pPr>
        <w:ind w:left="8800"/>
        <w:spacing w:after="0"/>
        <w:tabs>
          <w:tab w:leader="none" w:pos="1030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PAA commercial paper notes, bearing a weighted-average interest rate of 3.3%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1" w:lineRule="exact"/>
        <w:rPr>
          <w:sz w:val="20"/>
          <w:szCs w:val="20"/>
          <w:color w:val="auto"/>
        </w:rPr>
      </w:pPr>
    </w:p>
    <w:p>
      <w:pPr>
        <w:ind w:left="200" w:right="220" w:hanging="161"/>
        <w:spacing w:after="0" w:line="241" w:lineRule="auto"/>
        <w:rPr>
          <w:sz w:val="20"/>
          <w:szCs w:val="20"/>
          <w:color w:val="auto"/>
        </w:rPr>
      </w:pPr>
      <w:r>
        <w:rPr>
          <w:rFonts w:ascii="Arial" w:cs="Arial" w:eastAsia="Arial" w:hAnsi="Arial"/>
          <w:sz w:val="18"/>
          <w:szCs w:val="18"/>
          <w:color w:val="auto"/>
        </w:rPr>
        <w:t xml:space="preserve">PAA senior secured hedged inventory facility, bearing a weighted-average interest rate of 3.2% and 2.6%,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PAA senior notes, net of unamortized discounts and debt issuance costs of $61 and $67,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PAA commercial paper notes and senior secured hedged inventory facility borrowings </w:t>
      </w:r>
      <w:r>
        <w:rPr>
          <w:rFonts w:ascii="Arial" w:cs="Arial" w:eastAsia="Arial" w:hAnsi="Arial"/>
          <w:sz w:val="25"/>
          <w:szCs w:val="25"/>
          <w:color w:val="auto"/>
          <w:vertAlign w:val="superscript"/>
        </w:rPr>
        <w:t>(3)</w:t>
      </w:r>
    </w:p>
    <w:p>
      <w:pPr>
        <w:ind w:left="40"/>
        <w:spacing w:after="0"/>
        <w:rPr>
          <w:sz w:val="20"/>
          <w:szCs w:val="20"/>
          <w:color w:val="auto"/>
        </w:rPr>
      </w:pPr>
      <w:r>
        <w:rPr>
          <w:rFonts w:ascii="Arial" w:cs="Arial" w:eastAsia="Arial" w:hAnsi="Arial"/>
          <w:sz w:val="16"/>
          <w:szCs w:val="16"/>
          <w:color w:val="auto"/>
        </w:rPr>
        <w:t>PAA GO Zone term loans, net of debt issuance costs of $2, bearing a weighted-average interest rate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1040" w:val="left"/>
          <w:tab w:leader="none" w:pos="146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w:t>
        <w:tab/>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jc w:val="both"/>
        <w:ind w:left="980"/>
        <w:spacing w:after="0"/>
        <w:tabs>
          <w:tab w:leader="none" w:pos="242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8"/>
          <w:szCs w:val="18"/>
          <w:color w:val="auto"/>
        </w:rPr>
        <w:t>664</w:t>
      </w:r>
    </w:p>
    <w:p>
      <w:pPr>
        <w:spacing w:after="0" w:line="63" w:lineRule="exact"/>
        <w:rPr>
          <w:sz w:val="20"/>
          <w:szCs w:val="20"/>
          <w:color w:val="auto"/>
        </w:rPr>
      </w:pPr>
    </w:p>
    <w:p>
      <w:pPr>
        <w:jc w:val="both"/>
        <w:ind w:left="1060"/>
        <w:spacing w:after="0"/>
        <w:tabs>
          <w:tab w:leader="none" w:pos="25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73</w:t>
      </w:r>
    </w:p>
    <w:p>
      <w:pPr>
        <w:spacing w:after="0" w:line="77" w:lineRule="exact"/>
        <w:rPr>
          <w:sz w:val="20"/>
          <w:szCs w:val="20"/>
          <w:color w:val="auto"/>
        </w:rPr>
      </w:pPr>
    </w:p>
    <w:p>
      <w:pPr>
        <w:jc w:val="both"/>
        <w:ind w:left="980"/>
        <w:spacing w:after="0"/>
        <w:tabs>
          <w:tab w:leader="none" w:pos="242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737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8,939</w:t>
      </w:r>
      <w:r>
        <w:rPr>
          <w:sz w:val="20"/>
          <w:szCs w:val="20"/>
          <w:color w:val="auto"/>
        </w:rPr>
        <w:tab/>
      </w:r>
      <w:r>
        <w:rPr>
          <w:rFonts w:ascii="Arial" w:cs="Arial" w:eastAsia="Arial" w:hAnsi="Arial"/>
          <w:sz w:val="18"/>
          <w:szCs w:val="18"/>
          <w:color w:val="auto"/>
        </w:rPr>
        <w:t>8,933</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247</w:t>
      </w:r>
    </w:p>
    <w:p>
      <w:pPr>
        <w:spacing w:after="0" w:line="63"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1160"/>
        <w:spacing w:after="0"/>
        <w:tabs>
          <w:tab w:leader="none" w:pos="2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9,140</w:t>
      </w:r>
      <w:r>
        <w:rPr>
          <w:sz w:val="20"/>
          <w:szCs w:val="20"/>
          <w:color w:val="auto"/>
        </w:rPr>
        <w:tab/>
      </w:r>
      <w:r>
        <w:rPr>
          <w:rFonts w:ascii="Arial" w:cs="Arial" w:eastAsia="Arial" w:hAnsi="Arial"/>
          <w:sz w:val="18"/>
          <w:szCs w:val="18"/>
          <w:color w:val="auto"/>
        </w:rPr>
        <w:t>9,183</w:t>
      </w:r>
    </w:p>
    <w:p>
      <w:pPr>
        <w:spacing w:after="0" w:line="77" w:lineRule="exact"/>
        <w:rPr>
          <w:sz w:val="20"/>
          <w:szCs w:val="20"/>
          <w:color w:val="auto"/>
        </w:rPr>
      </w:pPr>
    </w:p>
    <w:p>
      <w:pPr>
        <w:spacing w:after="0"/>
        <w:tabs>
          <w:tab w:leader="none" w:pos="820" w:val="left"/>
          <w:tab w:leader="none" w:pos="146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9,569</w:t>
        <w:tab/>
        <w:t>$</w:t>
      </w:r>
      <w:r>
        <w:rPr>
          <w:sz w:val="20"/>
          <w:szCs w:val="20"/>
          <w:color w:val="auto"/>
        </w:rPr>
        <w:tab/>
      </w:r>
      <w:r>
        <w:rPr>
          <w:rFonts w:ascii="Arial" w:cs="Arial" w:eastAsia="Arial" w:hAnsi="Arial"/>
          <w:sz w:val="16"/>
          <w:szCs w:val="16"/>
          <w:color w:val="auto"/>
        </w:rPr>
        <w:t>9,920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48895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880" w:space="720"/>
            <w:col w:w="2820"/>
          </w:cols>
          <w:pgMar w:left="240" w:top="125" w:right="239" w:bottom="1440" w:gutter="0" w:footer="0" w:header="0"/>
          <w:type w:val="continuous"/>
        </w:sectPr>
      </w:pPr>
    </w:p>
    <w:p>
      <w:pPr>
        <w:spacing w:after="0" w:line="53" w:lineRule="exact"/>
        <w:rPr>
          <w:sz w:val="20"/>
          <w:szCs w:val="20"/>
          <w:color w:val="auto"/>
        </w:rPr>
      </w:pPr>
    </w:p>
    <w:p>
      <w:pPr>
        <w:ind w:left="660" w:right="8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September 30, 2018 and December 31, 2017,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66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September 30, 2018 and December 31, 2017, balance includes borrowings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December 31, 2017, we classified a portion of PAA’s commercial paper notes and PAA's credit facility borrowings as long-term based on PAA’s ability and intent to refinance such amounts on a long-term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60" w:hanging="652"/>
        <w:spacing w:after="0" w:line="254"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PAA’s fixed-rate senior notes had a face value of approximately $9.0 billion at both September 30, 2018 and December 31, 2017. We estimated the aggregate fair value of these notes as of September 30, 2018 and December 31, 2017 to be approximately $8.8 billion and $9.1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PAA Go Zone term loans</w:t>
      </w:r>
      <w:r>
        <w:rPr>
          <w:rFonts w:ascii="Arial" w:cs="Arial" w:eastAsia="Arial" w:hAnsi="Arial"/>
          <w:sz w:val="18"/>
          <w:szCs w:val="18"/>
          <w:color w:val="auto"/>
        </w:rPr>
        <w:t>. In August 2018, PAA entered into an agreement for two $100 million term loans (the “GO Zone term loans”)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remarketing of our $100,000,000 Mississippi Business Finance Corporation Gulf Opportunity Zone Industrial Development Revenue Bonds (SG Resources Mississippi, LLC Project), Series 2009 and our $100,000,000 Mississippi Business Finance Corporation Gulf Opportunity Zone Industrial Development Revenue Bonds (SG Resources Mississippi, LLC Project), Series 2010 (collectively, the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August 2018, PAA extended the maturity dates of its senior unsecured revolving credit facility and senior secured hedged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facility by one year to August 2023 and August 2021, respectively, for each extending lender. The PAA 364-day senior unsecured revolving credit facility, which had a borrowing capacity of $1.0 billion, matured in August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nine months ended September 30, 2018 and 2017 were approximately $38.6 billion and $52.6 billion, respectively. Total repayments under the PAA credit facilities and commercial paper program were approximately $39.2 billion and $52.7 billion for the nine months ended September 30, 2018 and 2017,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 related margin obligations and construction activities. At September 30, 2018 and December 31, 2017, we had outstanding letters of credit of $181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Class A Shares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Class B Shares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9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156,111,139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126,984,572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510,925,432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tcPr>
          <w:p>
            <w:pPr>
              <w:spacing w:after="0"/>
              <w:rPr>
                <w:sz w:val="21"/>
                <w:szCs w:val="21"/>
                <w:color w:val="auto"/>
              </w:rPr>
            </w:pPr>
          </w:p>
        </w:tc>
        <w:tc>
          <w:tcPr>
            <w:tcW w:w="3480" w:type="dxa"/>
            <w:vAlign w:val="bottom"/>
            <w:gridSpan w:val="2"/>
          </w:tcPr>
          <w:p>
            <w:pPr>
              <w:jc w:val="right"/>
              <w:ind w:right="33"/>
              <w:spacing w:after="0"/>
              <w:rPr>
                <w:sz w:val="20"/>
                <w:szCs w:val="20"/>
                <w:color w:val="auto"/>
              </w:rPr>
            </w:pPr>
            <w:r>
              <w:rPr>
                <w:rFonts w:ascii="Arial" w:cs="Arial" w:eastAsia="Arial" w:hAnsi="Arial"/>
                <w:sz w:val="18"/>
                <w:szCs w:val="18"/>
                <w:color w:val="auto"/>
              </w:rPr>
              <w:t>3,038,396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(3,038,396)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9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(3,306,476)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3,306,476</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9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1,393,926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512,166</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Outstanding at September 30, 2018</w:t>
            </w:r>
          </w:p>
        </w:tc>
        <w:tc>
          <w:tcPr>
            <w:tcW w:w="198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159,160,785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120,639,700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516,138,000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980" w:type="dxa"/>
            <w:vAlign w:val="bottom"/>
            <w:vMerge w:val="restart"/>
          </w:tcPr>
          <w:p>
            <w:pPr>
              <w:jc w:val="right"/>
              <w:ind w:right="850"/>
              <w:spacing w:after="0"/>
              <w:rPr>
                <w:sz w:val="20"/>
                <w:szCs w:val="20"/>
                <w:color w:val="auto"/>
              </w:rPr>
            </w:pPr>
            <w:r>
              <w:rPr>
                <w:rFonts w:ascii="Arial" w:cs="Arial" w:eastAsia="Arial" w:hAnsi="Arial"/>
                <w:sz w:val="18"/>
                <w:szCs w:val="18"/>
                <w:color w:val="auto"/>
              </w:rPr>
              <w:t>20</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101,206,526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138,043,486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1,557,860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3,231,281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(3,231,281)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(4,959,861)</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4,959,861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50,086,326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4,033,567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units by a subsidiary for acquisition of interest in Advantage Joint</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Issuances of Series A preferred units by a subsidiary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3,941,096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603,497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September 30, 2017</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154,543,193</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131,410,204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506,701,153</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___________________________________________</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0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included in Part IV of our 2017 Annual Report on Form 10-K for information regarding conversions of AAP Management Units, Exchange Rights and Redemption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nine months of 2018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2140" w:type="dxa"/>
            <w:vAlign w:val="bottom"/>
          </w:tcPr>
          <w:p>
            <w:pPr>
              <w:jc w:val="right"/>
              <w:ind w:right="67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Class A Shareholders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2018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August 14,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February 14,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Payable to shareholders of record at the close of business on October 31, 2018 for the period from July 1, 2018 through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September 30, 2018, noncontrolling interests in our subsidiaries consisted of (i) limited partner interests in PAA including a 65% interest in PAA’s common units and PAA’s Series A preferred units combined and 100% of PAA’s Series B preferred units and (ii) an approximate 43% limited partner interest in 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 pertaining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2018 (in millions, except unit and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Series A Preferred Unitholders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1094"/>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(2)</w:t>
            </w:r>
          </w:p>
        </w:tc>
        <w:tc>
          <w:tcPr>
            <w:tcW w:w="24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2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Cash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Distribution per Unit</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2018 </w:t>
            </w:r>
            <w:r>
              <w:rPr>
                <w:rFonts w:ascii="Arial" w:cs="Arial" w:eastAsia="Arial" w:hAnsi="Arial"/>
                <w:sz w:val="25"/>
                <w:szCs w:val="25"/>
                <w:color w:val="auto"/>
                <w:vertAlign w:val="superscript"/>
              </w:rPr>
              <w:t>(1)</w:t>
            </w:r>
          </w:p>
        </w:tc>
        <w:tc>
          <w:tcPr>
            <w:tcW w:w="4120" w:type="dxa"/>
            <w:vAlign w:val="bottom"/>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7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August 14, 2018</w:t>
            </w:r>
          </w:p>
        </w:tc>
        <w:tc>
          <w:tcPr>
            <w:tcW w:w="4120" w:type="dxa"/>
            <w:vAlign w:val="bottom"/>
            <w:gridSpan w:val="3"/>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15, 2018</w:t>
            </w:r>
          </w:p>
        </w:tc>
        <w:tc>
          <w:tcPr>
            <w:tcW w:w="4120" w:type="dxa"/>
            <w:vAlign w:val="bottom"/>
            <w:tcBorders>
              <w:bottom w:val="single" w:sz="8" w:color="CCEEFF"/>
            </w:tcBorders>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February 14, 2018</w:t>
            </w:r>
          </w:p>
        </w:tc>
        <w:tc>
          <w:tcPr>
            <w:tcW w:w="4120" w:type="dxa"/>
            <w:vAlign w:val="bottom"/>
            <w:gridSpan w:val="3"/>
          </w:tcPr>
          <w:p>
            <w:pPr>
              <w:jc w:val="right"/>
              <w:ind w:right="8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
              <w:spacing w:after="0"/>
              <w:rPr>
                <w:sz w:val="20"/>
                <w:szCs w:val="20"/>
                <w:color w:val="auto"/>
              </w:rPr>
            </w:pPr>
            <w:r>
              <w:rPr>
                <w:rFonts w:ascii="Arial" w:cs="Arial" w:eastAsia="Arial" w:hAnsi="Arial"/>
                <w:sz w:val="18"/>
                <w:szCs w:val="18"/>
                <w:color w:val="auto"/>
              </w:rPr>
              <w:t>1,393,926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0.525</w:t>
            </w:r>
          </w:p>
        </w:tc>
        <w:tc>
          <w:tcPr>
            <w:tcW w:w="0" w:type="dxa"/>
            <w:vAlign w:val="bottom"/>
          </w:tcPr>
          <w:p>
            <w:pPr>
              <w:spacing w:after="0"/>
              <w:rPr>
                <w:sz w:val="1"/>
                <w:szCs w:val="1"/>
                <w:color w:val="auto"/>
              </w:rPr>
            </w:pPr>
          </w:p>
        </w:tc>
      </w:tr>
      <w:tr>
        <w:trPr>
          <w:trHeight w:val="257"/>
        </w:trPr>
        <w:tc>
          <w:tcPr>
            <w:tcW w:w="3200" w:type="dxa"/>
            <w:vAlign w:val="bottom"/>
            <w:tcBorders>
              <w:bottom w:val="single" w:sz="8" w:color="auto"/>
            </w:tcBorders>
          </w:tcPr>
          <w:p>
            <w:pPr>
              <w:spacing w:after="0"/>
              <w:rPr>
                <w:sz w:val="22"/>
                <w:szCs w:val="22"/>
                <w:color w:val="auto"/>
              </w:rPr>
            </w:pPr>
          </w:p>
        </w:tc>
        <w:tc>
          <w:tcPr>
            <w:tcW w:w="2920" w:type="dxa"/>
            <w:vAlign w:val="bottom"/>
            <w:vMerge w:val="restart"/>
          </w:tcPr>
          <w:p>
            <w:pPr>
              <w:jc w:val="right"/>
              <w:ind w:right="2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2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hanging="652"/>
        <w:spacing w:after="0" w:line="22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October 31, 2018 for the period from July 1, 2018 through September 30, 2018. At September 30, 2018, such amount was accrued to distributions payable in “Accounts payable and accrued liabilities” on our Condensed Consolidated Balance Sheet.</w:t>
      </w:r>
    </w:p>
    <w:p>
      <w:pPr>
        <w:spacing w:after="0" w:line="41" w:lineRule="exact"/>
        <w:rPr>
          <w:rFonts w:ascii="Arial" w:cs="Arial" w:eastAsia="Arial" w:hAnsi="Arial"/>
          <w:sz w:val="25"/>
          <w:szCs w:val="25"/>
          <w:color w:val="auto"/>
          <w:vertAlign w:val="superscript"/>
        </w:rPr>
      </w:pPr>
    </w:p>
    <w:p>
      <w:pPr>
        <w:ind w:left="660" w:right="20" w:hanging="652"/>
        <w:spacing w:after="0" w:line="232"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On February 14, 2018, PAA issued additional Series A preferred units in lieu of a cash distribution of $37 million. With respect to quarters ending on or prior to December 31, 2017 (the “Initial Distribution Period”), PAA elected to pay distributions on its Series A preferred units in additional Series A preferred units. The Initial Distribution Period ended with the February 2018 distribution; as such, with respect to quarters ending after the Initial Distribution Period, distributions on PAA’s Series A preferred units are paid in cash.</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and November. The following table details distributions paid or to be paid to PAA’s Series B preferred unitholders (in millions,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7"/>
              </w:rPr>
              <w:t>Cash Distribution</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r>
      <w:tr>
        <w:trPr>
          <w:trHeight w:val="270"/>
        </w:trPr>
        <w:tc>
          <w:tcPr>
            <w:tcW w:w="80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15, 2018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24.5</w:t>
            </w:r>
          </w:p>
        </w:tc>
        <w:tc>
          <w:tcPr>
            <w:tcW w:w="12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30.625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May 15,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24.5</w:t>
            </w:r>
          </w:p>
        </w:tc>
        <w:tc>
          <w:tcPr>
            <w:tcW w:w="12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30.625</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November 1, 2018 for the period from May 15, 2018 through November 14, 2018.</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2018, we had accrued approximately $18 million of distributions payable to PAA's Series B preferred unitholders in “Accounts payable and accrued liabilities” on our Condensed Consolidated Balance Sheet.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paid to PAA’s common unitholders during or pertaining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w w:val="92"/>
              </w:rPr>
              <w:t>Common Unitholders</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AAP</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2018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84</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August 14, 2018</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2018</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2018</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October 31, 2018 for the period from July 1, 2018 through September 30, 2018.</w:t>
      </w:r>
    </w:p>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nine months of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Distribution to AAP's Partners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2018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August 14,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February 14,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ind w:left="660" w:hanging="652"/>
        <w:spacing w:after="0" w:line="234"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October 31, 2018 for the period from July 1, 2018 through September 30, 2018.</w:t>
      </w:r>
    </w:p>
    <w:p>
      <w:pPr>
        <w:spacing w:after="0" w:line="200" w:lineRule="exact"/>
        <w:rPr>
          <w:rFonts w:ascii="Arial" w:cs="Arial" w:eastAsia="Arial" w:hAnsi="Arial"/>
          <w:sz w:val="24"/>
          <w:szCs w:val="24"/>
          <w:color w:val="auto"/>
          <w:vertAlign w:val="superscript"/>
        </w:rPr>
      </w:pPr>
    </w:p>
    <w:p>
      <w:pPr>
        <w:spacing w:after="0" w:line="245"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2018, net derivative positions related to these activities included:</w:t>
      </w:r>
    </w:p>
    <w:p>
      <w:pPr>
        <w:spacing w:after="0" w:line="147" w:lineRule="exact"/>
        <w:rPr>
          <w:sz w:val="20"/>
          <w:szCs w:val="20"/>
          <w:color w:val="auto"/>
        </w:rPr>
      </w:pPr>
    </w:p>
    <w:p>
      <w:pPr>
        <w:ind w:left="980" w:right="2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long position of 5.8 million barrels associated with our crude oil purchases, which was unwound ratably during October 2018 to match monthly average pricing.</w:t>
      </w:r>
    </w:p>
    <w:p>
      <w:pPr>
        <w:spacing w:after="0" w:line="116"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short time spread position of 15.4 million barrels, which hedges a portion of our anticipated crude oil lease gathering purchases through December 2019.</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crude oil grade basis position of 68.6 million barrels through December 2020.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net short position of 16.5 million barrels through February 2020 related to anticipated net sales of our crude oil and NGL inventory.</w:t>
      </w:r>
    </w:p>
    <w:p>
      <w:pPr>
        <w:spacing w:after="0" w:line="23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September 30, 2018, our PLA hedges included a short position consisting of crude oil futures of 1.5 million barrels through December 2019 and a long call option position of 1.6 million barrels through December 2020.</w:t>
      </w:r>
    </w:p>
    <w:p>
      <w:pPr>
        <w:spacing w:after="0" w:line="18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2018, we had a long natural gas position of 64.9 Bcf which hedges a portion of our natural gas processing and operational needs through December 2020. We also had a short propane position of 11.3 million barrels through December 2020, a short butane position of 3.1 million barrels through December 2020 and a short WTI position of 1.3 million barrels through December 2020. In addition, we had a long power position of 0.4 million megawatt hours, which hedges a portion of our power supply requirements at our Canadian natural gas processing and fractionation plants through December 2020.</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September 30, 2018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 forward starting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6/15/2020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As of September 30, 2018, our outstanding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2018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543</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$1.00 - $1.30</w:t>
            </w:r>
          </w:p>
        </w:tc>
      </w:tr>
      <w:tr>
        <w:trPr>
          <w:trHeight w:val="243"/>
        </w:trPr>
        <w:tc>
          <w:tcPr>
            <w:tcW w:w="666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155</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$1.00 - $1.30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See Note 11 to our Consolidated Financial Statements included in Part IV of our 2017 Annual Report on Form 10-K for additional information regarding the Series A preferred units and Preferred Distribution Rate Reset Option.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2018</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2017</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40" w:type="dxa"/>
            <w:vAlign w:val="bottom"/>
          </w:tcPr>
          <w:p>
            <w:pPr>
              <w:spacing w:after="0"/>
              <w:rPr>
                <w:sz w:val="12"/>
                <w:szCs w:val="12"/>
                <w:color w:val="auto"/>
              </w:rPr>
            </w:pPr>
          </w:p>
        </w:tc>
        <w:tc>
          <w:tcPr>
            <w:tcW w:w="6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2018</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Commodity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Supply and Logistics segment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4"/>
              </w:rPr>
              <w:t>Supply and Logistics 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Preferred Distribution Rate Reset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Option</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Recognized in Net Income</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273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vMerge w:val="restart"/>
          </w:tcPr>
          <w:p>
            <w:pPr>
              <w:ind w:left="26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derivative transactions (other than the Preferred Distribution Rate Reset Option)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5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3700" w:type="dxa"/>
            <w:vAlign w:val="bottom"/>
          </w:tcPr>
          <w:p>
            <w:pPr>
              <w:ind w:left="40"/>
              <w:spacing w:after="0"/>
              <w:rPr>
                <w:sz w:val="20"/>
                <w:szCs w:val="20"/>
                <w:color w:val="auto"/>
              </w:rPr>
            </w:pPr>
            <w:r>
              <w:rPr>
                <w:rFonts w:ascii="Arial" w:cs="Arial" w:eastAsia="Arial" w:hAnsi="Arial"/>
                <w:sz w:val="18"/>
                <w:szCs w:val="18"/>
                <w:color w:val="auto"/>
              </w:rPr>
              <w:t>Variation margin posted</w:t>
            </w:r>
          </w:p>
        </w:tc>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4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Net broker receivable</w:t>
            </w:r>
          </w:p>
        </w:tc>
        <w:tc>
          <w:tcPr>
            <w:tcW w:w="48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vMerge w:val="restart"/>
          </w:tcPr>
          <w:p>
            <w:pPr>
              <w:jc w:val="right"/>
              <w:ind w:right="269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2017</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September 30, 2018, there was a net loss of $157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September 30, 2018, we expect to reclassify a net loss of $7 million to earnings in the next twelve months. We estimate that substantially all of the remaining deferred loss will be reclassified to earnings through 2050 as the underlying hedged transactions impact earnings. A portion of these amounts is based on market prices as of September 30, 2018;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8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94"/>
              </w:rPr>
              <w:t>Nine Months Ended</w:t>
            </w:r>
          </w:p>
        </w:tc>
        <w:tc>
          <w:tcPr>
            <w:tcW w:w="420" w:type="dxa"/>
            <w:vAlign w:val="bottom"/>
          </w:tcPr>
          <w:p>
            <w:pPr>
              <w:spacing w:after="0"/>
              <w:rPr>
                <w:sz w:val="14"/>
                <w:szCs w:val="14"/>
                <w:color w:val="auto"/>
              </w:rPr>
            </w:pPr>
          </w:p>
        </w:tc>
      </w:tr>
      <w:tr>
        <w:trPr>
          <w:trHeight w:val="192"/>
        </w:trPr>
        <w:tc>
          <w:tcPr>
            <w:tcW w:w="5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8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594"/>
        <w:spacing w:after="0" w:line="264" w:lineRule="auto"/>
        <w:rPr>
          <w:sz w:val="20"/>
          <w:szCs w:val="20"/>
          <w:color w:val="auto"/>
        </w:rPr>
      </w:pPr>
      <w:r>
        <w:rPr>
          <w:rFonts w:ascii="Arial" w:cs="Arial" w:eastAsia="Arial" w:hAnsi="Arial"/>
          <w:sz w:val="18"/>
          <w:szCs w:val="18"/>
          <w:color w:val="auto"/>
        </w:rPr>
        <w:t>At September 30, 2018 and December 31, 2017,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2018</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2017</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Level 1 of the fair value hierarchy includes exchange-traded commodity derivatives and over-the-counter commodity contracts such as futures and options. The fair value of exchange-traded commodity derivatives and over-the-counter commodity contracts are based on unadjusted quoted prices in active markets.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 of these derivatives is based on broker price quotations which are corroborated with market observable inputs.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Level 3 of the fair value hierarchy includes certain physical commodity contracts, over-the-counter financial commodity contracts, and the Preferred Distribution Rate Reset Option contained in PAA’s partnership agreement which is classified as an embedded derivative.</w:t>
      </w:r>
    </w:p>
    <w:p>
      <w:pPr>
        <w:spacing w:after="0" w:line="147"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fair value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Condensed Consolidated Statements of Operations as Supply and Logistics segment revenues. Unrealized gains and losses associated with the over-the counter financial commodity contracts are reported in our Condensed Consolidated Statements of Operations as Field operating costs.</w:t>
      </w:r>
    </w:p>
    <w:p>
      <w:pPr>
        <w:spacing w:after="0" w:line="178"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gains/(losses) included in earnings relating to Level 3</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675"/>
        </w:trPr>
        <w:tc>
          <w:tcPr>
            <w:tcW w:w="554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2017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September 30, 2018 and December 31, 2017, PAA owned 516,138,000 and 510,925,432,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color w:val="auto"/>
        </w:rPr>
        <w:t>As of September 30, 2018, Oxy had a representative on the board of directors of our general partner and owned approximately 11% of the limited partner interests in AAP (which represents an approximate 4% indirect ownership interest in PAA). During the three and nine months ended September 30, 2018 and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657</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1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1,075</w:t>
            </w:r>
          </w:p>
        </w:tc>
      </w:tr>
      <w:tr>
        <w:trPr>
          <w:trHeight w:val="29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990</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also have transactions with companies in which we hold an investment accounted for under the equity method of accounting. We recorded revenues of $3 million and $1 million during the three months ended September 30, 2018 and 2017, respectively, and $9 million and $3 million during the nine months ended September 30, 2018 and 2017, respectively, primarily related to transportation services. In addition, we utilized transportation services and purchased petroleum products provided by these companies. Costs related to these services and product purchases totaled $146 million and $124 million for the three months ended September 30, 2018 and 2017, respectively, and $411 million and $318 million for the nine months ended September 30, 2018 and 2017, respectively. These costs include amounts associated with a joint tariff administered by an equity method investee, of which $74 million and $57 million for the three months ended September 30, 2018 and 2017, respectively, and $213 million and $150 million for the nine months ended September 30, 2018 and 2017, respectively, were associated with a PAA wholly-owned pipeline. These transactions were conducted at posted tariff rates or contracted rates or prices that we believe approximate market.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Receivables from our equity method investees totaled $41 million and $26 million at September 30, 2018 and December 31, 2017, respectively, and primarily included amounts related to transportation services and amounts owed to us related to expansion projects where we serve as construction manager. Accounts payable to our equity method investees were $112 million and $41 million at September 30, 2018 and December 31, 2017, respectively, and primarily included amounts related to transportation services utilized and amounts advanced to us related to expansion projects where we serve as construction manager.</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nine months ended September 30, 2018, we made net investments in our equity method investees of $300 million (including amounts contributed to and received from Cactus II Pipeline LLC subsequent to its formation, as discussed further below). Such net investments are primarily related to funding our portion of the development, construction or capital expansion projects of such entities and are reflected in “Investments in unconsolidated entities” on our Condensed Consolidated Statement of Cash Flows.</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Cactus II JV Formation. </w:t>
      </w:r>
      <w:r>
        <w:rPr>
          <w:rFonts w:ascii="Arial" w:cs="Arial" w:eastAsia="Arial" w:hAnsi="Arial"/>
          <w:sz w:val="18"/>
          <w:szCs w:val="18"/>
          <w:color w:val="auto"/>
        </w:rPr>
        <w:t>In the second quarter of 2018, a subsidiary of Oxy and another third party each exercised their purchase options for a 20%</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a 15% interest, respectively, in Cactus II Pipeline LLC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Condensed Consolidated Balance Sheet. Such amount will be recognized in revenue ratably over the life of the contracts beginning once the Cactus II pipeline system has been placed into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At September 30, 2018, our estimated undiscounted reserve for environmental liabilities (including liabilities related to the Line 901 incident, as discussed further below) totaled $126 million, of which $46 million was classified as short-term and $80 million was classified as long-term. At December 31, 2017, our estimated undiscounted reserve for environmental liabilities (including liabilities related to the Line 901 incident) totaled $162 million, of which $72 million was classified as short-term and $90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2018, we had recorded receivables totaling $49 million for amounts probable of recovery under insurance and from third parties under indemnification agreements, of which $23 million was reflected in “Trade accounts receivable and other receivables, net” and $26 million was reflected in “Other long-term assets, net” on our Condensed Consolidated Balance Sheet. At December 31, 2017, we had recorded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$55 million of such receivables, of which $29 million was reflected in “Trade accounts receivable and other receivables, net” and $26 million was reflected in “Other long-term assets, net” on our Condensed Consolidated Balance Sheet.</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We are in the process of pursuing and evaluating our post-trial options, which include the possibility of an appeal. We do not anticipate that the fines or penalties imposed as a result of the jury’s decision will have a material adverse impact on the financial position or operations of the Partnership.</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3" w:lineRule="exact"/>
        <w:rPr>
          <w:sz w:val="20"/>
          <w:szCs w:val="20"/>
          <w:color w:val="auto"/>
        </w:rPr>
      </w:pPr>
    </w:p>
    <w:p>
      <w:pPr>
        <w:ind w:right="280" w:firstLine="8"/>
        <w:spacing w:after="0" w:line="255"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provided various responsive materials to date and we will continue to do so in the future in cooperation with the EPA. While to date no civil actions or criminal charges with respect to the Line 901 release, other than those brought pursuant to the May 2016 Indictment and a separate civil claim brought by the California Attorney General 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behalf of the California State Lands Commission,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appealed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8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7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In general, these derivative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remaining lawsuit claim that PAA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6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September 30, 2018,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September 30, 2018, we had a remaining undiscounted gross liability of $65 million related to this event, of which approximately $37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2018, we had collected, subject to customary reservations, $180 million out of the approximate $220 million of release costs that we believe are probable of recovery from insurance carriers, net of deductibles. Therefore, as of September 30, 2018, we have recognized a receivable of approximately $40 million for the portion of the release costs that we believe is probable of recovery from insurance, net of deductibles and amounts already collected. Of this amount, approximately $16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See Note 3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820"/>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8,482</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8,792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498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8,483</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388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820"/>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5,573</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446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5,574</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6,311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363</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60" w:type="dxa"/>
            <w:vAlign w:val="bottom"/>
          </w:tcPr>
          <w:p>
            <w:pPr>
              <w:spacing w:after="0"/>
              <w:rPr>
                <w:sz w:val="23"/>
                <w:szCs w:val="23"/>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1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top w:val="single" w:sz="8" w:color="auto"/>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808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24,374</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619</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281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60" w:type="dxa"/>
            <w:vAlign w:val="bottom"/>
          </w:tcPr>
          <w:p>
            <w:pPr>
              <w:spacing w:after="0"/>
              <w:rPr>
                <w:sz w:val="24"/>
                <w:szCs w:val="24"/>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top w:val="single" w:sz="8" w:color="auto"/>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17,749</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503</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201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933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hanging="652"/>
        <w:spacing w:after="0" w:line="250" w:lineRule="auto"/>
        <w:tabs>
          <w:tab w:leader="none" w:pos="66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 from external customers presented above and adjusted those revenues out such that Total revenue from External customers reconciles to our Condensed Consolidated Statements of Operations. This presentation is consistent with the information provided to our CODM.</w:t>
      </w:r>
    </w:p>
    <w:p>
      <w:pPr>
        <w:spacing w:after="0" w:line="86" w:lineRule="exact"/>
        <w:rPr>
          <w:rFonts w:ascii="Arial" w:cs="Arial" w:eastAsia="Arial" w:hAnsi="Arial"/>
          <w:sz w:val="24"/>
          <w:szCs w:val="24"/>
          <w:color w:val="auto"/>
          <w:vertAlign w:val="superscript"/>
        </w:rPr>
      </w:pPr>
    </w:p>
    <w:p>
      <w:pPr>
        <w:ind w:left="660" w:right="160" w:hanging="652"/>
        <w:spacing w:after="0" w:line="262"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3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w:t>
            </w:r>
          </w:p>
        </w:tc>
      </w:tr>
      <w:tr>
        <w:trPr>
          <w:trHeight w:val="270"/>
        </w:trPr>
        <w:tc>
          <w:tcPr>
            <w:tcW w:w="5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7"/>
        </w:trPr>
        <w:tc>
          <w:tcPr>
            <w:tcW w:w="58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90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58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9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8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9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9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8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90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5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investment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5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Income/(loss) before tax</w:t>
            </w: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w:t>
            </w:r>
          </w:p>
        </w:tc>
      </w:tr>
      <w:tr>
        <w:trPr>
          <w:trHeight w:val="27"/>
        </w:trPr>
        <w:tc>
          <w:tcPr>
            <w:tcW w:w="5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(expense)/benefit</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r>
      <w:tr>
        <w:trPr>
          <w:trHeight w:val="27"/>
        </w:trPr>
        <w:tc>
          <w:tcPr>
            <w:tcW w:w="5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58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and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80" w:hanging="652"/>
        <w:spacing w:after="0" w:line="271"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40" w:hanging="652"/>
        <w:spacing w:after="0" w:line="214"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Includes acquisition-related expenses associated with the acquisition of the Alpha Crude Connector Gathering System (the “ACC Acquisition”). See Note 6 to our Consolidated Financial Statements included in Part IV of our 2017 Annual Report on Form 10-K for additional discussion.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2017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a Delaware limited partnership formed on July 17, 2013 that has elected to be taxed as a corporation for United States federal income tax purposes. As of September 30, 2018, our sole assets consisted of (i) a 100% managing member interest in Plains All American GP LLC (“GP LLC”) that has also elected to be taxed as a corporation for United States federal income tax purposes and (ii) an approximate 57% limited partner interest in AAP through our direct ownership of approximately 158.2 million AAP units and indirect ownership of approximately 1.0 million AAP units through GP LLC. GP LLC is a Delaware limited liability company that also holds the non-economic general partner interest in AAP. AAP is a Delaware limited partnership that, as of September 30, 2018, directly owned a limited partner interest in PAA through its ownership of approximately 281.0 million PAA common units (approximately 35% of PAA’s total outstanding common units and Series A preferred units combined). AAP is the sole member of PAA GP LLC (“PAA GP”), a Delaware limited liability company that directly holds the non-economic general partner interest in PAA.</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first nine months of 2018, we recognized net income of $1.046 billion as compared to net income of $607 million recognized during the first nine months of 2017. The increase in net income over the comparative periods was driven by:</w:t>
      </w:r>
    </w:p>
    <w:p>
      <w:pPr>
        <w:spacing w:after="0" w:line="170" w:lineRule="exact"/>
        <w:rPr>
          <w:sz w:val="20"/>
          <w:szCs w:val="20"/>
          <w:color w:val="auto"/>
        </w:rPr>
      </w:pPr>
    </w:p>
    <w:p>
      <w:pPr>
        <w:ind w:left="1300" w:right="52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favorable results from our Transportation segment, primarily from our pipelines in the Permian Basin region, driven by higher volumes from increased production and our recently completed capital expansion projects;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Favorable regional crude oil differentials and higher lease gathering and NGL margins in our Supply and Logistics segment;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depreciation and amortization expense due to net gains recognized during the 2018 period associated with asset sales;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gain on the sale of a portion of our interest in BridgeTex in the third quarter of 2018; and</w:t>
      </w:r>
    </w:p>
    <w:p>
      <w:pPr>
        <w:spacing w:after="0" w:line="225" w:lineRule="exact"/>
        <w:rPr>
          <w:rFonts w:ascii="Arial" w:cs="Arial" w:eastAsia="Arial" w:hAnsi="Arial"/>
          <w:sz w:val="18"/>
          <w:szCs w:val="18"/>
          <w:color w:val="auto"/>
        </w:rPr>
      </w:pPr>
    </w:p>
    <w:p>
      <w:pPr>
        <w:ind w:left="1300" w:right="40" w:hanging="320"/>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interest expense primarily driven by a lower weighted average debt balance in the 2018 period as a result of our efforts to implement our Leverage Reduction Plan announced in August 2017. See “—Executive Summary—Overview of Operating Results, Capital Investments and Other Significant Activities” in Item 7 of our 2017 Annual Report on Form 10-K for further discussion of our Leverage Reduction Plan; partially offset by</w:t>
      </w:r>
    </w:p>
    <w:p>
      <w:pPr>
        <w:spacing w:after="0" w:line="186" w:lineRule="exact"/>
        <w:rPr>
          <w:rFonts w:ascii="Arial" w:cs="Arial" w:eastAsia="Arial" w:hAnsi="Arial"/>
          <w:sz w:val="18"/>
          <w:szCs w:val="18"/>
          <w:color w:val="auto"/>
        </w:rPr>
      </w:pPr>
    </w:p>
    <w:p>
      <w:pPr>
        <w:ind w:left="1300" w:right="160" w:hanging="320"/>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negative impact, primarily in our Supply and Logistics segment, associated with the difference between losses recognized in the 2018 period from the mark-to-market of certain derivative instruments, as compared to gains recognized in the prior period; and</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operating results due to asset sales completed during 2017 and 2018 as part of our divestiture program.</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invested $1.37 billion in midstream infrastructure projects during the nine months ended September 30, 2018, and we expect expansion capital for the full year of 2018 to be approximately $1.95 billion, which will be primarily focused in the Permian Basin. See the “—Acquisitions and Capital Projects” section below for additional information.</w:t>
      </w:r>
    </w:p>
    <w:p>
      <w:pPr>
        <w:spacing w:after="0" w:line="18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continued to advance our divestiture program, completing asset sales for total proceeds of approximately $1.3 billion during the nine months ended September 30, 2018, including the sale of a portion of our interest in BridgeTex during the third quarter of 2018. We also paid approximately $753 million of cash distributions to our Class A shareholders and noncontrolling interests during the nine months ended September 30, 2018. In addition, in the fourth quarter of 2018, we will pay aggregate cash distributions of $280 million to our Class A shareholders and noncontrolling interests, including PAA’s common and preferred unitholders.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1,370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893</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1,556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2,412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nine months of 2017 primarily relates to the ACC Acquisition.</w:t>
      </w:r>
    </w:p>
    <w:p>
      <w:pPr>
        <w:spacing w:after="0" w:line="147"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460" w:hanging="652"/>
        <w:spacing w:after="0" w:line="22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2018 and the estimated cost for the year ending December 31, 2018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675</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285</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Projected 2018 Expansion Capital Expenditures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1,950</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projects at our St. James, Fort Saskatchewan and Cushing terminals.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Segment Adjusted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6"/>
              </w:rPr>
              <w:t xml:space="preserve">Facilities Segment Adjusted EBITDA </w:t>
            </w:r>
            <w:r>
              <w:rPr>
                <w:rFonts w:ascii="Arial" w:cs="Arial" w:eastAsia="Arial" w:hAnsi="Arial"/>
                <w:sz w:val="25"/>
                <w:szCs w:val="25"/>
                <w:color w:val="auto"/>
                <w:w w:val="96"/>
                <w:vertAlign w:val="superscript"/>
              </w:rPr>
              <w:t>(1)</w:t>
            </w:r>
          </w:p>
        </w:tc>
        <w:tc>
          <w:tcPr>
            <w:tcW w:w="2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Supply and Logistics Segment Adjusted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3"/>
              </w:rPr>
              <w:t>Selected items impacting comparability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 Segment Adjusted EBITDA</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Unallocated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investment in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Income tax (expense)/benefit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Net income attributable to</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PAGP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Basic and diluted net income per Class A</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w w:val="91"/>
              </w:rPr>
              <w:t>Basic and diluted weighted average Class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A shares outstanding</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420"/>
          </w:cols>
          <w:pgMar w:left="240" w:top="125"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60" w:hanging="652"/>
        <w:spacing w:after="0" w:line="262"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of unconsolidated entities) and gains on sales of investments in unconsolidated entities, adjusted for certain selected items impacting comparability (“Adjusted EBITDA”).</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this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8"/>
                <w:szCs w:val="18"/>
                <w:color w:val="auto"/>
              </w:rPr>
              <w:t>Income tax expense/(benefit)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investment in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Comparability:</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activities net of inventory valuation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Long-term inventory costing</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Significant acquisition-related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(8)</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Comparability - Segment Adjusted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EBITDA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Adjusted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(9)</w:t>
            </w: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60" w:hanging="652"/>
        <w:spacing w:after="0" w:line="223"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and losses on significant asset sales of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53"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w:t>
      </w: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460"/>
        <w:spacing w:after="0" w:line="336" w:lineRule="auto"/>
        <w:rPr>
          <w:sz w:val="20"/>
          <w:szCs w:val="20"/>
          <w:color w:val="auto"/>
        </w:rPr>
      </w:pPr>
      <w:r>
        <w:rPr>
          <w:rFonts w:ascii="Arial" w:cs="Arial" w:eastAsia="Arial" w:hAnsi="Arial"/>
          <w:sz w:val="17"/>
          <w:szCs w:val="17"/>
          <w:color w:val="auto"/>
        </w:rPr>
        <w:t>exclude the impact of corresponding inventory valuation adjustments, as applicable, as well as the mark-to-market adjustment related to PAA’s Preferred Distribution Rate Reset Option. See Note 11 to our Condensed Consolidated Financial Statements for a comprehensive discussion regarding our derivatives and risk management activities and PAA’s Preferred Distribution Rate Reset Option.</w:t>
      </w:r>
    </w:p>
    <w:p>
      <w:pPr>
        <w:spacing w:after="0" w:line="30" w:lineRule="exact"/>
        <w:rPr>
          <w:sz w:val="20"/>
          <w:szCs w:val="20"/>
          <w:color w:val="auto"/>
        </w:rPr>
      </w:pPr>
    </w:p>
    <w:p>
      <w:pPr>
        <w:ind w:left="660" w:hanging="652"/>
        <w:spacing w:after="0" w:line="273"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2017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2017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80" w:hanging="652"/>
        <w:spacing w:after="0" w:line="238" w:lineRule="auto"/>
        <w:tabs>
          <w:tab w:leader="none" w:pos="66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11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jc w:val="both"/>
        <w:ind w:left="660" w:right="240" w:hanging="652"/>
        <w:spacing w:after="0" w:line="22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17 to our Consolidated Financial Statements included in Part IV of our 2017 Annual Report on Form 10-K for additional information regarding the Line 901 incident.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in February 2017.</w:t>
      </w:r>
    </w:p>
    <w:p>
      <w:pPr>
        <w:spacing w:after="0" w:line="98" w:lineRule="exact"/>
        <w:rPr>
          <w:rFonts w:ascii="Arial" w:cs="Arial" w:eastAsia="Arial" w:hAnsi="Arial"/>
          <w:sz w:val="25"/>
          <w:szCs w:val="25"/>
          <w:color w:val="auto"/>
          <w:vertAlign w:val="superscript"/>
        </w:rPr>
      </w:pPr>
    </w:p>
    <w:p>
      <w:pPr>
        <w:ind w:left="660" w:right="220" w:hanging="652"/>
        <w:spacing w:after="0" w:line="214"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(“Adjusted Other income/(expense), net”). Segment Adjusted EBITDA does not include Adjusted Other income/(expense), net.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of unconsolidated entities, and further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 attributable to PAGP.</w:t>
      </w:r>
    </w:p>
    <w:p>
      <w:pPr>
        <w:spacing w:after="0" w:line="5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97"/>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Significant acquisition-related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67"/>
        </w:trPr>
        <w:tc>
          <w:tcPr>
            <w:tcW w:w="3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0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0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58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4"/>
              </w:rPr>
              <w:t>Favorable/(Unfavorable) Variance</w:t>
            </w:r>
          </w:p>
        </w:tc>
        <w:tc>
          <w:tcPr>
            <w:tcW w:w="180" w:type="dxa"/>
            <w:vAlign w:val="bottom"/>
          </w:tcPr>
          <w:p>
            <w:pPr>
              <w:spacing w:after="0"/>
              <w:rPr>
                <w:sz w:val="14"/>
                <w:szCs w:val="14"/>
                <w:color w:val="auto"/>
              </w:rPr>
            </w:pPr>
          </w:p>
        </w:tc>
        <w:tc>
          <w:tcPr>
            <w:tcW w:w="34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60" w:type="dxa"/>
            <w:vAlign w:val="bottom"/>
            <w:gridSpan w:val="9"/>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2"/>
                <w:szCs w:val="12"/>
                <w:color w:val="auto"/>
              </w:rPr>
            </w:pPr>
          </w:p>
        </w:tc>
        <w:tc>
          <w:tcPr>
            <w:tcW w:w="3440" w:type="dxa"/>
            <w:vAlign w:val="bottom"/>
            <w:gridSpan w:val="7"/>
          </w:tcPr>
          <w:p>
            <w:pPr>
              <w:jc w:val="center"/>
              <w:ind w:right="94"/>
              <w:spacing w:after="0" w:line="149" w:lineRule="exact"/>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6"/>
              </w:rPr>
              <w:t>Revenues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200" w:type="dxa"/>
            <w:vAlign w:val="bottom"/>
          </w:tcPr>
          <w:p>
            <w:pPr>
              <w:spacing w:after="0"/>
              <w:rPr>
                <w:sz w:val="13"/>
                <w:szCs w:val="13"/>
                <w:color w:val="auto"/>
              </w:rPr>
            </w:pPr>
          </w:p>
        </w:tc>
        <w:tc>
          <w:tcPr>
            <w:tcW w:w="114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3"/>
                <w:szCs w:val="13"/>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3"/>
              </w:rPr>
              <w:t>Revenues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200" w:type="dxa"/>
            <w:vAlign w:val="bottom"/>
          </w:tcPr>
          <w:p>
            <w:pPr>
              <w:spacing w:after="0"/>
              <w:rPr>
                <w:sz w:val="13"/>
                <w:szCs w:val="13"/>
                <w:color w:val="auto"/>
              </w:rPr>
            </w:pPr>
          </w:p>
        </w:tc>
        <w:tc>
          <w:tcPr>
            <w:tcW w:w="92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auto"/>
                <w:w w:val="96"/>
              </w:rPr>
              <w:t>South Texas / Eagle Ford region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Other regions (including</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trucking and pipeline loss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allowance revenue)</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variance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80" w:hanging="324"/>
        <w:spacing w:after="0" w:line="272" w:lineRule="auto"/>
        <w:tabs>
          <w:tab w:leader="none" w:pos="98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Total revenues, net of purchases and related costs, and equity earnings in unconsolidated entities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$64 million and $176 million, respectively, for the three- and nine-month comparative periods primarily due to higher volumes from increased production and our recently completed capital expansion projects. For the three and nine months ended September 30, 2018, these increases included (i) higher volumes on our gathering systems of approximately 350,000 and 339,000 barrels per day, respectively, primarily on our Pinon and Spraberry pipelines and ACC system, (ii) higher volumes of approximately 415,000 and 381,000 barrels per day, respectively, on our intra-basin pipelines and (iii) a volume increase of approximately 152,000 and 169,000 barrels per day, respectively, on our long-haul pipelines, including our equity interest in BridgeTex.</w:t>
      </w:r>
    </w:p>
    <w:p>
      <w:pPr>
        <w:spacing w:after="0" w:line="177" w:lineRule="exact"/>
        <w:rPr>
          <w:rFonts w:ascii="Arial" w:cs="Arial" w:eastAsia="Arial" w:hAnsi="Arial"/>
          <w:sz w:val="17"/>
          <w:szCs w:val="17"/>
          <w:i w:val="1"/>
          <w:iCs w:val="1"/>
          <w:color w:val="auto"/>
        </w:rPr>
      </w:pPr>
    </w:p>
    <w:p>
      <w:pPr>
        <w:ind w:left="980" w:right="40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increased for each of the comparative periods presented due to higher receipts on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gathering systems.</w:t>
      </w:r>
    </w:p>
    <w:p>
      <w:pPr>
        <w:spacing w:after="0" w:line="170" w:lineRule="exact"/>
        <w:rPr>
          <w:rFonts w:ascii="Arial" w:cs="Arial" w:eastAsia="Arial" w:hAnsi="Arial"/>
          <w:sz w:val="18"/>
          <w:szCs w:val="18"/>
          <w:color w:val="auto"/>
        </w:rPr>
      </w:pPr>
    </w:p>
    <w:p>
      <w:pPr>
        <w:ind w:left="980" w:right="360"/>
        <w:spacing w:after="0" w:line="264" w:lineRule="auto"/>
        <w:rPr>
          <w:rFonts w:ascii="Arial" w:cs="Arial" w:eastAsia="Arial" w:hAnsi="Arial"/>
          <w:sz w:val="18"/>
          <w:szCs w:val="18"/>
          <w:color w:val="auto"/>
        </w:rPr>
      </w:pPr>
      <w:r>
        <w:rPr>
          <w:rFonts w:ascii="Arial" w:cs="Arial" w:eastAsia="Arial" w:hAnsi="Arial"/>
          <w:sz w:val="18"/>
          <w:szCs w:val="18"/>
          <w:color w:val="auto"/>
        </w:rPr>
        <w:t>Equity earnings from our 50% interest in Eagle Ford Pipeline LLC was favorably impacted for each of the comparative periods by higher volumes from our Cactus pipeline. For the three-month comparative period, such favorable impact was offset by the recognition of deferred revenue in the 2017 period, for which there was no corresponding impact in the 2018 period.</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for each of the comparative periods was primarily due to the sale of certain of our Mid-Continent Area</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assets in the fourth quarter of 2017, including the sale of a portion of our interest in our Midway pipeline for which our remaining interest is now accounted for under the equity method of accounting. However, such unfavorable results were partially offset by additional movements on our Red River pipeline in the 2018 periods.</w:t>
      </w:r>
    </w:p>
    <w:p>
      <w:pPr>
        <w:spacing w:after="0" w:line="186" w:lineRule="exact"/>
        <w:rPr>
          <w:rFonts w:ascii="Arial" w:cs="Arial" w:eastAsia="Arial" w:hAnsi="Arial"/>
          <w:sz w:val="18"/>
          <w:szCs w:val="18"/>
          <w:color w:val="auto"/>
        </w:rPr>
      </w:pPr>
    </w:p>
    <w:p>
      <w:pPr>
        <w:jc w:val="both"/>
        <w:ind w:left="980"/>
        <w:spacing w:after="0" w:line="264" w:lineRule="auto"/>
        <w:rPr>
          <w:rFonts w:ascii="Arial" w:cs="Arial" w:eastAsia="Arial" w:hAnsi="Arial"/>
          <w:sz w:val="18"/>
          <w:szCs w:val="18"/>
          <w:color w:val="auto"/>
        </w:rPr>
      </w:pPr>
      <w:r>
        <w:rPr>
          <w:rFonts w:ascii="Arial" w:cs="Arial" w:eastAsia="Arial" w:hAnsi="Arial"/>
          <w:sz w:val="18"/>
          <w:szCs w:val="18"/>
          <w:color w:val="auto"/>
        </w:rPr>
        <w:t>Equity earnings increased for each of the comparative periods from (i) our 50% interest in the Diamond joint venture pipeline, which was placed in service in late 2017, and (ii) our 50% interest in Midway pipeline, which we account for under the equity method of accounting following the sale of a portion of our interest in the pipeline in the fourth quarter of 2017, as discussed above.</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The decrease in revenues for each of the comparative periods was primarily due to lower volumes on the Capline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once the Diamond joint venture pipeline was placed in service in late 2017.</w:t>
      </w:r>
    </w:p>
    <w:p>
      <w:pPr>
        <w:spacing w:after="0" w:line="170" w:lineRule="exact"/>
        <w:rPr>
          <w:rFonts w:ascii="Arial" w:cs="Arial" w:eastAsia="Arial" w:hAnsi="Arial"/>
          <w:sz w:val="18"/>
          <w:szCs w:val="18"/>
          <w:color w:val="auto"/>
        </w:rPr>
      </w:pPr>
    </w:p>
    <w:p>
      <w:pPr>
        <w:jc w:val="both"/>
        <w:ind w:left="980" w:right="340" w:hanging="324"/>
        <w:spacing w:after="0" w:line="264" w:lineRule="auto"/>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and volumes for each of the comparative periods was primarily due to the sale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and related assets in the fourth quarter of 2017 and the second quarter of 2018, partially offset by higher volumes on certain of our remaining pipelines.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right="20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increase in other revenue for each of the comparative periods was primarily due to greater loss allowance revenue driven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and prices in the 2018 periods. The decrease in volumes on our Canadian crude oil pipelines for each of the comparative periods was partially due to the temporary outage of a connecting carrier. Additionally, the impact on revenues from the decrease in volumes was partially offset by increased tariff rates on certain of the pipelines.</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Adjustments: Deficiencies under minimum volume commitments, net</w:t>
      </w:r>
      <w:r>
        <w:rPr>
          <w:rFonts w:ascii="Arial" w:cs="Arial" w:eastAsia="Arial" w:hAnsi="Arial"/>
          <w:sz w:val="18"/>
          <w:szCs w:val="18"/>
          <w:color w:val="auto"/>
        </w:rPr>
        <w:t>. 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nine-month 2018 period and the 2017 periods presented in the table above, collections for deficiencies under minimum volume commitments that resulted in deferred revenues and an increase to Segment Adjusted EBITDA more than offset the impact during the periods from (i) shippers that utilized credits associated with previous deficiencies or (ii) credits that expired resulting in the recognition of previously deferred revenue. For the three-month 2018 period, shippers utilized credits associated with previous deficiencies, or such credits expired, offsetting collections for deficiencies and resulting in a net decrease to Segment Adjusted EBITDA.</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for the three and nine months ended September 30, 2018 compared to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were impacted by an increase in power related costs resulting from higher volumes, and increases in compensation costs. Such increases were partially offset in the three- and nine-month comparative periods by the sale of assets in the Rocky Mountain region in the fourth quarter of 2017 and the second quarter of 2018. Further, for the nine-month comparative period, the increases were offset by the impact of an increase of estimated costs recognized in the second quarter of 2017 associated with the Line 901 incident (which impact our field operating costs but are excluded from Segment Adjusted EBITDA and thus are reflected as an “Adjustment” in the table above).</w:t>
      </w:r>
    </w:p>
    <w:p>
      <w:pPr>
        <w:spacing w:after="0" w:line="17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increase in segment general and administrative expenses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compared to the three and nine months ended September 30, 2017 was primarily driven by an increase in equity-indexed compensation expense due to the impact of an increase in PAA’s unit price for the 2018 periods compared to a decrease in PAA’s unit price for the 2017 periods. A portion of equity-indexed compensation expense was associated with awards that will or may be settled in PAA common units (which impact our general and administrative expenses but are excluded from Segment Adjusted EBITDA and thus are reflected as an “Adjustment” in the table above).</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increase for the nine-month comparative period was partially offset by acquisition costs incurred in the 2017 period related to the ACC gathering system acquisition (which impact our segment general and administrative expenses but are excluded from Segment Adjusted EBITDA and thus are reflected as an “Adjustment” in the table above).</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order to maintain the operating and/or earnings capacity of our existing assets. The increase in maintenance capital for the three and nine months ended September 30, 2018 compared to the same periods in 2017 was primarily due to increased investment in our integrity management program and an operational tank replacement project.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9"/>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Purchases and related costs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5"/>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gridSpan w:val="4"/>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5"/>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3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5"/>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4"/>
              </w:rPr>
              <w:t>Equity-indexed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1"/>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3"/>
                <w:szCs w:val="23"/>
                <w:color w:val="auto"/>
              </w:rPr>
            </w:pPr>
          </w:p>
        </w:tc>
        <w:tc>
          <w:tcPr>
            <w:tcW w:w="122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tcBorders>
              <w:bottom w:val="single" w:sz="8" w:color="CCEEFF"/>
            </w:tcBorders>
            <w:gridSpan w:val="2"/>
          </w:tcPr>
          <w:p>
            <w:pPr>
              <w:spacing w:after="0"/>
              <w:rPr>
                <w:sz w:val="22"/>
                <w:szCs w:val="22"/>
                <w:color w:val="auto"/>
              </w:rPr>
            </w:pPr>
          </w:p>
        </w:tc>
        <w:tc>
          <w:tcPr>
            <w:tcW w:w="3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w:t>
            </w:r>
          </w:p>
        </w:tc>
        <w:tc>
          <w:tcPr>
            <w:tcW w:w="2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capacity in millions of barrels)</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Natural gas storage (average monthly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working capacity in billions of cubic</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4"/>
        </w:trPr>
        <w:tc>
          <w:tcPr>
            <w:tcW w:w="3140" w:type="dxa"/>
            <w:vAlign w:val="bottom"/>
            <w:gridSpan w:val="4"/>
          </w:tcPr>
          <w:p>
            <w:pPr>
              <w:ind w:left="200"/>
              <w:spacing w:after="0" w:line="244" w:lineRule="exact"/>
              <w:rPr>
                <w:sz w:val="20"/>
                <w:szCs w:val="20"/>
                <w:color w:val="auto"/>
              </w:rPr>
            </w:pPr>
            <w:r>
              <w:rPr>
                <w:rFonts w:ascii="Arial" w:cs="Arial" w:eastAsia="Arial" w:hAnsi="Arial"/>
                <w:sz w:val="18"/>
                <w:szCs w:val="18"/>
                <w:color w:val="auto"/>
              </w:rPr>
              <w:t xml:space="preserve">feet)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gridSpan w:val="3"/>
            <w:shd w:val="clear" w:color="auto" w:fill="CCEEFF"/>
          </w:tcPr>
          <w:p>
            <w:pPr>
              <w:ind w:left="40"/>
              <w:spacing w:after="0" w:line="182" w:lineRule="exact"/>
              <w:rPr>
                <w:sz w:val="20"/>
                <w:szCs w:val="20"/>
                <w:color w:val="auto"/>
              </w:rPr>
            </w:pPr>
            <w:r>
              <w:rPr>
                <w:rFonts w:ascii="Arial" w:cs="Arial" w:eastAsia="Arial" w:hAnsi="Arial"/>
                <w:sz w:val="18"/>
                <w:szCs w:val="18"/>
                <w:color w:val="auto"/>
                <w:w w:val="99"/>
              </w:rPr>
              <w:t>NGL fractionation (average volumes in</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thousands of barrels per day)</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Facilities segment total volumes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Arial" w:cs="Arial" w:eastAsia="Arial" w:hAnsi="Arial"/>
                <w:sz w:val="18"/>
                <w:szCs w:val="18"/>
                <w:color w:val="auto"/>
                <w:w w:val="98"/>
              </w:rPr>
              <w:t>(average monthly volumes in millions</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3140" w:type="dxa"/>
            <w:vAlign w:val="bottom"/>
            <w:gridSpan w:val="4"/>
          </w:tcPr>
          <w:p>
            <w:pPr>
              <w:ind w:left="200"/>
              <w:spacing w:after="0" w:line="244"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5"/>
                <w:szCs w:val="25"/>
                <w:color w:val="auto"/>
                <w:vertAlign w:val="superscript"/>
              </w:rPr>
              <w:t>(6)</w:t>
            </w:r>
          </w:p>
        </w:tc>
        <w:tc>
          <w:tcPr>
            <w:tcW w:w="2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20" w:hanging="652"/>
        <w:spacing w:after="0" w:line="225"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liquids storage capacity; (ii) natural gas storage working capacity divided by 6 to account for the 6:1 mcf of natural gas to crude Btu equivalent ratio and further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80"/>
        <w:spacing w:after="0" w:line="324" w:lineRule="auto"/>
        <w:rPr>
          <w:sz w:val="20"/>
          <w:szCs w:val="20"/>
          <w:color w:val="auto"/>
        </w:rPr>
      </w:pPr>
      <w:r>
        <w:rPr>
          <w:rFonts w:ascii="Arial" w:cs="Arial" w:eastAsia="Arial" w:hAnsi="Arial"/>
          <w:sz w:val="18"/>
          <w:szCs w:val="18"/>
          <w:color w:val="auto"/>
        </w:rPr>
        <w:t>divided by 1,000 to convert to monthly volumes in millions; and (iii) NGL fractionation volumes multiplied by the number of days in the period and divided by the number of months in the period.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were driven by:</w:t>
      </w:r>
    </w:p>
    <w:p>
      <w:pPr>
        <w:spacing w:after="0" w:line="170" w:lineRule="exact"/>
        <w:rPr>
          <w:sz w:val="20"/>
          <w:szCs w:val="20"/>
          <w:color w:val="auto"/>
        </w:rPr>
      </w:pPr>
    </w:p>
    <w:p>
      <w:pPr>
        <w:ind w:left="980" w:right="80" w:hanging="324"/>
        <w:spacing w:after="0" w:line="291"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NGL Operations. </w:t>
      </w:r>
      <w:r>
        <w:rPr>
          <w:rFonts w:ascii="Arial" w:cs="Arial" w:eastAsia="Arial" w:hAnsi="Arial"/>
          <w:sz w:val="16"/>
          <w:szCs w:val="16"/>
          <w:color w:val="auto"/>
        </w:rPr>
        <w:t>Revenues decreased by $13 million and less than $1 million for the three and nine months ended September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in 2017. The three- and nine-month comparative periods were impacted by the sale of a natural gas processing facility in the second quarter of 2018 and decreases in revenues at certain of our storage and fractionation facilities. The three-month comparative period also reflects an unfavorable foreign exchange impact of approximately $5 million. These unfavorable variances were substantially offset for the nine-month comparative period due to (i) increased volumes and fees associated with placing an additional 1.6 million barrels of NGL storage capacity into service in the second half of 2017 at our Fort Saskatchewan facility, (ii) higher volumetric gains at certain facilities in the 2018 period and (iii) a net favorable foreign exchange impact of approximately $5 million.</w:t>
      </w:r>
    </w:p>
    <w:p>
      <w:pPr>
        <w:spacing w:after="0" w:line="167" w:lineRule="exact"/>
        <w:rPr>
          <w:rFonts w:ascii="Arial" w:cs="Arial" w:eastAsia="Arial" w:hAnsi="Arial"/>
          <w:sz w:val="16"/>
          <w:szCs w:val="16"/>
          <w:color w:val="auto"/>
        </w:rPr>
      </w:pPr>
    </w:p>
    <w:p>
      <w:pPr>
        <w:ind w:left="980" w:right="14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decreased by $2 million and $14 million for the three and nine months ended September 30, 2018,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2017 primarily due to the sale of certain of our Bay Area, California terminal assets in December 2017. These lower results were partially offset in each of the comparative periods by higher revenues from increased activity at our Cushing and St. James terminals.</w:t>
      </w:r>
    </w:p>
    <w:p>
      <w:pPr>
        <w:spacing w:after="0" w:line="186" w:lineRule="exact"/>
        <w:rPr>
          <w:rFonts w:ascii="Arial" w:cs="Arial" w:eastAsia="Arial" w:hAnsi="Arial"/>
          <w:sz w:val="18"/>
          <w:szCs w:val="18"/>
          <w:color w:val="auto"/>
        </w:rPr>
      </w:pPr>
    </w:p>
    <w:p>
      <w:pPr>
        <w:ind w:left="980" w:right="18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Rail Terminals. </w:t>
      </w:r>
      <w:r>
        <w:rPr>
          <w:rFonts w:ascii="Arial" w:cs="Arial" w:eastAsia="Arial" w:hAnsi="Arial"/>
          <w:sz w:val="16"/>
          <w:szCs w:val="16"/>
          <w:color w:val="auto"/>
        </w:rPr>
        <w:t>Revenues increased by $8 million and $18 million for the three and nine months ended September 30, 2018, respectively,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periods in 2017 primarily due to higher activity at certain of our rail terminals resulting from more favorable market conditions.</w:t>
      </w:r>
    </w:p>
    <w:p>
      <w:pPr>
        <w:spacing w:after="0" w:line="123" w:lineRule="exact"/>
        <w:rPr>
          <w:rFonts w:ascii="Arial" w:cs="Arial" w:eastAsia="Arial" w:hAnsi="Arial"/>
          <w:sz w:val="16"/>
          <w:szCs w:val="16"/>
          <w:color w:val="auto"/>
        </w:rPr>
      </w:pPr>
    </w:p>
    <w:p>
      <w:pPr>
        <w:ind w:left="980" w:hanging="324"/>
        <w:spacing w:after="0" w:line="273"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Natural Gas Storage</w:t>
      </w:r>
      <w:r>
        <w:rPr>
          <w:rFonts w:ascii="Arial" w:cs="Arial" w:eastAsia="Arial" w:hAnsi="Arial"/>
          <w:sz w:val="17"/>
          <w:szCs w:val="17"/>
          <w:color w:val="auto"/>
        </w:rPr>
        <w:t>. Revenues, net of purchases and related costs, increased by $3 million for the three-month comparative period and</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by $5 million for the nine-month comparative period. The decrease for the nine-month comparative period was primarily due to (i) the June 2017 sale of our Bluewater natural gas storage facility and (ii) the absence of a one-time fee recognized during the first quarter of 2017 related to the early termination of a storage contract at our Pine Prairie facility. These unfavorable impacts were partially offset for the nine-month comparative period and fully offset for the three-month comparative period by the favorable impact of expiring contracts replaced at higher rates and more favorable market conditions for hub services at certain of our natural gas storage facilities.</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and nine months ended September 30, 2018 compared to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was primarily due to an increase in personnel costs, including higher costs at our rail terminals as a result of increased activity, partially offset by lower costs due to sales of assets.</w:t>
      </w:r>
    </w:p>
    <w:p>
      <w:pPr>
        <w:spacing w:after="0" w:line="18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compared to the nine months ended September 30, 2017 was primarily driven by an increase in equity-indexed compensation expense due to the impact of an increase in PAA’s unit price for the 2018 period compared to a decrease in PAA’s unit price for the 2017 period.</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For the three months ended September 30, 2018 as compared to the three months ended September 30, 2017,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spending increased primarily due to costs at our NGL processing facilities located in Western Canada. These increases were partially offset for the three month comparative period and fully offset for the nine month comparative period by the impact of higher expenditures related to our integrity management program in 2017 compared to 2018, primarily on assets at our Southern California terminals. Total maintenance costs related to our integrity management program at these terminals decreased by approximately $10 million and $41 million for the three and nine months ended September 30, 2018, respectively, compared to the same periods in 2017. We expect to continue to see significant reductions to our maintenance capital costs compared to 2017 at these terminals going forward as we complete a number of maintenance projects in this area.</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(24,076)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(17,407)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20" w:type="dxa"/>
            <w:vAlign w:val="bottom"/>
          </w:tcPr>
          <w:p>
            <w:pPr>
              <w:spacing w:after="0"/>
              <w:rPr>
                <w:sz w:val="23"/>
                <w:szCs w:val="23"/>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2018</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September 30, 2017</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Nine months ended September 30, 2018</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2017</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2018 compared to the same periods in 2017 primarily due to higher crude oil prices. Additionally, revenues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Our Supply and Logistics Segment Adjusted EBITDA increased by $131 million and $152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2018, respectively, compared to the three and nine months ended September 30, 2017. The following summarizes the significant items impacting the comparative periods:</w:t>
      </w:r>
    </w:p>
    <w:p>
      <w:pPr>
        <w:spacing w:after="0" w:line="181" w:lineRule="exact"/>
        <w:rPr>
          <w:sz w:val="20"/>
          <w:szCs w:val="20"/>
          <w:color w:val="auto"/>
        </w:rPr>
      </w:pPr>
    </w:p>
    <w:p>
      <w:pPr>
        <w:ind w:left="980" w:right="12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8"/>
          <w:szCs w:val="18"/>
          <w:i w:val="1"/>
          <w:iCs w:val="1"/>
          <w:color w:val="auto"/>
        </w:rPr>
        <w:t>rude Oil Operations.</w:t>
      </w:r>
      <w:r>
        <w:rPr>
          <w:rFonts w:ascii="Arial" w:cs="Arial" w:eastAsia="Arial" w:hAnsi="Arial"/>
          <w:sz w:val="18"/>
          <w:szCs w:val="18"/>
          <w:color w:val="auto"/>
        </w:rPr>
        <w:t xml:space="preserve"> Net revenues from our crude oil supply and logistics operations increased for the comparative three- and nine-month periods presented primarily due to favorable grade differentials, primarily in the Permian Basin and Western Canada, as well as higher lease gathering margins and volumes. For the nine-month comparative period, such favorable impacts more than offset the benefit to the 2017 period of the contango market conditions.</w:t>
      </w:r>
    </w:p>
    <w:p>
      <w:pPr>
        <w:spacing w:after="0" w:line="186" w:lineRule="exact"/>
        <w:rPr>
          <w:rFonts w:ascii="Arial" w:cs="Arial" w:eastAsia="Arial" w:hAnsi="Arial"/>
          <w:sz w:val="18"/>
          <w:szCs w:val="18"/>
          <w:color w:val="auto"/>
        </w:rPr>
      </w:pPr>
    </w:p>
    <w:p>
      <w:pPr>
        <w:ind w:left="980" w:right="40" w:hanging="324"/>
        <w:spacing w:after="0" w:line="25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three and nine months ended September 30,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periods in 2017. The three- and nine-month comparative periods were favorably impacted by an audit recovery in 2018 related to a profit-sharing arrangement. The nine-month comparative period was also favorably impacted by (i) lower supply costs at our straddle plants relative to NGL values, (ii) favorable impacts from a wider isobutane/normal butane differential and (iii) modifications made to our contracting strategies in the 2017-2018 heating season.</w:t>
      </w:r>
    </w:p>
    <w:p>
      <w:pPr>
        <w:spacing w:after="0" w:line="188"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11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i w:val="1"/>
          <w:iCs w:val="1"/>
          <w:color w:val="auto"/>
        </w:rPr>
      </w:pPr>
    </w:p>
    <w:p>
      <w:pPr>
        <w:ind w:left="980" w:hanging="324"/>
        <w:spacing w:after="0" w:line="25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6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and nine months ended September 30, 2018 compared to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2017 was primarily driven by an increase in third party trucking utilization and higher fuel costs due to longer hauls and increased volumes.</w:t>
      </w:r>
    </w:p>
    <w:p>
      <w:pPr>
        <w:spacing w:after="0" w:line="181" w:lineRule="exact"/>
        <w:rPr>
          <w:rFonts w:ascii="Arial" w:cs="Arial" w:eastAsia="Arial" w:hAnsi="Arial"/>
          <w:sz w:val="18"/>
          <w:szCs w:val="18"/>
          <w:i w:val="1"/>
          <w:iCs w:val="1"/>
          <w:color w:val="auto"/>
        </w:rPr>
      </w:pPr>
    </w:p>
    <w:p>
      <w:pPr>
        <w:ind w:left="980" w:right="140" w:hanging="324"/>
        <w:spacing w:after="0" w:line="259" w:lineRule="auto"/>
        <w:tabs>
          <w:tab w:leader="none" w:pos="9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compared to the three and nine months ended September 30, 2017 was primarily driven by (i) an increase in equity-indexed compensation expense due to the impact of an increase in PAA’s unit price for the 2018 periods compared to a decrease in PAA’s unit price for the 2017 periods and (ii) cost increases across various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Depreciation and amortization expense decreased for the three and nine months ended September 30, 2018 compared to the three and nine months ended September 30, 2017 primarily due to the recognition of net losses of approximately $2 million for the three months ended September 30, 2018 and net gains of approximately $79 million for the nine months ended September 30, 2018, compared to net losses of approximately $15 million for both the three and nine months ended September 30, 2017 associated with sales of assets during the periods.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Sale of Investment in Unconsolidated Entities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third quarter of 2018, we sold a 30% interest in BridgeTex for proceeds of $868 million, resulting in a gain of $210 million. We retained a 20% interest in BridgeTex.</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decrease in interest expense for the three and nine months ended September 30, 2018 compared to the three and nine months ended September 30, 2017 was primarily due to (i) a lower weighted average debt balance during the 2018 periods, largely resulting from the repayment of an aggregate of $950 million of PAA senior notes in December 2017, and (ii) a net favorable impact of $9 million and $13 million for the three and nine month periods, respectively, related to losses on interest rate swaps recognized in the 2017 periods compared to gains recognized in the 2018 periods.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r>
      <w:tr>
        <w:trPr>
          <w:trHeight w:val="228"/>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Gain/(loss) related to mark-to-market adjustment of the Preferred Distribution Rate Reset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5"/>
                <w:szCs w:val="25"/>
                <w:color w:val="auto"/>
                <w:vertAlign w:val="superscript"/>
              </w:rPr>
              <w:t>(1)</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5620" w:right="4080" w:hanging="5612"/>
        <w:spacing w:after="0" w:line="842" w:lineRule="auto"/>
        <w:tabs>
          <w:tab w:leader="none" w:pos="652"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See Note 11 to our Condensed Consolidated Financial Statements for additional information. 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income tax expense for the three months ended September 30, 2018 compared to the income tax benefit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was primarily due to (i) lower year-over-year losses as impacted by fluctuations in derivative mark-to-market valuations in our Canadian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(ii) higher deferred tax expense as a result of higher income attributable to PAGP in 2018, partially offset by the favorable impact on deferred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expense of a decrease in our effective tax rates as a result of the enactment of the Tax Cuts and Jobs Act in the fourth quarter of 2017.</w:t>
      </w:r>
    </w:p>
    <w:p>
      <w:pPr>
        <w:spacing w:after="0" w:line="211" w:lineRule="exact"/>
        <w:rPr>
          <w:sz w:val="20"/>
          <w:szCs w:val="20"/>
          <w:color w:val="auto"/>
        </w:rPr>
      </w:pPr>
    </w:p>
    <w:p>
      <w:pPr>
        <w:ind w:right="80" w:firstLine="720"/>
        <w:spacing w:after="0" w:line="259" w:lineRule="auto"/>
        <w:rPr>
          <w:sz w:val="20"/>
          <w:szCs w:val="20"/>
          <w:color w:val="auto"/>
        </w:rPr>
      </w:pPr>
      <w:r>
        <w:rPr>
          <w:rFonts w:ascii="Arial" w:cs="Arial" w:eastAsia="Arial" w:hAnsi="Arial"/>
          <w:sz w:val="18"/>
          <w:szCs w:val="18"/>
          <w:color w:val="auto"/>
        </w:rPr>
        <w:t>Income tax expense decreased for the nine months ended September 30, 2018 compared to the nine months ended September 30, 2017, primarily due to lower deferred tax expense due to a decrease in our effective tax rates as a result of the enactment of the Tax Cuts and Jobs Act in the fourth quarter of 2017, which more than offset the increase in expense associated with (i) higher income attributable to PAGP in 2018 and (ii) higher year-over-year income as impacted by fluctuations in derivative mark-to-market valuations in our Canadian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6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As of September 30, 2018, although we had a working capital deficit of $527 million, we had approximately $2.5 billion of liquidity available to meet our ongoing operating, investing and financing needs, subject to continued covenant compliance, as noted below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2018</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1,441</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1,078</w:t>
            </w: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97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2,459</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37"/>
        </w:trPr>
        <w:tc>
          <w:tcPr>
            <w:tcW w:w="972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2,492</w:t>
            </w:r>
          </w:p>
        </w:tc>
      </w:tr>
      <w:tr>
        <w:trPr>
          <w:trHeight w:val="27"/>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6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$159 million and $22 million, respectively.</w:t>
      </w:r>
    </w:p>
    <w:p>
      <w:pPr>
        <w:spacing w:after="0" w:line="20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September 30, 2018, PAA was in compliance with all such covenants. Also, see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Item 1A. “Risk Factors” of our 2017 Annual Report on Form 10-K for further discussion regarding such risks that may impact our 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2017 Annual Report on Form 10-K.</w:t>
      </w:r>
    </w:p>
    <w:p>
      <w:pPr>
        <w:spacing w:after="0" w:line="18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Net cash provided by operating activities for the first nine months of 2018 and 2017 was $1.292 billion and $1.915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6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During the nine months ended September 30, 2018, we increased the volume of crude oil and NGL inventory that we held, which was funded by proceeds from asset sales and short-term debt. The cash outflows associated with these inventory purchases resulted in a decrease to our cash provided by operating activities. However, this decrease was partially offset by approximately $300 million of cash received for transactions for which the revenue has been deferred pending the completion of future performance obligations. See Note 3 to our Condensed Consolidated Financial Statements for additional information.</w:t>
      </w:r>
    </w:p>
    <w:p>
      <w:pPr>
        <w:spacing w:after="0" w:line="18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During the nine months ended September 30, 2017, we decreased both the volume of crude oil inventory that we held and the margin balances required as part of our hedging activities, both of which had been funded by short-term debt.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Divestitures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the near term, we also intend to use proceeds from our divestiture program, as discussed further below. We have made and will continue to make capital expenditures for acquisitions, expansion capital projects and maintenance activities.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$1.37 billion in midstream infrastructure during the nine months ended September 30, 2018, and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invest approximately $1.95 billion during the full year ended December 31, 2018. See “—Acquisitions and Capital Projects” for detail of our projected capital expenditures for the year ending December 31, 2018. We expect to fund our 2018 capital program with retained cash flow and proceeds from assets sold as part of our divestiture program, as discussed further below.</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In 2016, we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to optimize our asset portfolio and strengthen our balance sheet and leverage metrics. As of December 31, 2017, we had completed asset sales totaling approximately $1.7 billion, of which approximately $0.6 billion closed in 2016 (net of amounts paid for the remaining interest in a pipeline that was subsequently sold) and approximately $1.1 billion closed in 2017.</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part of our funding plans for our 2018 expansion capital program, we set a target to raise $700 million through divestitures in 2018. We have exceeded this target, receiving proceeds of approximately $1.3 billion during the first nine months of 2018, which included proceeds from the sale of a portion of our interest in BridgeTex in the third quarter of 2018. Excess proceeds above our targeted amounts were used to reduce debt and fund incremental expansion opportunities. We continue to advance efforts with respect to a number of additional transactions.</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divestiture efforts will be successfully completed. Also, see Item 1A.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 Factors—Risks Related to PAA’s Business” of our 2017 Annual Report on Form 10-K for further discussion regarding risks related to our acquisitions and divestitures.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an aggregate of $1.0 billion of equity securities (the “PAGP Traditional Shelf”). All issuances of equity securities associated with our continuous offering program have been issued pursuant to the PAGP Traditional Shelf. At September 30, 2018,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nine months ended September 30, 2018.</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PAA Registration Statements. </w:t>
      </w:r>
      <w:r>
        <w:rPr>
          <w:rFonts w:ascii="Arial" w:cs="Arial" w:eastAsia="Arial" w:hAnsi="Arial"/>
          <w:sz w:val="17"/>
          <w:szCs w:val="17"/>
          <w:color w:val="auto"/>
        </w:rPr>
        <w:t>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up to an aggregate of $1.1 billion of debt or equity securities (the “PAA Traditional Shelf”). At September 30, 2018, PAA had approximately $1.1 billion of unsold securities available under the PAA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nine months ended September 30, 2018.</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the PAA revolving credit facilities (which impact PAA’s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the PAA commercial paper program because they provide the financial backstop that supports PAA’s short-term credit ratings) and the PAA term loans and the indentures governing PAA’s senior notes contain cross-default provisions. A default under the credit agreements or indentures would permit the lenders to accelerate the maturity of the outstanding debt. As long as PAA is in compliance with the provisions in the credit agreements, its ability to make distributions of available cash is not restricted. As of September 30, 2018, PAA was in compliance with the covenants contained in the credit agreements and indentures.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August 2018, PAA entered into an agreement for two $100 million Go Zone term loans from the remarketing of our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 See Note 9 to our Condensed Consolidated Financial Statements for additional information.</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August 2018, PAA extended the maturity dates of its senior unsecured revolving credit facility and senior secured hedged inventory facility by one year to August 2023 and August 2021, respectively, for each extending lender. The PAA 364-day senior unsecured revolving credit facility, which had a borrowing capacity of $1.0 billion, matured in August 2018.</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During the nine months ended September 30, 2018, we had net repayments under PAA’s credit agreements and the PAA commercial paper program of $542 million. The net repayments resulted primarily from cash flow from operating activities and proceeds from asset sales, partially offset by borrowings during the period related to funding needs for inventory purchases and related margin activities.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nine months ended September 30, 2017, we had net repayments on PAA’s credit facilities and the PAA commercial paper program of $108 million. The net repayments resulted primarily from cash flow from operating activities and cash received from our equity activities, which offset borrowings during the period related to funding needs for (i) acquisition and capital investments, (ii) repayment of PAA’s $400 million, 6.13% senior notes in January 2017 and (iii) other general partnership purposes.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all of our available cash within 55 days following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 hand at the end of each quarter less reserves established in the discretion of our general partner for future requirements. On November 14, 2018, we will pay a quarterly distribution of $0.30 per Class A share ($1.20 per Class A share on an annualized basis), which is unchanged from our prior four quarterly distributions. See Note 10 to our Condensed Consolidated Financial Statements for details of distributions paid during or pertaining to the first nine months of 2018. Also, see Item 5. “Market for Registrant’s Shares, Related Shareholder Matters and Issuer Purchases of Equity Securities—Cash Distribution Policy” included in our 2017 Annual Report on Form 10-K for additional discussion regarding distributions.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Distributions to noncontrolling interests represent amounts paid on interests in consolidated entities that are not owned by us. As of September 30, 2018, noncontrolling interests in our subsidiaries consisted of (i) limited partner interests in PAA including a 65% interest in PAA’s common units and PAA’s Series A preferred units combined and 100% of PAA’s Series B preferred units and (ii) an approximate 43% limited partner interest in AAP.</w:t>
      </w:r>
    </w:p>
    <w:p>
      <w:pPr>
        <w:spacing w:after="0" w:line="14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Distributions to PAA’s Series A preferred unitholders. </w:t>
      </w:r>
      <w:r>
        <w:rPr>
          <w:rFonts w:ascii="Arial" w:cs="Arial" w:eastAsia="Arial" w:hAnsi="Arial"/>
          <w:sz w:val="16"/>
          <w:szCs w:val="16"/>
          <w:color w:val="auto"/>
        </w:rPr>
        <w:t>On November 14, 2018 PAA will pay a cash distribution of $37 million ($0.525 per unit) on its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October 31, 2018, the record date for such distribution for the period from July 1, 2018 through September 30, 2018. See Note 10 to our Condensed Consolidated Financial Statements for details of distributions made during or pertaining to the first nine months of 2018.</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Series B preferred unitholders. </w:t>
      </w:r>
      <w:r>
        <w:rPr>
          <w:rFonts w:ascii="Arial" w:cs="Arial" w:eastAsia="Arial" w:hAnsi="Arial"/>
          <w:sz w:val="18"/>
          <w:szCs w:val="18"/>
          <w:color w:val="auto"/>
        </w:rPr>
        <w:t>Distributions on PAA’s Series B preferred units are payable semiannually in arrears on the 15th</w:t>
      </w:r>
      <w:r>
        <w:rPr>
          <w:rFonts w:ascii="Arial" w:cs="Arial" w:eastAsia="Arial" w:hAnsi="Arial"/>
          <w:sz w:val="18"/>
          <w:szCs w:val="18"/>
          <w:i w:val="1"/>
          <w:iCs w:val="1"/>
          <w:color w:val="auto"/>
        </w:rPr>
        <w:t xml:space="preserve"> </w:t>
      </w:r>
      <w:r>
        <w:rPr>
          <w:rFonts w:ascii="Arial" w:cs="Arial" w:eastAsia="Arial" w:hAnsi="Arial"/>
          <w:sz w:val="18"/>
          <w:szCs w:val="18"/>
          <w:color w:val="auto"/>
        </w:rPr>
        <w:t>day of May and November. On November 15, 2018, PAA will pay the semi-annual cash distribution of $24.5 million on its Series B preferred units to holders of record at the close of business on November 1, 2018 for the period from May 15, 2018 to November 14, 2018. See Note 10 to our Condensed Consolidated Financial Statements for details of distributions made during the first nine months of 2018.</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Distributions to PAA’s common unitholders. </w:t>
      </w:r>
      <w:r>
        <w:rPr>
          <w:rFonts w:ascii="Arial" w:cs="Arial" w:eastAsia="Arial" w:hAnsi="Arial"/>
          <w:sz w:val="17"/>
          <w:szCs w:val="17"/>
          <w:color w:val="auto"/>
        </w:rPr>
        <w:t>On November 14, 2018, PAA will pay a quarterly distribution of $0.30 per common unit ($1.20 per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 on an annualized basis), which is unchanged from its prior four quarterly distributions, on its common units outstanding as of October 31, 2018, the record date for such distribution for the period from July 1, 2018 through September 30, 2018. See Note 10 to our Condensed Consolidated Financial Statements for details of distributions paid during or pertaining to the first nine months of 2018.</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 The following table includes our best estimate of the amount and timing of these payments as well as other amounts due under the specified contractual obligations as of September 30, 2018 (in millions):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2023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10,190</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14,118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3,459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5,024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36,713</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4,078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6,239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24,026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53,662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37"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 For additional information regarding PAA’s debt obligations, see Note 9 to our Condensed Consolidated Financial Statements.</w:t>
      </w:r>
    </w:p>
    <w:p>
      <w:pPr>
        <w:spacing w:after="0" w:line="98" w:lineRule="exact"/>
        <w:rPr>
          <w:rFonts w:ascii="Arial" w:cs="Arial" w:eastAsia="Arial" w:hAnsi="Arial"/>
          <w:sz w:val="25"/>
          <w:szCs w:val="25"/>
          <w:color w:val="auto"/>
          <w:vertAlign w:val="superscript"/>
        </w:rPr>
      </w:pPr>
    </w:p>
    <w:p>
      <w:pPr>
        <w:ind w:left="660" w:right="480" w:hanging="652"/>
        <w:spacing w:after="0" w:line="216"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20" w:hanging="652"/>
        <w:spacing w:after="0" w:line="235"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$785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60" w:hanging="652"/>
        <w:spacing w:after="0" w:line="238" w:lineRule="auto"/>
        <w:tabs>
          <w:tab w:leader="none" w:pos="66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September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 related margin obligations and construction activities. At September 30, 2018 and December 31, 2017, we had outstanding letters of credit of approximately $181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March 2018, the Federal Energy Regulatory Commission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 regulated pipelines that have negotiated rates with escalations tied to the FERC Index.</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2017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exchange-traded and over-the-counter futures, forwards, swaps and options.</w:t>
      </w:r>
    </w:p>
    <w:p>
      <w:pPr>
        <w:spacing w:after="0" w:line="146" w:lineRule="exact"/>
        <w:rPr>
          <w:rFonts w:ascii="Arial" w:cs="Arial" w:eastAsia="Arial" w:hAnsi="Arial"/>
          <w:sz w:val="18"/>
          <w:szCs w:val="18"/>
          <w:i w:val="1"/>
          <w:iCs w:val="1"/>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Condensed Consolidated Financial Statements for further discussion regarding our hedging strategies and objectives.</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2018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September 30, 2018, approximately $560 million, was subject to interest rate re-sets that range from one day to approximately one month. The average interest rate on variable rate debt that was outstanding during the nine months ended September 30, 2018 was 2.9%, based upon rates in effect during such period. The fair value of our interest rate derivatives was an asset of $15 million as of September 30, 2018. A 10% increase in the forward LIBOR curve as of September 30, 2018 would have resulted in an increase of $23 million to the fair value of our interest rate derivatives. A 10% decrease in the forward LIBOR curve as of September 30, 2018 would have resulted in a decrease of $23 million to the fair value of our interest rate derivatives. See Note 11 to our Condensed Consolidated Financial Statements for a discussion of our interest rate risk hedging activities.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$2 million as of September 30, 2018. A 10% increase in the exchange rate (USD-to-CAD) would have resulted in a decrease of $36 million to the fair value of our foreign currency derivatives. A 10% decrease in the exchange rate (USD-to-CAD) would have resulted in an increase of $36 million to the fair value of our foreign currency derivatives. See Note 11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$19 million as of September 30, 2018. A 10% increase or decrease in the fair value would have an impact of $2 million. See Note 11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2018,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2018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2017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September 30, 2018, certain Legacy Owners or their permitted transferees exercised the Exchange Right, which resulted in the issuance of 1,195,405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Exhibit No.</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30"/>
          </w:tcPr>
          <w:p>
            <w:pPr>
              <w:ind w:left="14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1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840" w:type="dxa"/>
            <w:vAlign w:val="bottom"/>
            <w:tcBorders>
              <w:bottom w:val="single" w:sz="8" w:color="0000FF"/>
            </w:tcBorders>
            <w:gridSpan w:val="17"/>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Certificate of Limited Partnership of Plains GP Holdings, L.P. (incorporated by reference to Exhibit 3.1 to our Registration</w:t>
              </w:r>
            </w:hyperlink>
          </w:p>
        </w:tc>
        <w:tc>
          <w:tcPr>
            <w:tcW w:w="70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Statement on Form S-1 (333-190227) filed July 29, 2013).</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00" w:type="dxa"/>
            <w:vAlign w:val="bottom"/>
            <w:tcBorders>
              <w:bottom w:val="single" w:sz="8" w:color="0000FF"/>
            </w:tcBorders>
            <w:gridSpan w:val="21"/>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Second Amended and Restated Agreement of Limited Partnership of Plains GP Holdings, L.P. dated as of November 15, 2016</w:t>
              </w:r>
            </w:hyperlink>
          </w:p>
        </w:tc>
        <w:tc>
          <w:tcPr>
            <w:tcW w:w="4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(incorporated by reference to Exhibit 3.2 to our Current Report on Form 8-K filed November 21, 2016).</w:t>
              </w:r>
            </w:hyperlink>
          </w:p>
        </w:tc>
        <w:tc>
          <w:tcPr>
            <w:tcW w:w="2040" w:type="dxa"/>
            <w:vAlign w:val="bottom"/>
            <w:gridSpan w:val="25"/>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60" w:type="dxa"/>
            <w:vAlign w:val="bottom"/>
            <w:tcBorders>
              <w:bottom w:val="single" w:sz="8" w:color="0000FF"/>
            </w:tcBorders>
            <w:gridSpan w:val="20"/>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Certificate of Formation of PAA GP Holdings LLC (incorporated by reference to Exhibit 3.3 to our Registration Statement on</w:t>
              </w:r>
            </w:hyperlink>
          </w:p>
        </w:tc>
        <w:tc>
          <w:tcPr>
            <w:tcW w:w="48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Form S-1 (333-190227) filed July 29, 2013).</w:t>
              </w:r>
            </w:hyperlink>
          </w:p>
        </w:tc>
        <w:tc>
          <w:tcPr>
            <w:tcW w:w="6320" w:type="dxa"/>
            <w:vAlign w:val="bottom"/>
            <w:gridSpan w:val="32"/>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20" w:type="dxa"/>
            <w:vAlign w:val="bottom"/>
            <w:tcBorders>
              <w:bottom w:val="single" w:sz="8" w:color="0000FF"/>
            </w:tcBorders>
            <w:gridSpan w:val="22"/>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Third Amended and Restated Limited Liability Company Agreement of PAA GP Holdings LLC dated as of February 16, 2017</w:t>
              </w:r>
            </w:hyperlink>
          </w:p>
        </w:tc>
        <w:tc>
          <w:tcPr>
            <w:tcW w:w="42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(incorporated by reference to Exhibit 3.1 to our Current Report on Form 8-K filed February 21, 2017).</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320" w:type="dxa"/>
            <w:vAlign w:val="bottom"/>
            <w:tcBorders>
              <w:bottom w:val="single" w:sz="8" w:color="0000FF"/>
            </w:tcBorders>
            <w:gridSpan w:val="29"/>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Amendment No. 1 dated October 1, 2018 to the Third Amended and Restated Limited Liability Company Agreement of PAA GP</w:t>
              </w:r>
            </w:hyperlink>
          </w:p>
        </w:tc>
        <w:tc>
          <w:tcPr>
            <w:tcW w:w="22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Holdings LLC (incorporated by reference to Exhibit 3.1 to our Current Report on Form 8-K filed August 20, 2018).</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Seventh Amended and Restated Agreement of Limited Partnership of Plains All American Pipeline, L.P., dated as of October 10,</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2017 (incorporated by reference to Exhibit 3.1 to PAA's Current Report on Form 8-K filed October 12, 2017).</w:t>
              </w:r>
            </w:hyperlink>
          </w:p>
        </w:tc>
        <w:tc>
          <w:tcPr>
            <w:tcW w:w="26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440" w:type="dxa"/>
            <w:vAlign w:val="bottom"/>
            <w:tcBorders>
              <w:bottom w:val="single" w:sz="8" w:color="0000FF"/>
            </w:tcBorders>
            <w:gridSpan w:val="33"/>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1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(incorporated by reference to Exhibit 3.3 to our Current Report on Form 8-K filed November 21, 2016).</w:t>
              </w:r>
            </w:hyperlink>
          </w:p>
        </w:tc>
        <w:tc>
          <w:tcPr>
            <w:tcW w:w="2060" w:type="dxa"/>
            <w:vAlign w:val="bottom"/>
            <w:gridSpan w:val="26"/>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00" w:type="dxa"/>
            <w:vAlign w:val="bottom"/>
            <w:tcBorders>
              <w:bottom w:val="single" w:sz="8" w:color="0000FF"/>
            </w:tcBorders>
            <w:gridSpan w:val="2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Eighth Amended and Restated Limited Partnership Agreement of Plains AAP, L.P. dated November 15, 2016 (incorporated by</w:t>
              </w:r>
            </w:hyperlink>
          </w:p>
        </w:tc>
        <w:tc>
          <w:tcPr>
            <w:tcW w:w="4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reference to Exhibit 3.4 to our Current Report on Form 8-K filed November 21, 2016).</w:t>
              </w:r>
            </w:hyperlink>
          </w:p>
        </w:tc>
        <w:tc>
          <w:tcPr>
            <w:tcW w:w="3300" w:type="dxa"/>
            <w:vAlign w:val="bottom"/>
            <w:gridSpan w:val="28"/>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380" w:type="dxa"/>
            <w:vAlign w:val="bottom"/>
            <w:tcBorders>
              <w:bottom w:val="single" w:sz="8" w:color="0000FF"/>
            </w:tcBorders>
            <w:gridSpan w:val="31"/>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Amendment No. 1 dated September 26, 2018 to the Eighth Amended and Restated Limited Partnership Agreement of Plains AAP,</w:t>
              </w:r>
            </w:hyperlink>
          </w:p>
        </w:tc>
        <w:tc>
          <w:tcPr>
            <w:tcW w:w="16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L.P. (incorporated by reference to Exhibit 3.1 to our Current Report on Form 8-K filed October 2, 2018).</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6"/>
              </w:rPr>
            </w:pPr>
            <w:hyperlink r:id="rId54">
              <w:r>
                <w:rPr>
                  <w:rFonts w:ascii="Arial" w:cs="Arial" w:eastAsia="Arial" w:hAnsi="Arial"/>
                  <w:sz w:val="18"/>
                  <w:szCs w:val="18"/>
                  <w:color w:val="0000FF"/>
                  <w:w w:val="96"/>
                </w:rPr>
                <w:t>Limited Liability Company Agreement of PAA GP LLC dated December 28, 2007 (incorporated by reference to Exhibit 3.3 to</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PAA’s Current Report on Form 8-K filed January 4, 2008).</w:t>
              </w:r>
            </w:hyperlink>
          </w:p>
        </w:tc>
        <w:tc>
          <w:tcPr>
            <w:tcW w:w="4880" w:type="dxa"/>
            <w:vAlign w:val="bottom"/>
            <w:tcBorders>
              <w:top w:val="single" w:sz="8" w:color="0000FF"/>
            </w:tcBorders>
            <w:gridSpan w:val="16"/>
          </w:tcPr>
          <w:p>
            <w:pPr>
              <w:spacing w:after="0"/>
              <w:rPr>
                <w:sz w:val="17"/>
                <w:szCs w:val="17"/>
                <w:color w:val="auto"/>
              </w:rPr>
            </w:pPr>
          </w:p>
        </w:tc>
        <w:tc>
          <w:tcPr>
            <w:tcW w:w="440" w:type="dxa"/>
            <w:vAlign w:val="bottom"/>
            <w:gridSpan w:val="14"/>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360" w:type="dxa"/>
            <w:vAlign w:val="bottom"/>
            <w:tcBorders>
              <w:bottom w:val="single" w:sz="8" w:color="0000FF"/>
            </w:tcBorders>
            <w:gridSpan w:val="30"/>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Indenture dated September 25, 2002 among Plains All American Pipeline, L.P., PAA Finance Corp. and Wachovia Bank, National</w:t>
              </w:r>
            </w:hyperlink>
          </w:p>
        </w:tc>
        <w:tc>
          <w:tcPr>
            <w:tcW w:w="18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Association, as trustee (incorporated by reference to Exhibit 4.1 to PAA’s Quarterly Report on Form 10-Q for the quarter ended</w:t>
              </w:r>
            </w:hyperlink>
          </w:p>
        </w:tc>
        <w:tc>
          <w:tcPr>
            <w:tcW w:w="36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September 30, 2002).</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860" w:type="dxa"/>
            <w:vAlign w:val="bottom"/>
            <w:tcBorders>
              <w:bottom w:val="single" w:sz="8" w:color="0000FF"/>
            </w:tcBorders>
            <w:gridSpan w:val="1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Sixth Supplemental Indenture (Series A and Series B 6.70% Senior Notes due 2036) dated May 12, 2006 among Plains All</w:t>
              </w:r>
            </w:hyperlink>
          </w:p>
        </w:tc>
        <w:tc>
          <w:tcPr>
            <w:tcW w:w="68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American Pipeline, L.P., PAA Finance Corp., the Subsidiary Guarantors named therein and Wachovia Bank, National Association,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as trustee (incorporated by reference to Exhibit 4.1 to PAA’s Current Report on Form 8-K filed May 12, 2006).</w:t>
              </w:r>
            </w:hyperlink>
          </w:p>
        </w:tc>
        <w:tc>
          <w:tcPr>
            <w:tcW w:w="16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220" w:type="dxa"/>
            <w:vAlign w:val="bottom"/>
            <w:tcBorders>
              <w:bottom w:val="single" w:sz="8" w:color="0000FF"/>
            </w:tcBorders>
            <w:gridSpan w:val="26"/>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32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American Pipeline, L.P., PAA Finance Corp., the Subsidiary Guarantors named therein and U.S. Bank National Association, as</w:t>
              </w:r>
            </w:hyperlink>
          </w:p>
        </w:tc>
        <w:tc>
          <w:tcPr>
            <w:tcW w:w="4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trustee (incorporated by reference to Exhibit 4.2 to PAA’s Current Report on Form 8-K filed October 30, 2006).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6"/>
              </w:rPr>
            </w:pPr>
            <w:hyperlink r:id="rId58">
              <w:r>
                <w:rPr>
                  <w:rFonts w:ascii="Arial" w:cs="Arial" w:eastAsia="Arial" w:hAnsi="Arial"/>
                  <w:sz w:val="18"/>
                  <w:szCs w:val="18"/>
                  <w:color w:val="0000FF"/>
                  <w:w w:val="96"/>
                </w:rPr>
                <w:t>Seventeenth Supplemental Indenture (5.75% Senior Notes due 2020) dated September 4, 2009 among Plains All American</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6"/>
              </w:rPr>
            </w:pPr>
            <w:hyperlink r:id="rId58">
              <w:r>
                <w:rPr>
                  <w:rFonts w:ascii="Arial" w:cs="Arial" w:eastAsia="Arial" w:hAnsi="Arial"/>
                  <w:sz w:val="18"/>
                  <w:szCs w:val="18"/>
                  <w:color w:val="0000FF"/>
                  <w:w w:val="96"/>
                </w:rPr>
                <w:t>Pipeline, L.P., PAA Finance Corp., the Subsidiary Guarantors named therein and U.S. Bank National Association, as trustee</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(incorporated by reference to Exhibit 4.1 to PAA’s Current Report on Form 8-K filed September 4, 2009).</w:t>
              </w:r>
            </w:hyperlink>
          </w:p>
        </w:tc>
        <w:tc>
          <w:tcPr>
            <w:tcW w:w="1300" w:type="dxa"/>
            <w:vAlign w:val="bottom"/>
            <w:tcBorders>
              <w:top w:val="single" w:sz="8" w:color="0000FF"/>
            </w:tcBorders>
            <w:gridSpan w:val="7"/>
          </w:tcPr>
          <w:p>
            <w:pPr>
              <w:spacing w:after="0"/>
              <w:rPr>
                <w:sz w:val="17"/>
                <w:szCs w:val="17"/>
                <w:color w:val="auto"/>
              </w:rPr>
            </w:pPr>
          </w:p>
        </w:tc>
        <w:tc>
          <w:tcPr>
            <w:tcW w:w="640" w:type="dxa"/>
            <w:vAlign w:val="bottom"/>
            <w:gridSpan w:val="16"/>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Nineteenth Supplemental Indenture (5.00% Senior Notes due 2021) dated January 14, 2011 among Plains All American Pipeline,</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2940" w:type="dxa"/>
            <w:vAlign w:val="bottom"/>
            <w:gridSpan w:val="18"/>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reference to Exhibit 4.1 to PAA’s Current Report on Form 8-K filed January 11, 2011).</w:t>
              </w:r>
            </w:hyperlink>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60" w:type="dxa"/>
            <w:vAlign w:val="bottom"/>
            <w:tcBorders>
              <w:bottom w:val="single" w:sz="8" w:color="0000FF"/>
            </w:tcBorders>
            <w:gridSpan w:val="24"/>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Twentieth Supplemental Indenture (3.65% Senior Notes due 2022) dated March 22, 2012 among Plains All American Pipeline,</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L.P., PAA Finance Corp and U.S. Bank National Association, as trustee (incorporated by reference to Exhibit 4.1 to PAA’s Current</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Report on Form 8-K filed March 26, 2012).</w:t>
              </w:r>
            </w:hyperlink>
          </w:p>
        </w:tc>
        <w:tc>
          <w:tcPr>
            <w:tcW w:w="6400" w:type="dxa"/>
            <w:vAlign w:val="bottom"/>
            <w:gridSpan w:val="3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380" w:type="dxa"/>
            <w:vAlign w:val="bottom"/>
            <w:tcBorders>
              <w:bottom w:val="single" w:sz="8" w:color="0000FF"/>
            </w:tcBorders>
            <w:gridSpan w:val="28"/>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Twenty-First Supplemental Indenture (5.15% Senior Notes due 2042) dated March 22, 2012 among Plains All American Pipeline,</w:t>
              </w:r>
            </w:hyperlink>
          </w:p>
        </w:tc>
        <w:tc>
          <w:tcPr>
            <w:tcW w:w="8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L.P., PAA Finance Corp and U.S. Bank National Association, as trustee (incorporated by reference to Exhibit 4.3 to PAA’s Current</w:t>
              </w:r>
            </w:hyperlink>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Report on Form 8-K filed March 26, 2012).</w:t>
              </w:r>
            </w:hyperlink>
          </w:p>
        </w:tc>
        <w:tc>
          <w:tcPr>
            <w:tcW w:w="6320" w:type="dxa"/>
            <w:vAlign w:val="bottom"/>
            <w:gridSpan w:val="29"/>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18"/>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Twenty-Second Supplemental Indenture (2.85% Senior Notes due 2023) dated December 10, 2012, by and among Plains All</w:t>
              </w:r>
            </w:hyperlink>
          </w:p>
        </w:tc>
        <w:tc>
          <w:tcPr>
            <w:tcW w:w="48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Exhibit 4.1 to PAA’s Current Report on Form 8-K filed December 12, 2012).</w:t>
              </w:r>
            </w:hyperlink>
          </w:p>
        </w:tc>
        <w:tc>
          <w:tcPr>
            <w:tcW w:w="3940" w:type="dxa"/>
            <w:vAlign w:val="bottom"/>
            <w:gridSpan w:val="2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6"/>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Twenty-Third Supplemental Indenture (4.30% Senior Notes due 2043) dated December 10, 2012, by and among Plains All</w:t>
              </w:r>
            </w:hyperlink>
          </w:p>
        </w:tc>
        <w:tc>
          <w:tcPr>
            <w:tcW w:w="60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Exhibit 4.3 to PAA’s Current Report on Form 8-K filed December 12, 2012).</w:t>
              </w:r>
            </w:hyperlink>
          </w:p>
        </w:tc>
        <w:tc>
          <w:tcPr>
            <w:tcW w:w="3940" w:type="dxa"/>
            <w:vAlign w:val="bottom"/>
            <w:gridSpan w:val="2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31"/>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4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PAA’s Current Report on Form 8-K filed August 15, 2013).</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Current Report on Form 8-K filed April 29, 2014).</w:t>
              </w:r>
            </w:hyperlink>
          </w:p>
        </w:tc>
        <w:tc>
          <w:tcPr>
            <w:tcW w:w="14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7"/>
              </w:rPr>
            </w:pPr>
            <w:hyperlink r:id="rId66">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Exhibit 4.1 to our Current Report on Form 8-K filed September 11, 2014).</w:t>
              </w:r>
            </w:hyperlink>
          </w:p>
        </w:tc>
        <w:tc>
          <w:tcPr>
            <w:tcW w:w="4120" w:type="dxa"/>
            <w:vAlign w:val="bottom"/>
            <w:gridSpan w:val="24"/>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7"/>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Twenty-Seventh Supplemental Indenture (2.60% Senior Notes due 2019) dated December 9, 2014, by and among Plains All</w:t>
              </w:r>
            </w:hyperlink>
          </w:p>
        </w:tc>
        <w:tc>
          <w:tcPr>
            <w:tcW w:w="52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FF"/>
                <w:w w:val="97"/>
              </w:rPr>
            </w:pPr>
            <w:hyperlink r:id="rId67">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Exhibit 4.1 to our Current Report on Form 8-K filed December 11, 2014).</w:t>
              </w:r>
            </w:hyperlink>
          </w:p>
        </w:tc>
        <w:tc>
          <w:tcPr>
            <w:tcW w:w="660" w:type="dxa"/>
            <w:vAlign w:val="bottom"/>
            <w:gridSpan w:val="1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5"/>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Twenty-Eighth Supplemental Indenture (4.90% Senior Notes due 2045) dated December 9, 2014, by and among Plains All</w:t>
              </w:r>
            </w:hyperlink>
          </w:p>
        </w:tc>
        <w:tc>
          <w:tcPr>
            <w:tcW w:w="620" w:type="dxa"/>
            <w:vAlign w:val="bottom"/>
            <w:gridSpan w:val="1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FF"/>
                <w:w w:val="97"/>
              </w:rPr>
            </w:pPr>
            <w:hyperlink r:id="rId68">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4.3 to our Current Report on Form 8-K filed December 11, 2014).</w:t>
              </w:r>
            </w:hyperlink>
          </w:p>
        </w:tc>
        <w:tc>
          <w:tcPr>
            <w:tcW w:w="660" w:type="dxa"/>
            <w:vAlign w:val="bottom"/>
            <w:gridSpan w:val="1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280" w:type="dxa"/>
            <w:vAlign w:val="bottom"/>
            <w:tcBorders>
              <w:top w:val="single" w:sz="8" w:color="0000FF"/>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PAA’s Current Report on Form 8-K filed August 26, 2015).</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Thirtieth Supplemental Indenture (4.50% Senior Notes due 2026) dated November 22, 2016,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140" w:type="dxa"/>
            <w:vAlign w:val="bottom"/>
            <w:tcBorders>
              <w:top w:val="single" w:sz="8" w:color="0000FF"/>
            </w:tcBorders>
            <w:gridSpan w:val="2"/>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PAA’s Current Report on Form 8-K filed November 29, 2016).</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20"/>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Shareholder and Registration Rights Agreement dated October 21, 2013 by and among Plains GP Holdings, L.P. and the other</w:t>
              </w:r>
            </w:hyperlink>
          </w:p>
        </w:tc>
        <w:tc>
          <w:tcPr>
            <w:tcW w:w="38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380" w:type="dxa"/>
            <w:vAlign w:val="bottom"/>
            <w:gridSpan w:val="1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27"/>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Second Amendment dated March 22, 2018 to Plains AAP, L.P. Class B Restricted Units Agreement (Willie Chiang) (incorporated</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1"/>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by reference to Exhibit 10.1 to our Quarterly Report on Form 10-Q for the quarter ended March 31, 2018).</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4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Form of First Amendment dated March 22, 2018 to Amended and Restated Plains AAP, L.P. Class B Restricted Units Agreement</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1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dated August 25, 2016 (Officers) (incorporated by reference to Exhibit 10.2 to our Quarterly Report on Form 10-Q for the quarter</w:t>
              </w:r>
            </w:hyperlink>
          </w:p>
        </w:tc>
        <w:tc>
          <w:tcPr>
            <w:tcW w:w="12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73">
              <w:r>
                <w:rPr>
                  <w:rFonts w:ascii="Arial" w:cs="Arial" w:eastAsia="Arial" w:hAnsi="Arial"/>
                  <w:sz w:val="18"/>
                  <w:szCs w:val="18"/>
                  <w:color w:val="0000FF"/>
                  <w:w w:val="88"/>
                </w:rPr>
                <w:t>ended March 31, 2018).</w:t>
              </w:r>
            </w:hyperlink>
          </w:p>
        </w:tc>
        <w:tc>
          <w:tcPr>
            <w:tcW w:w="7740" w:type="dxa"/>
            <w:vAlign w:val="bottom"/>
            <w:gridSpan w:val="30"/>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10.3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Amendment dated March 22, 2018 to PAA LTIP Grant Letter dated August 24, 2015 (Willie Chiang)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Exhibit 10.3 to our Quarterly Report on Form 10-Q for the quarter ended March 31, 2018).</w:t>
              </w:r>
            </w:hyperlink>
          </w:p>
        </w:tc>
        <w:tc>
          <w:tcPr>
            <w:tcW w:w="6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10.4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Form of Amendment dated March 22, 2018 to PAA LTIP Grant Letter dated August 25, 2016 (Officers) (incorporated by reference</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to Exhibit 10.4 to our Quarterly Report on Form 10-Q for the quarter ended March 31, 2018).</w:t>
              </w:r>
            </w:hyperlink>
          </w:p>
        </w:tc>
        <w:tc>
          <w:tcPr>
            <w:tcW w:w="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3080" w:type="dxa"/>
            <w:vAlign w:val="bottom"/>
            <w:gridSpan w:val="7"/>
            <w:shd w:val="clear" w:color="auto" w:fill="0000FF"/>
          </w:tcPr>
          <w:p>
            <w:pPr>
              <w:spacing w:after="0" w:line="20" w:lineRule="exact"/>
              <w:rPr>
                <w:sz w:val="1"/>
                <w:szCs w:val="1"/>
                <w:color w:val="auto"/>
              </w:rPr>
            </w:pPr>
          </w:p>
        </w:tc>
        <w:tc>
          <w:tcPr>
            <w:tcW w:w="2580" w:type="dxa"/>
            <w:vAlign w:val="bottom"/>
            <w:gridSpan w:val="1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10.5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1"/>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Form of PAA LTIP Grant Letter for Officers (March 2018) (incorporated by reference to Exhibit 10.5 to our Quarterly Report on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Form 10-Q for the quarter ended March 31, 2018).</w:t>
              </w:r>
            </w:hyperlink>
          </w:p>
        </w:tc>
        <w:tc>
          <w:tcPr>
            <w:tcW w:w="16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40"/>
          </w:cols>
          <w:pgMar w:left="240" w:top="108" w:right="31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01"/>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10.6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Second Amended and Restated Employment Agreement dated effective October 1, 2018 between Plains All American GP LLC and</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gridSpan w:val="10"/>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Greg L. Armstrong.</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10.7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Amended and Restated Employment Agreement dated effective October 1, 2018 between Plains All American GP LLC and Willie</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w:anchor="page75">
              <w:r>
                <w:rPr>
                  <w:rFonts w:ascii="Arial" w:cs="Arial" w:eastAsia="Arial" w:hAnsi="Arial"/>
                  <w:sz w:val="18"/>
                  <w:szCs w:val="18"/>
                  <w:color w:val="0000FF"/>
                  <w:w w:val="86"/>
                </w:rPr>
                <w:t>Chiang.</w:t>
              </w:r>
            </w:hyperlink>
          </w:p>
        </w:tc>
        <w:tc>
          <w:tcPr>
            <w:tcW w:w="8840" w:type="dxa"/>
            <w:vAlign w:val="bottom"/>
            <w:tcBorders>
              <w:top w:val="single" w:sz="8" w:color="0000FF"/>
            </w:tcBorders>
            <w:gridSpan w:val="8"/>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10.8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41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LTIP Grant Letter dated August 16, 2018 (Willie Chiang).</w:t>
              </w:r>
            </w:hyperlink>
          </w:p>
        </w:tc>
        <w:tc>
          <w:tcPr>
            <w:tcW w:w="5320" w:type="dxa"/>
            <w:vAlign w:val="bottom"/>
            <w:gridSpan w:val="7"/>
          </w:tcPr>
          <w:p>
            <w:pPr>
              <w:spacing w:after="0"/>
              <w:rPr>
                <w:sz w:val="24"/>
                <w:szCs w:val="24"/>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10.9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Employment Agreement dated effective October 15, 2018 between Plains All American GP LLC and John vonBerg.</w:t>
              </w:r>
            </w:hyperlink>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Certification of Principal Executive Officer pursuant to Exchange Act Rules 13a-14(a) and 15d-14(a).</w:t>
              </w:r>
            </w:hyperlink>
          </w:p>
        </w:tc>
        <w:tc>
          <w:tcPr>
            <w:tcW w:w="1040" w:type="dxa"/>
            <w:vAlign w:val="bottom"/>
            <w:tcBorders>
              <w:top w:val="single" w:sz="8" w:color="0000FF"/>
            </w:tcBorders>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Certification of Principal Financial Officer pursuant to Exchange Act Rules 13a-14(a) and 15d-14(a).</w:t>
              </w:r>
            </w:hyperlink>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93">
              <w:r>
                <w:rPr>
                  <w:rFonts w:ascii="Arial" w:cs="Arial" w:eastAsia="Arial" w:hAnsi="Arial"/>
                  <w:sz w:val="18"/>
                  <w:szCs w:val="18"/>
                  <w:color w:val="0000FF"/>
                  <w:w w:val="92"/>
                </w:rPr>
                <w:t>Certification of Principal Executive Officer pursuant to 18 U.S.C. 1350.</w:t>
              </w:r>
            </w:hyperlink>
          </w:p>
        </w:tc>
        <w:tc>
          <w:tcPr>
            <w:tcW w:w="2100" w:type="dxa"/>
            <w:vAlign w:val="bottom"/>
            <w:tcBorders>
              <w:top w:val="single" w:sz="8" w:color="0000FF"/>
            </w:tcBorders>
          </w:tcPr>
          <w:p>
            <w:pPr>
              <w:spacing w:after="0"/>
              <w:rPr>
                <w:sz w:val="24"/>
                <w:szCs w:val="24"/>
                <w:color w:val="auto"/>
              </w:rPr>
            </w:pPr>
          </w:p>
        </w:tc>
        <w:tc>
          <w:tcPr>
            <w:tcW w:w="2220" w:type="dxa"/>
            <w:vAlign w:val="bottom"/>
            <w:gridSpan w:val="4"/>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Certification of Principal Financial Officer pursuant to 18 U.S.C. 1350.</w:t>
              </w:r>
            </w:hyperlink>
          </w:p>
        </w:tc>
      </w:tr>
      <w:tr>
        <w:trPr>
          <w:trHeight w:val="561"/>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101.INS†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4380" w:type="dxa"/>
            <w:vAlign w:val="bottom"/>
            <w:gridSpan w:val="6"/>
          </w:tcPr>
          <w:p>
            <w:pPr>
              <w:spacing w:after="0"/>
              <w:rPr>
                <w:sz w:val="24"/>
                <w:szCs w:val="24"/>
                <w:color w:val="auto"/>
              </w:rPr>
            </w:pP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101.SCH†</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101.DEF†</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6"/>
              </w:rPr>
              <w:t>101.LAB†</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280" w:type="dxa"/>
            <w:vAlign w:val="bottom"/>
          </w:tcPr>
          <w:p>
            <w:pPr>
              <w:jc w:val="center"/>
              <w:spacing w:after="0"/>
              <w:rPr>
                <w:sz w:val="20"/>
                <w:szCs w:val="20"/>
                <w:color w:val="auto"/>
              </w:rPr>
            </w:pPr>
            <w:r>
              <w:rPr>
                <w:rFonts w:ascii="Arial" w:cs="Arial" w:eastAsia="Arial" w:hAnsi="Arial"/>
                <w:sz w:val="18"/>
                <w:szCs w:val="18"/>
                <w:color w:val="auto"/>
                <w:w w:val="90"/>
              </w:rPr>
              <w:t>101.PRE†</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11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08"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HOLDINGS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Willie Chiang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Willie Chiang,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PAA GP</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PAA GP</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7,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Second Amended and Restated Employment Agreement (“Agreement”), effective as of the date specified in Section 1 below, is by and between Plains All American GP LLC (the “Company”) and Greg L Armstrong (“Armstrong” or the “Employee”). The Company and the Employee are at times referred to collectively as “the Parties.” For purposes of this Agreement, the term “Company Group” means Plains GP Holdings, L.P., PAA GP Holdings LLC (“GP Holdings”), the Company and all of the entities over which the Company has or exercises direct or indirect control, including Plains All American Pipeline, L.P. and its subsidiaries.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Armstrong is currently Chief Executive Officer (“CEO”) of the Company and has served as an officer of the Company and its predecessors for over 30 years;</w:t>
      </w:r>
    </w:p>
    <w:p>
      <w:pPr>
        <w:spacing w:after="0" w:line="21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WHEREAS, Armstrong and the Company are parties to that certain Amended and Restated Employment Agreement dated as of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2001, as modified by Waiver Agreements dated August 12, 2005, December 23, 2010 and October 21, 2013 (the “Prior Agreement”);</w:t>
      </w:r>
    </w:p>
    <w:p>
      <w:pPr>
        <w:spacing w:after="0" w:line="24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in connection with his planned retirement and as approved by the Board of Directors of GP Holdings (the “Board”) in connection with its succession planning for the CEO role, effective as set forth herein Armstrong intends to (i) resign from his position as CEO of the Company and any other positions he currently holds as an officer of any entities that are a part of the Company Group and (ii) continue his employment with the Company as the non-executive Chairman of the Board; and</w:t>
      </w:r>
    </w:p>
    <w:p>
      <w:pPr>
        <w:spacing w:after="0" w:line="18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WHEREAS, the Company and Armstrong desire to enter in to this Agreement to set forth their mutual agreement and understanding related to the continued employment of Armstrong and certain related matters as set forth herein.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NOW, THEREFORE, in consideration of the covenants and conditions herein contained, the Parties agree as follows:</w:t>
      </w:r>
    </w:p>
    <w:p>
      <w:pPr>
        <w:spacing w:after="0" w:line="272" w:lineRule="exact"/>
        <w:rPr>
          <w:sz w:val="20"/>
          <w:szCs w:val="20"/>
          <w:color w:val="auto"/>
        </w:rPr>
      </w:pPr>
    </w:p>
    <w:p>
      <w:pPr>
        <w:ind w:left="920" w:hanging="912"/>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Employment; Prior Agreement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400" w:hanging="447"/>
        <w:spacing w:after="0" w:line="261" w:lineRule="auto"/>
        <w:tabs>
          <w:tab w:leader="none" w:pos="1382" w:val="left"/>
        </w:tabs>
        <w:numPr>
          <w:ilvl w:val="1"/>
          <w:numId w:val="54"/>
        </w:numPr>
        <w:rPr>
          <w:rFonts w:ascii="Arial" w:cs="Arial" w:eastAsia="Arial" w:hAnsi="Arial"/>
          <w:sz w:val="21"/>
          <w:szCs w:val="21"/>
          <w:color w:val="auto"/>
        </w:rPr>
      </w:pPr>
      <w:r>
        <w:rPr>
          <w:rFonts w:ascii="Arial" w:cs="Arial" w:eastAsia="Arial" w:hAnsi="Arial"/>
          <w:sz w:val="21"/>
          <w:szCs w:val="21"/>
          <w:color w:val="auto"/>
        </w:rPr>
        <w:t>Effective October 1, 2018 (the “Effective Date”) and subject to the terms hereof, Armstrong hereby (i) resigns his position as CEO of the Company and as an officer of all other members of the Company Group, and (ii) continues his employment with the Company as the non-executive Chairman of the Board. During the Term (as defined below), Armstrong agrees to devote such time and energy as may be reasonably necessary to perform the duties and responsibilities of the Chairman of the Board as set forth in the Third Amended and Restated Limited Liability Company Agreement of PAA GP Holdings LLC, as amended.</w:t>
      </w:r>
    </w:p>
    <w:p>
      <w:pPr>
        <w:sectPr>
          <w:pgSz w:w="11900" w:h="16838" w:orient="portrait"/>
          <w:cols w:equalWidth="0" w:num="1">
            <w:col w:w="11420"/>
          </w:cols>
          <w:pgMar w:left="240" w:top="121" w:right="239" w:bottom="1440" w:gutter="0" w:footer="0" w:header="0"/>
        </w:sectPr>
      </w:pPr>
    </w:p>
    <w:bookmarkStart w:id="69" w:name="page70"/>
    <w:bookmarkEnd w:id="69"/>
    <w:p>
      <w:pPr>
        <w:jc w:val="both"/>
        <w:ind w:left="1400" w:hanging="447"/>
        <w:spacing w:after="0" w:line="260" w:lineRule="auto"/>
        <w:tabs>
          <w:tab w:leader="none" w:pos="1382"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Parties acknowledge and agree that except as may be expressly provided for hereunder (i) this Agreement shall govern the duties, obligations and rights of the Parties with respect to Armstrong’s employment by the Company during the Term and (ii) the Prior Agreement shall govern the duties, obligations and rights of the Parties with respect to Armstrong’s employment by the Company prior to the Effective Date. Accordingly, the Parties acknowledge and agree that by virtue of their execution and delivery of this Agreement neither Party shall be deemed to have waived any of its rights or claims under the Prior Agreement with respect to Armstrong’s employment by the Company prior to the Effective Date.</w:t>
      </w:r>
    </w:p>
    <w:p>
      <w:pPr>
        <w:spacing w:after="0" w:line="221" w:lineRule="exact"/>
        <w:rPr>
          <w:rFonts w:ascii="Arial" w:cs="Arial" w:eastAsia="Arial" w:hAnsi="Arial"/>
          <w:sz w:val="21"/>
          <w:szCs w:val="21"/>
          <w:color w:val="auto"/>
        </w:rPr>
      </w:pPr>
    </w:p>
    <w:p>
      <w:pPr>
        <w:jc w:val="both"/>
        <w:ind w:left="920" w:hanging="912"/>
        <w:spacing w:after="0" w:line="290" w:lineRule="auto"/>
        <w:tabs>
          <w:tab w:leader="none" w:pos="92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Armstrong’s employment with the Company as provided hereunder (the “Term”) shall commence on the Effective Date and terminate on December 31, 2019; provided, however, that (a) Armstrong may terminate his employment with the Company as of any date prior to December 31, 2019 by giving written notice to the Company at least two weeks prior to the effective date of such termination, (b) at the direction of the Board, the Company may terminate Armstrong’s employment with the Company as of any date prior to December 31, 2019 by giving written notice to Armstrong at least two weeks prior to the effective date of such termination, and (c) Armstrong’s employment relationship with the Company shall automatically terminate in the event of his death. The date as of which the employment relationship terminates shall constitute the “Termination Date” for purposes hereof.</w:t>
      </w:r>
    </w:p>
    <w:p>
      <w:pPr>
        <w:spacing w:after="0" w:line="197" w:lineRule="exact"/>
        <w:rPr>
          <w:rFonts w:ascii="Arial" w:cs="Arial" w:eastAsia="Arial" w:hAnsi="Arial"/>
          <w:sz w:val="19"/>
          <w:szCs w:val="19"/>
          <w:color w:val="auto"/>
        </w:rPr>
      </w:pPr>
    </w:p>
    <w:p>
      <w:pPr>
        <w:ind w:left="920" w:hanging="912"/>
        <w:spacing w:after="0"/>
        <w:tabs>
          <w:tab w:leader="none" w:pos="92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400" w:right="20" w:hanging="420"/>
        <w:spacing w:after="0" w:line="265" w:lineRule="auto"/>
        <w:tabs>
          <w:tab w:leader="none" w:pos="1382" w:val="left"/>
        </w:tabs>
        <w:numPr>
          <w:ilvl w:val="2"/>
          <w:numId w:val="56"/>
        </w:numPr>
        <w:rPr>
          <w:rFonts w:ascii="Arial" w:cs="Arial" w:eastAsia="Arial" w:hAnsi="Arial"/>
          <w:sz w:val="21"/>
          <w:szCs w:val="21"/>
          <w:color w:val="auto"/>
        </w:rPr>
      </w:pPr>
      <w:r>
        <w:rPr>
          <w:rFonts w:ascii="Arial" w:cs="Arial" w:eastAsia="Arial" w:hAnsi="Arial"/>
          <w:sz w:val="21"/>
          <w:szCs w:val="21"/>
          <w:color w:val="auto"/>
        </w:rPr>
        <w:t>Armstrong shall be paid a monthly salary that equates with an annual payment of $250,000, payable semi-monthly in cash for so long as Armstrong is employed by the Company under the terms of this Agreement. During the Term, Armstrong shall remain eligible to participate in all employee benefit plans generally available to employees of the Company (including, without limitation, all health and medical benefit plans).</w:t>
      </w:r>
    </w:p>
    <w:p>
      <w:pPr>
        <w:spacing w:after="0" w:line="216" w:lineRule="exact"/>
        <w:rPr>
          <w:rFonts w:ascii="Arial" w:cs="Arial" w:eastAsia="Arial" w:hAnsi="Arial"/>
          <w:sz w:val="21"/>
          <w:szCs w:val="21"/>
          <w:color w:val="auto"/>
        </w:rPr>
      </w:pPr>
    </w:p>
    <w:p>
      <w:pPr>
        <w:jc w:val="both"/>
        <w:ind w:left="1400" w:hanging="420"/>
        <w:spacing w:after="0" w:line="258" w:lineRule="auto"/>
        <w:tabs>
          <w:tab w:leader="none" w:pos="1382" w:val="left"/>
        </w:tabs>
        <w:numPr>
          <w:ilvl w:val="2"/>
          <w:numId w:val="56"/>
        </w:numPr>
        <w:rPr>
          <w:rFonts w:ascii="Arial" w:cs="Arial" w:eastAsia="Arial" w:hAnsi="Arial"/>
          <w:sz w:val="21"/>
          <w:szCs w:val="21"/>
          <w:color w:val="auto"/>
        </w:rPr>
      </w:pPr>
      <w:r>
        <w:rPr>
          <w:rFonts w:ascii="Arial" w:cs="Arial" w:eastAsia="Arial" w:hAnsi="Arial"/>
          <w:sz w:val="21"/>
          <w:szCs w:val="21"/>
          <w:color w:val="auto"/>
        </w:rPr>
        <w:t>Armstrong will be entitled to receive prompt reimbursement for all reasonable expenses, including travel and entertainment expenses, incurred by him during the Term in connection with (i) his service as Chairman of the Board as contemplated hereunder, (ii) his prior service as CEO and Chairman of the Board pursuant to the Prior Agreement, and (iii) the provision by Armstrong of any assistance with litigation or investigations as contemplated by Section 5 hereof; it being specifically agreed that such reimbursement obligation shall cover and include (A) any such costs and expenses incurred by Armstrong in connection with his service on the National Petroleum Council or any industry or trade groups to which the Company or one of its affiliates belongs and (B) any costs or expenses incurred by Armstrong for private aviation services associated with travel on Company related business (which shall include Armstrong’s service on the National Petroleum Council and any industry or trade groups to which the Company or one of its affiliates belongs).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70" w:name="page71"/>
    <w:bookmarkEnd w:id="70"/>
    <w:p>
      <w:pPr>
        <w:jc w:val="both"/>
        <w:ind w:left="1400" w:hanging="420"/>
        <w:spacing w:after="0" w:line="246" w:lineRule="auto"/>
        <w:tabs>
          <w:tab w:leader="none" w:pos="1382"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Company will provide Armstrong with a private office, parking space, electronic equipment, administrative support (Vickie Johnson) and such other facilities and services as reasonably necessary for Armstrong to adequately and efficiently perform services hereunder and that are comparable to similar services, support and facilities provided to Armstrong under the Prior Agreement. Within 30 days following the expiration of the Term, Armstrong shall return all keys, access badges and Company credit cards to the Company; provided, however, that Armstrong shall be entitled to retain any computers, iPhones, iPads, printers, monitors and similar Company issued equipment used by him in connection with this employment (with Company data and software to be removed by the Company).</w:t>
      </w:r>
    </w:p>
    <w:p>
      <w:pPr>
        <w:spacing w:after="0" w:line="235" w:lineRule="exact"/>
        <w:rPr>
          <w:rFonts w:ascii="Arial" w:cs="Arial" w:eastAsia="Arial" w:hAnsi="Arial"/>
          <w:sz w:val="22"/>
          <w:szCs w:val="22"/>
          <w:color w:val="auto"/>
        </w:rPr>
      </w:pPr>
    </w:p>
    <w:p>
      <w:pPr>
        <w:jc w:val="both"/>
        <w:ind w:left="920" w:hanging="912"/>
        <w:spacing w:after="0" w:line="250" w:lineRule="auto"/>
        <w:tabs>
          <w:tab w:leader="none" w:pos="9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Indemnity</w:t>
      </w:r>
      <w:r>
        <w:rPr>
          <w:rFonts w:ascii="Arial" w:cs="Arial" w:eastAsia="Arial" w:hAnsi="Arial"/>
          <w:sz w:val="22"/>
          <w:szCs w:val="22"/>
          <w:color w:val="auto"/>
        </w:rPr>
        <w:t>. Notwithstanding anything herein to the contrary, Armstrong shall remain a full beneficiary with respect to any obligation of any member of the Company Group (as such obligation exists as of the Effective Date with respect to active officers and employees of such member) to indemnify, keep well and hold harmless or similarly protect Armstrong against third-party claims.</w:t>
      </w:r>
    </w:p>
    <w:p>
      <w:pPr>
        <w:spacing w:after="0" w:line="228" w:lineRule="exact"/>
        <w:rPr>
          <w:rFonts w:ascii="Arial" w:cs="Arial" w:eastAsia="Arial" w:hAnsi="Arial"/>
          <w:sz w:val="22"/>
          <w:szCs w:val="22"/>
          <w:color w:val="auto"/>
        </w:rPr>
      </w:pPr>
    </w:p>
    <w:p>
      <w:pPr>
        <w:ind w:left="920" w:hanging="912"/>
        <w:spacing w:after="0"/>
        <w:tabs>
          <w:tab w:leader="none" w:pos="9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Access to Certain Information; Confidentiality Obligations.</w:t>
      </w:r>
    </w:p>
    <w:p>
      <w:pPr>
        <w:spacing w:after="0" w:line="111" w:lineRule="exact"/>
        <w:rPr>
          <w:rFonts w:ascii="Arial" w:cs="Arial" w:eastAsia="Arial" w:hAnsi="Arial"/>
          <w:sz w:val="22"/>
          <w:szCs w:val="22"/>
          <w:color w:val="auto"/>
        </w:rPr>
      </w:pPr>
    </w:p>
    <w:p>
      <w:pPr>
        <w:ind w:left="2220" w:hanging="1287"/>
        <w:spacing w:after="0" w:line="288" w:lineRule="auto"/>
        <w:rPr>
          <w:rFonts w:ascii="Arial" w:cs="Arial" w:eastAsia="Arial" w:hAnsi="Arial"/>
          <w:sz w:val="22"/>
          <w:szCs w:val="22"/>
          <w:color w:val="auto"/>
        </w:rPr>
      </w:pPr>
      <w:r>
        <w:rPr>
          <w:rFonts w:ascii="Arial" w:cs="Arial" w:eastAsia="Arial" w:hAnsi="Arial"/>
          <w:sz w:val="19"/>
          <w:szCs w:val="19"/>
          <w:color w:val="auto"/>
        </w:rPr>
        <w:t>(a)During the Term and for a period of two years following the Term, except to the extent not permitted by applicable law or the terms of any agreements entered into by any member of the Company Group with third party service or information providers, the Company agrees that Armstrong shall have the right to (i) receive copies of any materials and analyses prepared by the Company’s market fundamentals group (together with Company personnel performing similar functions, the “Fundamentals Group”) and (ii) request special research or analyses from the Fundamentals Group; it being understood and agreed that (A) the Fundamentals Group shall give priority to research and analysis requested or required by any member of the Company Group, (B) special research and analyses requests by Armstrong may not be unduly burdensome, and (C) any information or materials provided by the Fundamentals Group to Armstrong shall be and remain the property of the Company Group and shall be subject to the confidentiality obligations referenced in Section 5(b) immediately below.</w:t>
      </w:r>
    </w:p>
    <w:p>
      <w:pPr>
        <w:spacing w:after="0" w:line="46" w:lineRule="exact"/>
        <w:rPr>
          <w:rFonts w:ascii="Arial" w:cs="Arial" w:eastAsia="Arial" w:hAnsi="Arial"/>
          <w:sz w:val="22"/>
          <w:szCs w:val="22"/>
          <w:color w:val="auto"/>
        </w:rPr>
      </w:pPr>
    </w:p>
    <w:p>
      <w:pPr>
        <w:ind w:left="2240" w:hanging="1301"/>
        <w:spacing w:after="0" w:line="292" w:lineRule="auto"/>
        <w:rPr>
          <w:rFonts w:ascii="Arial" w:cs="Arial" w:eastAsia="Arial" w:hAnsi="Arial"/>
          <w:sz w:val="22"/>
          <w:szCs w:val="22"/>
          <w:color w:val="auto"/>
        </w:rPr>
      </w:pPr>
      <w:r>
        <w:rPr>
          <w:rFonts w:ascii="Arial" w:cs="Arial" w:eastAsia="Arial" w:hAnsi="Arial"/>
          <w:sz w:val="19"/>
          <w:szCs w:val="19"/>
          <w:color w:val="auto"/>
        </w:rPr>
        <w:t>(b)Armstrong acknowledges and agrees that (i) the confidentiality and non-disclosure obligations set forth in Section 6 of the Prior Agreement are incorporated herein by reference and shall remain in full force and effect during the Term and for a period of five years following the Termination Date and (ii) any information or materials provided by the Fundamentals Group to Armstrong pursuant to Section 5(a) above shall constitute “confidential information” obtained by Armstrong that is subject to such confidentiality and non-disclosure obligation (including the exceptions therefrom set forth in the proviso clause of Section 6 of the Prior Agreement) until the fifth anniversary of the Termination Date.</w:t>
      </w:r>
    </w:p>
    <w:p>
      <w:pPr>
        <w:spacing w:after="0" w:line="300" w:lineRule="exact"/>
        <w:rPr>
          <w:rFonts w:ascii="Arial" w:cs="Arial" w:eastAsia="Arial" w:hAnsi="Arial"/>
          <w:sz w:val="22"/>
          <w:szCs w:val="22"/>
          <w:color w:val="auto"/>
        </w:rPr>
      </w:pPr>
    </w:p>
    <w:p>
      <w:pPr>
        <w:ind w:left="920" w:hanging="912"/>
        <w:spacing w:after="0" w:line="263" w:lineRule="auto"/>
        <w:tabs>
          <w:tab w:leader="none" w:pos="9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Cooperation with Litigation.</w:t>
      </w:r>
      <w:r>
        <w:rPr>
          <w:rFonts w:ascii="Arial" w:cs="Arial" w:eastAsia="Arial" w:hAnsi="Arial"/>
          <w:sz w:val="22"/>
          <w:szCs w:val="22"/>
          <w:color w:val="auto"/>
        </w:rPr>
        <w:t xml:space="preserve"> Armstrong agrees to render reasonable assistance to the Company in connection with any litigation or investigation relating to the business 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3" w:right="239" w:bottom="1440" w:gutter="0" w:footer="0" w:header="0"/>
        </w:sectPr>
      </w:pPr>
    </w:p>
    <w:bookmarkStart w:id="71" w:name="page72"/>
    <w:bookmarkEnd w:id="71"/>
    <w:p>
      <w:pPr>
        <w:jc w:val="both"/>
        <w:ind w:left="920"/>
        <w:spacing w:after="0" w:line="260" w:lineRule="auto"/>
        <w:rPr>
          <w:sz w:val="20"/>
          <w:szCs w:val="20"/>
          <w:color w:val="auto"/>
        </w:rPr>
      </w:pPr>
      <w:r>
        <w:rPr>
          <w:rFonts w:ascii="Arial" w:cs="Arial" w:eastAsia="Arial" w:hAnsi="Arial"/>
          <w:sz w:val="21"/>
          <w:szCs w:val="21"/>
          <w:color w:val="auto"/>
        </w:rPr>
        <w:t>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Armstrong. The Parties agree that Armstrong shall render the first 100 hours of assistance pursuant to this Section 6 in exchange for the consideration described in Section 3 hereof; provided, however, that with respect to any assistance provided by Armstrong pursuant to this Section 6 in excess of 100 hours, the Company and Armstrong shall agree upon reasonable and appropriate consideration to be paid by the Company to Armstrong.</w:t>
      </w:r>
    </w:p>
    <w:p>
      <w:pPr>
        <w:spacing w:after="0" w:line="222" w:lineRule="exact"/>
        <w:rPr>
          <w:sz w:val="20"/>
          <w:szCs w:val="20"/>
          <w:color w:val="auto"/>
        </w:rPr>
      </w:pPr>
    </w:p>
    <w:p>
      <w:pPr>
        <w:jc w:val="both"/>
        <w:ind w:left="920" w:hanging="912"/>
        <w:spacing w:after="0" w:line="248" w:lineRule="auto"/>
        <w:tabs>
          <w:tab w:leader="none" w:pos="92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COBRA Payments</w:t>
      </w:r>
      <w:r>
        <w:rPr>
          <w:rFonts w:ascii="Arial" w:cs="Arial" w:eastAsia="Arial" w:hAnsi="Arial"/>
          <w:sz w:val="22"/>
          <w:szCs w:val="22"/>
          <w:color w:val="auto"/>
        </w:rPr>
        <w:t>. The Company will, after the Termination Date, reimburse Armstrong for all costs of maintaining health insurance benefits for Armstrong and his family under, and for the maximum time period allowed by, COBRA at such time; provided, however, that such reimbursement obligation shall not extend beyond the first to occur of (i) the date on which Armstrong first becomes eligible to receive benefits under Medicare, or (ii) the date that is 18 months following the Termination Date.</w:t>
      </w:r>
    </w:p>
    <w:p>
      <w:pPr>
        <w:spacing w:after="0" w:line="232" w:lineRule="exact"/>
        <w:rPr>
          <w:rFonts w:ascii="Arial" w:cs="Arial" w:eastAsia="Arial" w:hAnsi="Arial"/>
          <w:sz w:val="22"/>
          <w:szCs w:val="22"/>
          <w:color w:val="auto"/>
        </w:rPr>
      </w:pPr>
    </w:p>
    <w:p>
      <w:pPr>
        <w:jc w:val="both"/>
        <w:ind w:left="920" w:hanging="912"/>
        <w:spacing w:after="0" w:line="294" w:lineRule="auto"/>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Amendment; Governing Law; Jurisdiction</w:t>
      </w:r>
      <w:r>
        <w:rPr>
          <w:rFonts w:ascii="Arial" w:cs="Arial" w:eastAsia="Arial" w:hAnsi="Arial"/>
          <w:sz w:val="19"/>
          <w:szCs w:val="19"/>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149" w:lineRule="exact"/>
        <w:rPr>
          <w:rFonts w:ascii="Arial" w:cs="Arial" w:eastAsia="Arial" w:hAnsi="Arial"/>
          <w:sz w:val="19"/>
          <w:szCs w:val="19"/>
          <w:color w:val="auto"/>
        </w:rPr>
      </w:pPr>
    </w:p>
    <w:p>
      <w:pPr>
        <w:jc w:val="both"/>
        <w:ind w:left="920" w:hanging="912"/>
        <w:spacing w:after="0" w:line="286" w:lineRule="auto"/>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 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72" w:name="page73"/>
    <w:bookmarkEnd w:id="72"/>
    <w:p>
      <w:pPr>
        <w:jc w:val="both"/>
        <w:ind w:left="920" w:hanging="912"/>
        <w:spacing w:after="0" w:line="253" w:lineRule="auto"/>
        <w:tabs>
          <w:tab w:leader="none" w:pos="92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Plains All American GP LLC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333 Clay Street, Suite 1600</w:t>
      </w:r>
    </w:p>
    <w:p>
      <w:pPr>
        <w:ind w:left="1960"/>
        <w:spacing w:after="0"/>
        <w:rPr>
          <w:sz w:val="20"/>
          <w:szCs w:val="20"/>
          <w:color w:val="auto"/>
        </w:rPr>
      </w:pPr>
      <w:r>
        <w:rPr>
          <w:rFonts w:ascii="Arial" w:cs="Arial" w:eastAsia="Arial" w:hAnsi="Arial"/>
          <w:sz w:val="20"/>
          <w:szCs w:val="20"/>
          <w:color w:val="auto"/>
        </w:rPr>
        <w:t>Houston, Texas 77002</w:t>
      </w:r>
    </w:p>
    <w:p>
      <w:pPr>
        <w:ind w:left="1960"/>
        <w:spacing w:after="0"/>
        <w:rPr>
          <w:sz w:val="20"/>
          <w:szCs w:val="20"/>
          <w:color w:val="auto"/>
        </w:rPr>
      </w:pPr>
      <w:r>
        <w:rPr>
          <w:rFonts w:ascii="Arial" w:cs="Arial" w:eastAsia="Arial" w:hAnsi="Arial"/>
          <w:sz w:val="20"/>
          <w:szCs w:val="20"/>
          <w:color w:val="auto"/>
        </w:rPr>
        <w:t>Attention: Jim Tillis, VP - Human Resources</w:t>
      </w:r>
    </w:p>
    <w:p>
      <w:pPr>
        <w:ind w:left="1960"/>
        <w:spacing w:after="0"/>
        <w:rPr>
          <w:sz w:val="20"/>
          <w:szCs w:val="20"/>
          <w:color w:val="auto"/>
        </w:rPr>
      </w:pPr>
      <w:r>
        <w:rPr>
          <w:rFonts w:ascii="Arial" w:cs="Arial" w:eastAsia="Arial" w:hAnsi="Arial"/>
          <w:sz w:val="20"/>
          <w:szCs w:val="20"/>
          <w:color w:val="auto"/>
        </w:rPr>
        <w:t>Telephone:</w:t>
      </w:r>
    </w:p>
    <w:p>
      <w:pPr>
        <w:ind w:left="1960"/>
        <w:spacing w:after="0"/>
        <w:rPr>
          <w:sz w:val="20"/>
          <w:szCs w:val="20"/>
          <w:color w:val="auto"/>
        </w:rPr>
      </w:pPr>
      <w:r>
        <w:rPr>
          <w:rFonts w:ascii="Arial" w:cs="Arial" w:eastAsia="Arial" w:hAnsi="Arial"/>
          <w:sz w:val="20"/>
          <w:szCs w:val="20"/>
          <w:color w:val="auto"/>
        </w:rPr>
        <w:t>Facsimile:</w:t>
      </w:r>
    </w:p>
    <w:p>
      <w:pPr>
        <w:ind w:left="1960"/>
        <w:spacing w:after="0"/>
        <w:rPr>
          <w:sz w:val="20"/>
          <w:szCs w:val="20"/>
          <w:color w:val="auto"/>
        </w:rPr>
      </w:pPr>
      <w:r>
        <w:rPr>
          <w:rFonts w:ascii="Arial" w:cs="Arial" w:eastAsia="Arial" w:hAnsi="Arial"/>
          <w:sz w:val="20"/>
          <w:szCs w:val="20"/>
          <w:color w:val="auto"/>
        </w:rPr>
        <w:t>E-mail:</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Plains All American GP LLC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333 Clay Street, Suite 1600</w:t>
      </w:r>
    </w:p>
    <w:p>
      <w:pPr>
        <w:ind w:left="1960"/>
        <w:spacing w:after="0"/>
        <w:rPr>
          <w:sz w:val="20"/>
          <w:szCs w:val="20"/>
          <w:color w:val="auto"/>
        </w:rPr>
      </w:pPr>
      <w:r>
        <w:rPr>
          <w:rFonts w:ascii="Arial" w:cs="Arial" w:eastAsia="Arial" w:hAnsi="Arial"/>
          <w:sz w:val="20"/>
          <w:szCs w:val="20"/>
          <w:color w:val="auto"/>
        </w:rPr>
        <w:t>Houston, Texas 77002</w:t>
      </w:r>
    </w:p>
    <w:p>
      <w:pPr>
        <w:ind w:left="1960"/>
        <w:spacing w:after="0"/>
        <w:rPr>
          <w:sz w:val="20"/>
          <w:szCs w:val="20"/>
          <w:color w:val="auto"/>
        </w:rPr>
      </w:pPr>
      <w:r>
        <w:rPr>
          <w:rFonts w:ascii="Arial" w:cs="Arial" w:eastAsia="Arial" w:hAnsi="Arial"/>
          <w:sz w:val="20"/>
          <w:szCs w:val="20"/>
          <w:color w:val="auto"/>
        </w:rPr>
        <w:t>Attention: Richard K. McGee, General Counsel</w:t>
      </w:r>
    </w:p>
    <w:p>
      <w:pPr>
        <w:ind w:left="1960"/>
        <w:spacing w:after="0"/>
        <w:rPr>
          <w:sz w:val="20"/>
          <w:szCs w:val="20"/>
          <w:color w:val="auto"/>
        </w:rPr>
      </w:pPr>
      <w:r>
        <w:rPr>
          <w:rFonts w:ascii="Arial" w:cs="Arial" w:eastAsia="Arial" w:hAnsi="Arial"/>
          <w:sz w:val="20"/>
          <w:szCs w:val="20"/>
          <w:color w:val="auto"/>
        </w:rPr>
        <w:t>Telephone:</w:t>
      </w:r>
    </w:p>
    <w:p>
      <w:pPr>
        <w:ind w:left="1960"/>
        <w:spacing w:after="0"/>
        <w:rPr>
          <w:sz w:val="20"/>
          <w:szCs w:val="20"/>
          <w:color w:val="auto"/>
        </w:rPr>
      </w:pPr>
      <w:r>
        <w:rPr>
          <w:rFonts w:ascii="Arial" w:cs="Arial" w:eastAsia="Arial" w:hAnsi="Arial"/>
          <w:sz w:val="20"/>
          <w:szCs w:val="20"/>
          <w:color w:val="auto"/>
        </w:rPr>
        <w:t>E-mail:</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Employee:</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Greg L. Armstrong</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Telephone:</w:t>
      </w:r>
    </w:p>
    <w:p>
      <w:pPr>
        <w:ind w:left="1960"/>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spacing w:after="0" w:line="238" w:lineRule="exact"/>
        <w:rPr>
          <w:sz w:val="20"/>
          <w:szCs w:val="20"/>
          <w:color w:val="auto"/>
        </w:rPr>
      </w:pPr>
    </w:p>
    <w:p>
      <w:pPr>
        <w:ind w:left="920" w:hanging="912"/>
        <w:spacing w:after="0" w:line="263" w:lineRule="auto"/>
        <w:tabs>
          <w:tab w:leader="none" w:pos="92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IN WITNESS WHEREOF,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jc w:val="right"/>
        <w:ind w:right="379"/>
        <w:spacing w:after="0"/>
        <w:rPr>
          <w:sz w:val="20"/>
          <w:szCs w:val="20"/>
          <w:color w:val="auto"/>
        </w:rPr>
      </w:pPr>
      <w:r>
        <w:rPr>
          <w:rFonts w:ascii="Arial" w:cs="Arial" w:eastAsia="Arial" w:hAnsi="Arial"/>
          <w:sz w:val="22"/>
          <w:szCs w:val="22"/>
          <w:color w:val="auto"/>
        </w:rPr>
        <w:t>Greg L. Armstrong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PLAINS ALL AMERICAN GP LLC</w:t>
      </w:r>
    </w:p>
    <w:p>
      <w:pPr>
        <w:spacing w:after="0" w:line="200" w:lineRule="exact"/>
        <w:rPr>
          <w:sz w:val="20"/>
          <w:szCs w:val="20"/>
          <w:color w:val="auto"/>
        </w:rPr>
      </w:pPr>
    </w:p>
    <w:p>
      <w:pPr>
        <w:spacing w:after="0" w:line="317"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2"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Richard McGee</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Executive Vice President</w:t>
      </w:r>
    </w:p>
    <w:p>
      <w:pPr>
        <w:spacing w:after="0" w:line="200" w:lineRule="exact"/>
        <w:rPr>
          <w:sz w:val="20"/>
          <w:szCs w:val="20"/>
          <w:color w:val="auto"/>
        </w:rPr>
      </w:pPr>
    </w:p>
    <w:p>
      <w:pPr>
        <w:spacing w:after="0" w:line="27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559"/>
          </w:cols>
          <w:pgMar w:left="900" w:top="631"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October 1,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WCW (Willie) Chiang</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Dear Willie:</w:t>
      </w:r>
    </w:p>
    <w:p>
      <w:pPr>
        <w:spacing w:after="0" w:line="2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The following sets forth an Amended and Restated employment agreement (this "Agreement") between Plains All American GP LLC (the "Company") and WCW (Willie) Chiang ("Executive") that replaces and supersedes that certain employment agreement dated July 10, 2015 between the Company and Executive (the “Original Agreement”).</w:t>
      </w:r>
    </w:p>
    <w:p>
      <w:pPr>
        <w:spacing w:after="0" w:line="211" w:lineRule="exact"/>
        <w:rPr>
          <w:sz w:val="20"/>
          <w:szCs w:val="20"/>
          <w:color w:val="auto"/>
        </w:rPr>
      </w:pPr>
    </w:p>
    <w:p>
      <w:pPr>
        <w:jc w:val="both"/>
        <w:ind w:firstLine="8"/>
        <w:spacing w:after="0" w:line="332" w:lineRule="auto"/>
        <w:tabs>
          <w:tab w:leader="none" w:pos="81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Title and Position.</w:t>
      </w:r>
      <w:r>
        <w:rPr>
          <w:rFonts w:ascii="Arial" w:cs="Arial" w:eastAsia="Arial" w:hAnsi="Arial"/>
          <w:sz w:val="19"/>
          <w:szCs w:val="19"/>
          <w:color w:val="auto"/>
        </w:rPr>
        <w:t xml:space="preserve"> (a) Executive's title and position will be Chief Executive Officer (“CEO”) of the Company. As CEO, Executive will serve as a member of the Board of Directors of PAA GP Holdings LLC (the “Board”) and will report to the Board. As CEO, Executive will also have supervision and control over and responsibility for, the general management and operation of the Company, and shall have such other duties as may from time to time be prescribed by the Board of Directors, provided that such duties are consistent with Executive’s position. For so long as he serves as CEO, Executive shall devote such of his entire working time, attention, energies and business efforts to his duties and responsibilities as CEO of the Company as are reasonably necessary to carry out the duties and responsibilities generally appertaining to that office. In addition, for so long as he serves as CEO, Executive shall not engage in any other material business activity (regardless of whether such business activity is pursued for gain, profit or other pecuniary advantage) without the prior written approval of the Compensation Committee of the Board (which approval shall not be unreasonably withheld). Nothing in this Section 1 shall be deemed to restrict the Executive from investing his personal assets as a passive investor in the publicly traded securities of other companies.</w:t>
      </w:r>
    </w:p>
    <w:p>
      <w:pPr>
        <w:spacing w:after="0" w:line="187" w:lineRule="exact"/>
        <w:rPr>
          <w:sz w:val="20"/>
          <w:szCs w:val="20"/>
          <w:color w:val="auto"/>
        </w:rPr>
      </w:pPr>
    </w:p>
    <w:p>
      <w:pPr>
        <w:jc w:val="both"/>
        <w:ind w:firstLine="8"/>
        <w:spacing w:after="0" w:line="284" w:lineRule="auto"/>
        <w:tabs>
          <w:tab w:leader="none" w:pos="3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Executive acknowledges and agrees that by virtue of being appointed CEO as provided hereunder, he will have received the Executive Promotion prior to the Reference Date, as such terms are defined in the Original Agreement. Accordingly, Executive further acknowledges and agrees that upon the execution by the Company and Executive of this Agreement, except as set forth in the proviso of this sentence the Original Agreement shall cease to be of any force and effect (it being understood that the LTIP Grants and the Class B Agreement referenced in the Original Agreement shall remain in full force and effect pursuant to the respective terms of such agreements as now in effect); provided, however, that notwithstanding the foregoing, the Company acknowledges and agrees that in the event Executive is terminated by the Company other than for Cause prior to December 31, 2019, Executive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5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shall immediately vest in (i) any remaining unvested Phantom Units covered by the LTIP Grant referenced in Section 2(c) of the Original Agreement and (ii) any remaining unvested Class B Units covered by the Class B Agreement referenced in Section 2(d) of the Original Agreement.</w:t>
      </w:r>
    </w:p>
    <w:p>
      <w:pPr>
        <w:spacing w:after="0" w:line="387" w:lineRule="exact"/>
        <w:rPr>
          <w:sz w:val="20"/>
          <w:szCs w:val="20"/>
          <w:color w:val="auto"/>
        </w:rPr>
      </w:pPr>
    </w:p>
    <w:p>
      <w:pPr>
        <w:ind w:left="820" w:hanging="812"/>
        <w:spacing w:after="0"/>
        <w:tabs>
          <w:tab w:leader="none" w:pos="82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Executive's compensation will include:</w:t>
      </w:r>
    </w:p>
    <w:p>
      <w:pPr>
        <w:spacing w:after="0" w:line="287" w:lineRule="exact"/>
        <w:rPr>
          <w:rFonts w:ascii="Arial" w:cs="Arial" w:eastAsia="Arial" w:hAnsi="Arial"/>
          <w:sz w:val="22"/>
          <w:szCs w:val="22"/>
          <w:color w:val="auto"/>
        </w:rPr>
      </w:pPr>
    </w:p>
    <w:p>
      <w:pPr>
        <w:jc w:val="both"/>
        <w:ind w:left="1300" w:hanging="644"/>
        <w:spacing w:after="0" w:line="326" w:lineRule="auto"/>
        <w:tabs>
          <w:tab w:leader="none" w:pos="130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A monthly salary of $50,000.00, payable semi-monthly in cash for so long as Executive is employed by the Company. This amount may be increased or decreased by the Board of Directors from time to time, but may not be decreased from this base level, or any future increased level, without Executive's express written approval.</w:t>
      </w:r>
    </w:p>
    <w:p>
      <w:pPr>
        <w:spacing w:after="0" w:line="1" w:lineRule="exact"/>
        <w:rPr>
          <w:rFonts w:ascii="Arial" w:cs="Arial" w:eastAsia="Arial" w:hAnsi="Arial"/>
          <w:sz w:val="19"/>
          <w:szCs w:val="19"/>
          <w:color w:val="auto"/>
        </w:rPr>
      </w:pPr>
    </w:p>
    <w:p>
      <w:pPr>
        <w:ind w:left="1960" w:hanging="1304"/>
        <w:spacing w:after="0" w:line="334" w:lineRule="auto"/>
        <w:tabs>
          <w:tab w:leader="none" w:pos="1312"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xml:space="preserve"> Executive will be eligible to participate in the Company's annual discretionary bonus program, with the amount of future annual bonuses, if any, to be determined and approved by the Board of Directors, in its discretion, upon the recommendation of the Compensation Committee. Subject to such discretion, Executive’s annual bonus target will be equal to 250% of Executive’s Base Salary. Annual bonuses, if any, will be paid in cash on the date that annual bonus payments are paid to the other senior executive participants in the annual discretionary bonus program. The Company's obligation to pay an annual bonus with respect to a given calendar year is contingent upon (i) Executive's remaining employed by the Company through the date on which the applicable annual bonus payment is paid, and (ii) continued compliance with the terms of the Confidentiality Agreement, as defined in Section 5 below.</w:t>
      </w:r>
    </w:p>
    <w:p>
      <w:pPr>
        <w:spacing w:after="0" w:line="180" w:lineRule="exact"/>
        <w:rPr>
          <w:rFonts w:ascii="Arial" w:cs="Arial" w:eastAsia="Arial" w:hAnsi="Arial"/>
          <w:sz w:val="19"/>
          <w:szCs w:val="19"/>
          <w:color w:val="auto"/>
        </w:rPr>
      </w:pPr>
    </w:p>
    <w:p>
      <w:pPr>
        <w:jc w:val="both"/>
        <w:ind w:left="1300" w:hanging="644"/>
        <w:spacing w:after="0" w:line="334" w:lineRule="auto"/>
        <w:tabs>
          <w:tab w:leader="none" w:pos="130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LTIP Grants.</w:t>
      </w:r>
      <w:r>
        <w:rPr>
          <w:rFonts w:ascii="Arial" w:cs="Arial" w:eastAsia="Arial" w:hAnsi="Arial"/>
          <w:sz w:val="19"/>
          <w:szCs w:val="19"/>
          <w:color w:val="auto"/>
        </w:rPr>
        <w:t xml:space="preserve"> In addition to any outstanding awards previously granted, Executive will be eligible to participate in the Company’s long-term incentive plan, with the grant and terms of future awards, if any, under such plan to be determined and approved by the Board of Directors, in its discretion, upon the recommendation of the Compensation Committee. Subject to such discretion, Executive’s annual LTIP award target value will be equal to 500% of Executive’s Base Salary. In connection with the promotion contemplated hereunder and in order to more closely align Executive’s total compensation as CEO with the total compensation of CEOs at peer midstream companies, the Board has approved, and Executive acknowledges receipt of, a special LTIP award for 500,000 phantom units, including associated distribution equivalent rights (“DERs”). The phantom units and associated DERs granted to Executive thereunder will vest pursuant to the terms set forth in the letter evidencing such award.</w:t>
      </w:r>
    </w:p>
    <w:p>
      <w:pPr>
        <w:spacing w:after="0" w:line="180" w:lineRule="exact"/>
        <w:rPr>
          <w:rFonts w:ascii="Arial" w:cs="Arial" w:eastAsia="Arial" w:hAnsi="Arial"/>
          <w:sz w:val="19"/>
          <w:szCs w:val="19"/>
          <w:color w:val="auto"/>
        </w:rPr>
      </w:pPr>
    </w:p>
    <w:p>
      <w:pPr>
        <w:jc w:val="both"/>
        <w:ind w:left="1300" w:hanging="644"/>
        <w:spacing w:after="0" w:line="303" w:lineRule="auto"/>
        <w:tabs>
          <w:tab w:leader="none" w:pos="1300"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Class B Units.</w:t>
      </w:r>
      <w:r>
        <w:rPr>
          <w:rFonts w:ascii="Arial" w:cs="Arial" w:eastAsia="Arial" w:hAnsi="Arial"/>
          <w:sz w:val="21"/>
          <w:szCs w:val="21"/>
          <w:color w:val="auto"/>
        </w:rPr>
        <w:t xml:space="preserve"> Executive has previously received a grant of 1,000,000 Class B units (375,521 Class B units on a post-split basis) in Plains AAP, L.P. pursuant to that certain Class B Restricted Units Agreement dated August 24, 2015 (as amended on August 25, 2016 and March 22, 2018, the “Class B Agreement”). The Class B Units granted to Executive thereunder will not be affected by this Agreement and will become “earned” units and “vested” units pursuant to the terms set forth in the Class B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5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8"/>
        <w:spacing w:after="0" w:line="302" w:lineRule="auto"/>
        <w:tabs>
          <w:tab w:leader="none" w:pos="81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Expense Reimbursement.</w:t>
      </w:r>
      <w:r>
        <w:rPr>
          <w:rFonts w:ascii="Arial" w:cs="Arial" w:eastAsia="Arial" w:hAnsi="Arial"/>
          <w:sz w:val="22"/>
          <w:szCs w:val="22"/>
          <w:color w:val="auto"/>
        </w:rPr>
        <w:t xml:space="preserve"> Company shall reimburse Executive for all reasonable business expenses, including travel and entertainment.</w:t>
      </w:r>
    </w:p>
    <w:p>
      <w:pPr>
        <w:spacing w:after="0" w:line="200" w:lineRule="exact"/>
        <w:rPr>
          <w:rFonts w:ascii="Arial" w:cs="Arial" w:eastAsia="Arial" w:hAnsi="Arial"/>
          <w:sz w:val="22"/>
          <w:szCs w:val="22"/>
          <w:color w:val="auto"/>
        </w:rPr>
      </w:pPr>
    </w:p>
    <w:p>
      <w:pPr>
        <w:jc w:val="both"/>
        <w:ind w:firstLine="8"/>
        <w:spacing w:after="0" w:line="288" w:lineRule="auto"/>
        <w:tabs>
          <w:tab w:leader="none" w:pos="81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Executive shall receive and be entitled to other employment benefits, including: (a) five weeks paid vacation, (b) up to 10 days sick leave with pay, (c) participation in the Company's 401(K) Plan, and (d) all health and welfare benefits, including insurance, provided to other senior executives of the Company, on the same basis and terms as other senior executives of the Company.</w:t>
      </w:r>
    </w:p>
    <w:p>
      <w:pPr>
        <w:spacing w:after="0" w:line="217" w:lineRule="exact"/>
        <w:rPr>
          <w:rFonts w:ascii="Arial" w:cs="Arial" w:eastAsia="Arial" w:hAnsi="Arial"/>
          <w:sz w:val="22"/>
          <w:szCs w:val="22"/>
          <w:color w:val="auto"/>
        </w:rPr>
      </w:pPr>
    </w:p>
    <w:p>
      <w:pPr>
        <w:jc w:val="both"/>
        <w:ind w:firstLine="8"/>
        <w:spacing w:after="0" w:line="292" w:lineRule="auto"/>
        <w:tabs>
          <w:tab w:leader="none" w:pos="81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Confidentiality and Non-Solicitation.</w:t>
      </w:r>
      <w:r>
        <w:rPr>
          <w:rFonts w:ascii="Arial" w:cs="Arial" w:eastAsia="Arial" w:hAnsi="Arial"/>
          <w:sz w:val="22"/>
          <w:szCs w:val="22"/>
          <w:color w:val="auto"/>
        </w:rPr>
        <w:t xml:space="preserve"> Executive and the Company are parties to that certain Confidential Information and Non-Solicitation Agreement dated August 24, 2015 (the "Confidentiality Agreement"). The Confidentiality Agreement shall remain in full force and effect according to its terms.</w:t>
      </w:r>
    </w:p>
    <w:p>
      <w:pPr>
        <w:spacing w:after="0" w:line="197" w:lineRule="exact"/>
        <w:rPr>
          <w:rFonts w:ascii="Arial" w:cs="Arial" w:eastAsia="Arial" w:hAnsi="Arial"/>
          <w:sz w:val="22"/>
          <w:szCs w:val="22"/>
          <w:color w:val="auto"/>
        </w:rPr>
      </w:pPr>
    </w:p>
    <w:p>
      <w:pPr>
        <w:jc w:val="both"/>
        <w:ind w:firstLine="8"/>
        <w:spacing w:after="0" w:line="306" w:lineRule="auto"/>
        <w:tabs>
          <w:tab w:leader="none" w:pos="810"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Term and Termination.</w:t>
      </w:r>
      <w:r>
        <w:rPr>
          <w:rFonts w:ascii="Arial" w:cs="Arial" w:eastAsia="Arial" w:hAnsi="Arial"/>
          <w:sz w:val="21"/>
          <w:szCs w:val="21"/>
          <w:color w:val="auto"/>
        </w:rPr>
        <w:t xml:space="preserve"> This Agreement will become effective on October 1, 2018 (the “Effective Date”). Either party may terminate Executive's employment at any time. However, notwithstanding the foregoing, termination of Executive’s employment shall not affect (a) the obligations of the Company hereunder that arise prior to, or as a result of, such termination, or (b) any rights or obligations under the Confidentiality Agreement that survive such termination.</w:t>
      </w:r>
    </w:p>
    <w:p>
      <w:pPr>
        <w:spacing w:after="0" w:line="199" w:lineRule="exact"/>
        <w:rPr>
          <w:rFonts w:ascii="Arial" w:cs="Arial" w:eastAsia="Arial" w:hAnsi="Arial"/>
          <w:sz w:val="21"/>
          <w:szCs w:val="21"/>
          <w:color w:val="auto"/>
        </w:rPr>
      </w:pPr>
    </w:p>
    <w:p>
      <w:pPr>
        <w:jc w:val="both"/>
        <w:ind w:firstLine="8"/>
        <w:spacing w:after="0" w:line="288" w:lineRule="auto"/>
        <w:tabs>
          <w:tab w:leader="none" w:pos="72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Certain Representations of Executive.</w:t>
      </w:r>
      <w:r>
        <w:rPr>
          <w:rFonts w:ascii="Arial" w:cs="Arial" w:eastAsia="Arial" w:hAnsi="Arial"/>
          <w:sz w:val="22"/>
          <w:szCs w:val="22"/>
          <w:color w:val="auto"/>
        </w:rPr>
        <w:t xml:space="preserve"> Executive represents that: (a) his execution of this Agreement will not violate the terms of any agreement to which he is currently bound; and (b) other than the Confidentiality Agreement, he is not subject to an existing confidentiality, non-compete or similar type agreement that would prevent, limit or otherwise encumber Executive's ability to perform his job with the Company.</w:t>
      </w:r>
    </w:p>
    <w:p>
      <w:pPr>
        <w:spacing w:after="0" w:line="217" w:lineRule="exact"/>
        <w:rPr>
          <w:rFonts w:ascii="Arial" w:cs="Arial" w:eastAsia="Arial" w:hAnsi="Arial"/>
          <w:sz w:val="22"/>
          <w:szCs w:val="22"/>
          <w:color w:val="auto"/>
        </w:rPr>
      </w:pPr>
    </w:p>
    <w:p>
      <w:pPr>
        <w:jc w:val="both"/>
        <w:ind w:firstLine="8"/>
        <w:spacing w:after="0" w:line="292" w:lineRule="auto"/>
        <w:tabs>
          <w:tab w:leader="none" w:pos="81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Return of Materials.</w:t>
      </w:r>
      <w:r>
        <w:rPr>
          <w:rFonts w:ascii="Arial" w:cs="Arial" w:eastAsia="Arial" w:hAnsi="Arial"/>
          <w:sz w:val="22"/>
          <w:szCs w:val="22"/>
          <w:color w:val="auto"/>
        </w:rPr>
        <w:t xml:space="preserve"> Upon termination of his employment for any reason, Executive shall promptly return to Company all copies of any Company data, records, or materials of whatever nature or kind, including all materials incorporating the proprietary information of the Company.</w:t>
      </w:r>
    </w:p>
    <w:p>
      <w:pPr>
        <w:spacing w:after="0" w:line="265" w:lineRule="exact"/>
        <w:rPr>
          <w:rFonts w:ascii="Arial" w:cs="Arial" w:eastAsia="Arial" w:hAnsi="Arial"/>
          <w:sz w:val="22"/>
          <w:szCs w:val="22"/>
          <w:color w:val="auto"/>
        </w:rPr>
      </w:pPr>
    </w:p>
    <w:p>
      <w:pPr>
        <w:jc w:val="both"/>
        <w:ind w:firstLine="8"/>
        <w:spacing w:after="0" w:line="288" w:lineRule="auto"/>
        <w:tabs>
          <w:tab w:leader="none" w:pos="81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If the parties determine, or the Internal Revenue Service asserts, that any payments or benefits to be made or provided to Executive hereunder do not comply with Section 409A of the Internal Revenue Code, then the parties agree to amend this Agreement or take such other actions as reasonably necessary or appropriate to comply with Section 409A while preserving the economic agreement of the parties.</w:t>
      </w:r>
    </w:p>
    <w:p>
      <w:pPr>
        <w:spacing w:after="0" w:line="217" w:lineRule="exact"/>
        <w:rPr>
          <w:rFonts w:ascii="Arial" w:cs="Arial" w:eastAsia="Arial" w:hAnsi="Arial"/>
          <w:sz w:val="22"/>
          <w:szCs w:val="22"/>
          <w:color w:val="auto"/>
        </w:rPr>
      </w:pPr>
    </w:p>
    <w:p>
      <w:pPr>
        <w:ind w:firstLine="8"/>
        <w:spacing w:after="0" w:line="302" w:lineRule="auto"/>
        <w:tabs>
          <w:tab w:leader="none" w:pos="91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Certain Agreements of Executive.</w:t>
      </w:r>
      <w:r>
        <w:rPr>
          <w:rFonts w:ascii="Arial" w:cs="Arial" w:eastAsia="Arial" w:hAnsi="Arial"/>
          <w:sz w:val="22"/>
          <w:szCs w:val="22"/>
          <w:color w:val="auto"/>
        </w:rPr>
        <w:t xml:space="preserve"> Without amending, modifying or expanding the meaning of “Cause” as defined in the Class B Agreement, Executive agrees that he shall at all times:</w:t>
      </w:r>
    </w:p>
    <w:p>
      <w:pPr>
        <w:spacing w:after="0" w:line="200" w:lineRule="exact"/>
        <w:rPr>
          <w:rFonts w:ascii="Arial" w:cs="Arial" w:eastAsia="Arial" w:hAnsi="Arial"/>
          <w:sz w:val="22"/>
          <w:szCs w:val="22"/>
          <w:color w:val="auto"/>
        </w:rPr>
      </w:pPr>
    </w:p>
    <w:p>
      <w:pPr>
        <w:ind w:left="1040" w:hanging="384"/>
        <w:spacing w:after="0"/>
        <w:tabs>
          <w:tab w:leader="none" w:pos="10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adhere to the Company's Trading and Risk Management Policies and Procedures,</w:t>
      </w:r>
    </w:p>
    <w:p>
      <w:pPr>
        <w:spacing w:after="0" w:line="287" w:lineRule="exact"/>
        <w:rPr>
          <w:rFonts w:ascii="Arial" w:cs="Arial" w:eastAsia="Arial" w:hAnsi="Arial"/>
          <w:sz w:val="22"/>
          <w:szCs w:val="22"/>
          <w:color w:val="auto"/>
        </w:rPr>
      </w:pPr>
    </w:p>
    <w:p>
      <w:pPr>
        <w:ind w:left="1040" w:hanging="384"/>
        <w:spacing w:after="0"/>
        <w:tabs>
          <w:tab w:leader="none" w:pos="10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adhere to the Company's Code of Business Conduct, and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5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60" w:right="20" w:hanging="404"/>
        <w:spacing w:after="0" w:line="302" w:lineRule="auto"/>
        <w:tabs>
          <w:tab w:leader="none" w:pos="1042" w:val="left"/>
        </w:tabs>
        <w:numPr>
          <w:ilvl w:val="1"/>
          <w:numId w:val="66"/>
        </w:numPr>
        <w:rPr>
          <w:rFonts w:ascii="Arial" w:cs="Arial" w:eastAsia="Arial" w:hAnsi="Arial"/>
          <w:sz w:val="22"/>
          <w:szCs w:val="22"/>
          <w:color w:val="auto"/>
        </w:rPr>
      </w:pPr>
      <w:r>
        <w:rPr>
          <w:rFonts w:ascii="Arial" w:cs="Arial" w:eastAsia="Arial" w:hAnsi="Arial"/>
          <w:sz w:val="22"/>
          <w:szCs w:val="22"/>
          <w:color w:val="auto"/>
        </w:rPr>
        <w:t>not misrepresent or conceal information regarding transactions from senior management or any person responsible for the accurate recording and reporting of each transaction.</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right="20" w:firstLine="8"/>
        <w:spacing w:after="0" w:line="343" w:lineRule="auto"/>
        <w:tabs>
          <w:tab w:leader="none" w:pos="637" w:val="left"/>
        </w:tabs>
        <w:numPr>
          <w:ilvl w:val="0"/>
          <w:numId w:val="67"/>
        </w:numPr>
        <w:rPr>
          <w:rFonts w:ascii="Arial" w:cs="Arial" w:eastAsia="Arial" w:hAnsi="Arial"/>
          <w:sz w:val="19"/>
          <w:szCs w:val="19"/>
          <w:color w:val="auto"/>
        </w:rPr>
      </w:pPr>
      <w:r>
        <w:rPr>
          <w:rFonts w:ascii="Arial" w:cs="Arial" w:eastAsia="Arial" w:hAnsi="Arial"/>
          <w:sz w:val="19"/>
          <w:szCs w:val="19"/>
          <w:color w:val="auto"/>
        </w:rPr>
        <w:t>Executive will not be obligated to seek employment or otherwise mitigate any benefits provided hereunder. Payments provided hereunder will not be reduced by other compensation earned by Executive from another employer following termination.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33" w:lineRule="exact"/>
        <w:rPr>
          <w:sz w:val="20"/>
          <w:szCs w:val="20"/>
          <w:color w:val="auto"/>
        </w:rPr>
      </w:pPr>
    </w:p>
    <w:p>
      <w:pPr>
        <w:ind w:right="20" w:firstLine="648"/>
        <w:spacing w:after="0" w:line="289" w:lineRule="auto"/>
        <w:rPr>
          <w:sz w:val="20"/>
          <w:szCs w:val="20"/>
          <w:color w:val="auto"/>
        </w:rPr>
      </w:pPr>
      <w:r>
        <w:rPr>
          <w:rFonts w:ascii="Arial" w:cs="Arial" w:eastAsia="Arial" w:hAnsi="Arial"/>
          <w:sz w:val="22"/>
          <w:szCs w:val="22"/>
          <w:color w:val="auto"/>
        </w:rPr>
        <w:t>If the foregoing meets with your understanding of our agreement, please execute, date and return one original Agreement for our files.</w:t>
      </w:r>
    </w:p>
    <w:p>
      <w:pPr>
        <w:spacing w:after="0" w:line="24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333"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PLAINS ALL AMERICAN GP LLC</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______________________________________</w:t>
      </w:r>
    </w:p>
    <w:p>
      <w:pPr>
        <w:spacing w:after="0" w:line="2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 L. Armstrong</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____ day of September, 2018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WCW (Willie) Chiang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5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23495</wp:posOffset>
            </wp:positionV>
            <wp:extent cx="1509395" cy="428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15093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16,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Willie Chiang</w:t>
      </w: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Willie:</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I am pleased to inform you that you have been granted 500,000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Subject to the further provisions of this Agreement, your Phantom Units shall vest (become payable in the form of one</w:t>
      </w:r>
    </w:p>
    <w:p>
      <w:pPr>
        <w:spacing w:after="0" w:line="7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Common Unit of PAA for each Phantom Unit) as follows:</w:t>
      </w:r>
    </w:p>
    <w:p>
      <w:pPr>
        <w:spacing w:after="0" w:line="44" w:lineRule="exact"/>
        <w:rPr>
          <w:sz w:val="20"/>
          <w:szCs w:val="20"/>
          <w:color w:val="auto"/>
        </w:rPr>
      </w:pPr>
    </w:p>
    <w:p>
      <w:pPr>
        <w:jc w:val="both"/>
        <w:ind w:left="3080" w:hanging="1782"/>
        <w:spacing w:after="0" w:line="281" w:lineRule="auto"/>
        <w:rPr>
          <w:sz w:val="20"/>
          <w:szCs w:val="20"/>
          <w:color w:val="auto"/>
        </w:rPr>
      </w:pPr>
      <w:r>
        <w:rPr>
          <w:rFonts w:ascii="Arial" w:cs="Arial" w:eastAsia="Arial" w:hAnsi="Arial"/>
          <w:sz w:val="22"/>
          <w:szCs w:val="22"/>
          <w:color w:val="auto"/>
        </w:rPr>
        <w:t>a.Tranche A, which shall consist of 25% of the total number of Phantom Units covered by this grant letter, shall vest on the later of October 1, 2023 and the first Distribution Date following the date on which the Partnership generates distributable cash flow (“DCF”) per common unit on a trailing four quarter basis of at least $3.00; and</w:t>
      </w:r>
    </w:p>
    <w:p>
      <w:pPr>
        <w:spacing w:after="0" w:line="4" w:lineRule="exact"/>
        <w:rPr>
          <w:sz w:val="20"/>
          <w:szCs w:val="20"/>
          <w:color w:val="auto"/>
        </w:rPr>
      </w:pPr>
    </w:p>
    <w:p>
      <w:pPr>
        <w:jc w:val="both"/>
        <w:ind w:left="3080" w:hanging="1782"/>
        <w:spacing w:after="0" w:line="357" w:lineRule="auto"/>
        <w:rPr>
          <w:sz w:val="20"/>
          <w:szCs w:val="20"/>
          <w:color w:val="auto"/>
        </w:rPr>
      </w:pPr>
      <w:r>
        <w:rPr>
          <w:rFonts w:ascii="Arial" w:cs="Arial" w:eastAsia="Arial" w:hAnsi="Arial"/>
          <w:sz w:val="19"/>
          <w:szCs w:val="19"/>
          <w:color w:val="auto"/>
        </w:rPr>
        <w:t>b.Tranche B, which shall consist of 75% of the total number of Phantom Units covered by this grant letter, shall vest on the later of October 1, 2023 and the first Distribution Date following the date on which the Partnership generates DCF per common unit on a trailing four quarter basis of at least $3.50.</w:t>
      </w:r>
    </w:p>
    <w:p>
      <w:pPr>
        <w:spacing w:after="0" w:line="173" w:lineRule="exact"/>
        <w:rPr>
          <w:sz w:val="20"/>
          <w:szCs w:val="20"/>
          <w:color w:val="auto"/>
        </w:rPr>
      </w:pPr>
    </w:p>
    <w:p>
      <w:pPr>
        <w:jc w:val="both"/>
        <w:ind w:left="1040"/>
        <w:spacing w:after="0" w:line="346" w:lineRule="auto"/>
        <w:rPr>
          <w:sz w:val="20"/>
          <w:szCs w:val="20"/>
          <w:color w:val="auto"/>
        </w:rPr>
      </w:pPr>
      <w:r>
        <w:rPr>
          <w:rFonts w:ascii="Arial" w:cs="Arial" w:eastAsia="Arial" w:hAnsi="Arial"/>
          <w:sz w:val="19"/>
          <w:szCs w:val="19"/>
          <w:color w:val="auto"/>
        </w:rPr>
        <w:t>The DCF performance thresholds described in this paragraph shall apply to any trailing four-quarter period beginning on or after January 1, 2021. Any remaining Phantom Units that have not vested on or before October 1, 2025, and any associated DERs (regardless of vesting), shall expire on such date. The DCF per common unit amounts referenced in this paragraph are subject to adjustment in the reasonable discretion of the Board to account for significant asset sales.</w:t>
      </w:r>
    </w:p>
    <w:p>
      <w:pPr>
        <w:spacing w:after="0" w:line="145" w:lineRule="exact"/>
        <w:rPr>
          <w:sz w:val="20"/>
          <w:szCs w:val="20"/>
          <w:color w:val="auto"/>
        </w:rPr>
      </w:pPr>
    </w:p>
    <w:p>
      <w:pPr>
        <w:ind w:left="2100" w:hanging="1444"/>
        <w:spacing w:after="0" w:line="302" w:lineRule="auto"/>
        <w:tabs>
          <w:tab w:leader="none" w:pos="1056" w:val="left"/>
        </w:tabs>
        <w:numPr>
          <w:ilvl w:val="0"/>
          <w:numId w:val="6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as follows: (i) one-third of your DERs shall vest upon and effective</w:t>
      </w:r>
    </w:p>
    <w:p>
      <w:pPr>
        <w:spacing w:after="0" w:line="190"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39"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040"/>
        <w:spacing w:after="0" w:line="335" w:lineRule="auto"/>
        <w:rPr>
          <w:sz w:val="20"/>
          <w:szCs w:val="20"/>
          <w:color w:val="auto"/>
        </w:rPr>
      </w:pPr>
      <w:r>
        <w:rPr>
          <w:rFonts w:ascii="Arial" w:cs="Arial" w:eastAsia="Arial" w:hAnsi="Arial"/>
          <w:sz w:val="19"/>
          <w:szCs w:val="19"/>
          <w:color w:val="auto"/>
        </w:rPr>
        <w:t>with the first Distribution Date following the date on which the Partnership generates DCF per common unit on a trailing four quarter basis of at least $2.50, (ii) one-third of your DERs shall vest upon and effective with the first Distribution Date following the date on which the Partnership generates DCF per common unit on a trailing four quarter basis of at least $2.60, and (iii) one-third of your DERs shall vest upon and effective with the first Distribution Date following the date on which the Partnership generates DCF per common unit on a trailing four quarter basis of at least $2.80. The DCF performance thresholds described in sections (ii) and (iii) of this paragraph shall apply to any trailing four-quarter period beginning on or after January 1, 2020. The DCF per common unit amounts referenced in this paragraph are subject to adjustment in the reasonable discretion of the Board to account for significant asset sales.</w:t>
      </w:r>
    </w:p>
    <w:p>
      <w:pPr>
        <w:spacing w:after="0" w:line="194" w:lineRule="exact"/>
        <w:rPr>
          <w:sz w:val="20"/>
          <w:szCs w:val="20"/>
          <w:color w:val="auto"/>
        </w:rPr>
      </w:pPr>
    </w:p>
    <w:p>
      <w:pPr>
        <w:ind w:left="1040" w:hanging="384"/>
        <w:spacing w:after="0"/>
        <w:tabs>
          <w:tab w:leader="none" w:pos="10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300" w:lineRule="exact"/>
        <w:rPr>
          <w:rFonts w:ascii="Arial" w:cs="Arial" w:eastAsia="Arial" w:hAnsi="Arial"/>
          <w:sz w:val="22"/>
          <w:szCs w:val="22"/>
          <w:color w:val="auto"/>
        </w:rPr>
      </w:pPr>
    </w:p>
    <w:p>
      <w:pPr>
        <w:ind w:left="2120" w:hanging="1464"/>
        <w:spacing w:after="0" w:line="311" w:lineRule="auto"/>
        <w:tabs>
          <w:tab w:leader="none" w:pos="104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number of Phantom Units subject to this award and any DCF per common unit level required for vesting under paragraphs 1 or 2 above shall be proportionately reduced or increased for any split or reverse split, respectively, of the Units, or any event or transaction having a similar effect.</w:t>
      </w:r>
    </w:p>
    <w:p>
      <w:pPr>
        <w:spacing w:after="0" w:line="200" w:lineRule="exact"/>
        <w:rPr>
          <w:rFonts w:ascii="Arial" w:cs="Arial" w:eastAsia="Arial" w:hAnsi="Arial"/>
          <w:sz w:val="21"/>
          <w:szCs w:val="21"/>
          <w:color w:val="auto"/>
        </w:rPr>
      </w:pPr>
    </w:p>
    <w:p>
      <w:pPr>
        <w:spacing w:after="0" w:line="225" w:lineRule="exact"/>
        <w:rPr>
          <w:rFonts w:ascii="Arial" w:cs="Arial" w:eastAsia="Arial" w:hAnsi="Arial"/>
          <w:sz w:val="21"/>
          <w:szCs w:val="21"/>
          <w:color w:val="auto"/>
        </w:rPr>
      </w:pPr>
    </w:p>
    <w:p>
      <w:pPr>
        <w:ind w:left="2120" w:hanging="1464"/>
        <w:spacing w:after="0" w:line="292" w:lineRule="auto"/>
        <w:tabs>
          <w:tab w:leader="none" w:pos="10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2120" w:hanging="1464"/>
        <w:spacing w:after="0" w:line="298" w:lineRule="auto"/>
        <w:tabs>
          <w:tab w:leader="none" w:pos="1040" w:val="left"/>
        </w:tabs>
        <w:numPr>
          <w:ilvl w:val="0"/>
          <w:numId w:val="69"/>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the following provisions shall apply: (i) if such termination occurs prior to October 1, 2019, 20% of your unvested Phantom Units shall be deemed nonforfeitable on the date of termination, and shall vest on the next following Distribution Date; (ii) if such termination occurs after October 1, 2019 but prior to October 1, 2020, 40% of your unvested Phantom Units shall be deemed nonforfeitable on the date of termination, and shall vest on the next following Distribution Date; (iii) if such termination occurs after October 1, 2020 but prior to October 1, 2021, 60% of your unvested Phantom Units shall be deemed nonforfeitable on the date of termination, and shall vest on the</w:t>
      </w:r>
    </w:p>
    <w:p>
      <w:pPr>
        <w:sectPr>
          <w:pgSz w:w="11900" w:h="16838" w:orient="portrait"/>
          <w:cols w:equalWidth="0" w:num="1">
            <w:col w:w="11420"/>
          </w:cols>
          <w:pgMar w:left="240" w:top="145"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080"/>
        <w:spacing w:after="0" w:line="300" w:lineRule="auto"/>
        <w:rPr>
          <w:sz w:val="20"/>
          <w:szCs w:val="20"/>
          <w:color w:val="auto"/>
        </w:rPr>
      </w:pPr>
      <w:r>
        <w:rPr>
          <w:rFonts w:ascii="Arial" w:cs="Arial" w:eastAsia="Arial" w:hAnsi="Arial"/>
          <w:sz w:val="21"/>
          <w:szCs w:val="21"/>
          <w:color w:val="auto"/>
        </w:rPr>
        <w:t>next following Distribution Date; (iv) if such termination occurs after October 1, 2021, any unvested Phantom Units covered by paragraphs 1(a) and 1(b) above with respect to which the Partnership has, as of the date of termination, achieved the applicable DCF vesting criteria for such Phantom Units, shall be deemed nonforfeitable on the date of termination, and shall vest on the next following Distribution Date; and (v) any DERs associated with such unvested, nonforfeitable Phantom Units described in clauses (i)-(iv) immediately preceding shall not be forfeited on the date of termination, but shall vest in accordance with paragraph 2 above and if vested shall be payable and shall expire in accordance with paragraph 1 or paragraph 5 above.</w:t>
      </w:r>
    </w:p>
    <w:p>
      <w:pPr>
        <w:spacing w:after="0" w:line="223" w:lineRule="exact"/>
        <w:rPr>
          <w:sz w:val="20"/>
          <w:szCs w:val="20"/>
          <w:color w:val="auto"/>
        </w:rPr>
      </w:pPr>
    </w:p>
    <w:p>
      <w:pPr>
        <w:ind w:left="2120" w:hanging="1464"/>
        <w:spacing w:after="0" w:line="332" w:lineRule="auto"/>
        <w:tabs>
          <w:tab w:leader="none" w:pos="10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second anniversary of the date of this grant, all of your then outstanding Phantom Units and DERs shall automatically be forfeited as of the date of termination and (ii) if such termination takes place on or after the second anniversary of the date of this grant, your then outstanding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ind w:left="2120" w:hanging="1464"/>
        <w:spacing w:after="0" w:line="292" w:lineRule="auto"/>
        <w:tabs>
          <w:tab w:leader="none" w:pos="10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and tandem DERs shall be deemed 100% nonforfeitable on such date, and such Phantom Units shall vest in full upon the next Distribution Date.</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2120" w:hanging="1464"/>
        <w:spacing w:after="0" w:line="288" w:lineRule="auto"/>
        <w:tabs>
          <w:tab w:leader="none" w:pos="10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w:t>
      </w:r>
    </w:p>
    <w:p>
      <w:pPr>
        <w:sectPr>
          <w:pgSz w:w="11900" w:h="16838" w:orient="portrait"/>
          <w:cols w:equalWidth="0" w:num="1">
            <w:col w:w="11420"/>
          </w:cols>
          <w:pgMar w:left="240" w:top="145"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is 45 days after the end of the most recently completed calendar quarter (or, if not a business day, the closest previous business day); (iii) “Market Value” means the average of the closing sales prices for a Common Unit on the New York Stock Exchange for the five trading days preceding the then most recent “ex dividend” date for payment of a distribution by the Partnership; and (iv) “Board” means the board of directors of PAGP GP (defined below).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Board.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29" w:lineRule="exact"/>
        <w:rPr>
          <w:sz w:val="20"/>
          <w:szCs w:val="20"/>
          <w:color w:val="auto"/>
        </w:rPr>
      </w:pPr>
    </w:p>
    <w:p>
      <w:pPr>
        <w:jc w:val="both"/>
        <w:ind w:left="1580" w:hanging="924"/>
        <w:spacing w:after="0" w:line="281" w:lineRule="auto"/>
        <w:tabs>
          <w:tab w:leader="none" w:pos="1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3" w:lineRule="exact"/>
        <w:rPr>
          <w:rFonts w:ascii="Arial" w:cs="Arial" w:eastAsia="Arial" w:hAnsi="Arial"/>
          <w:sz w:val="22"/>
          <w:szCs w:val="22"/>
          <w:color w:val="auto"/>
        </w:rPr>
      </w:pPr>
    </w:p>
    <w:p>
      <w:pPr>
        <w:jc w:val="both"/>
        <w:ind w:left="1580" w:hanging="924"/>
        <w:spacing w:after="0" w:line="281" w:lineRule="auto"/>
        <w:tabs>
          <w:tab w:leader="none" w:pos="1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2" w:lineRule="exact"/>
        <w:rPr>
          <w:rFonts w:ascii="Arial" w:cs="Arial" w:eastAsia="Arial" w:hAnsi="Arial"/>
          <w:sz w:val="22"/>
          <w:szCs w:val="22"/>
          <w:color w:val="auto"/>
        </w:rPr>
      </w:pPr>
    </w:p>
    <w:p>
      <w:pPr>
        <w:ind w:left="1580" w:hanging="924"/>
        <w:spacing w:after="0" w:line="281" w:lineRule="auto"/>
        <w:tabs>
          <w:tab w:leader="none" w:pos="1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pacing w:after="0" w:line="1" w:lineRule="exact"/>
        <w:rPr>
          <w:rFonts w:ascii="Arial" w:cs="Arial" w:eastAsia="Arial" w:hAnsi="Arial"/>
          <w:sz w:val="22"/>
          <w:szCs w:val="22"/>
          <w:color w:val="auto"/>
        </w:rPr>
      </w:pPr>
    </w:p>
    <w:p>
      <w:pPr>
        <w:jc w:val="both"/>
        <w:ind w:left="1580" w:hanging="924"/>
        <w:spacing w:after="0" w:line="288" w:lineRule="auto"/>
        <w:tabs>
          <w:tab w:leader="none" w:pos="1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ectPr>
          <w:pgSz w:w="11900" w:h="16838" w:orient="portrait"/>
          <w:cols w:equalWidth="0" w:num="1">
            <w:col w:w="11420"/>
          </w:cols>
          <w:pgMar w:left="240" w:top="145"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Board,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45"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By:PLAINS ALL AMERICAN GP LLC,</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Name:Greg L. Armstrong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Title:Chief Executive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32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260" w:hanging="252"/>
        <w:spacing w:after="0"/>
        <w:tabs>
          <w:tab w:leader="none" w:pos="260" w:val="left"/>
        </w:tabs>
        <w:numPr>
          <w:ilvl w:val="0"/>
          <w:numId w:val="72"/>
        </w:numPr>
        <w:rPr>
          <w:rFonts w:ascii="MS PGothic" w:cs="MS PGothic" w:eastAsia="MS PGothic" w:hAnsi="MS PGothic"/>
          <w:sz w:val="22"/>
          <w:szCs w:val="2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Willie Chiang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Units: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857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440"/>
          </w:cols>
          <w:pgMar w:left="240" w:top="145"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Employment Agreement (“Agreement”), effective as of the date specified in Section 1 below, is by and between Plains All American GP LLC (the “Company”) and John vonBerg (“JvB” or the “Employee”). The Company and the Employee are at times referred to collectively as “the Parties.” For purposes of this Agreement, the term “Company Group” means the Company and all of the entities over which the Company has or exercises direct or indirect control, including Plains All American Pipeline, L.P. and its subsidiaries.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JvB is currently an employee of the Company and has served as an officer of the Company since 2003 and also serves as an officer of certain members of the Company Group;</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certain members of the Company Group have awarded to JvB certain grants of contingent equity rights under the Company’s Long-Term Incentive Plans, including that certain grant of 35,000 phantom units to JvB by letter dated July 5, 2017 (the “LTIP Grant”);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JvB and the Company are parties to that certain Confidential Information and Non-Solicitation Agreement dated January 15, 2002 (the “Confidentiality Agreement”);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JvB intends to retire as an officer of the Company and to resign from all offices that he currently holds;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CEO of the Company has approved the terms and timing of JvB’s retirement and resignation as an officer;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and JvB desire to enter into this Agreement to set forth their mutual agreement and understanding related to the continued employment of JvB and certain related matters as set forth herein.</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NOW, THEREFORE, in consideration of the covenants and conditions herein contained, the Parties agree as follows:</w:t>
      </w:r>
    </w:p>
    <w:p>
      <w:pPr>
        <w:spacing w:after="0" w:line="272" w:lineRule="exact"/>
        <w:rPr>
          <w:sz w:val="20"/>
          <w:szCs w:val="20"/>
          <w:color w:val="auto"/>
        </w:rPr>
      </w:pPr>
    </w:p>
    <w:p>
      <w:pPr>
        <w:ind w:left="920" w:hanging="912"/>
        <w:spacing w:after="0"/>
        <w:tabs>
          <w:tab w:leader="none" w:pos="92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Employment and Term</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80" w:hanging="400"/>
        <w:spacing w:after="0" w:line="260" w:lineRule="auto"/>
        <w:tabs>
          <w:tab w:leader="none" w:pos="1380" w:val="left"/>
        </w:tabs>
        <w:numPr>
          <w:ilvl w:val="1"/>
          <w:numId w:val="73"/>
        </w:numPr>
        <w:rPr>
          <w:rFonts w:ascii="Arial" w:cs="Arial" w:eastAsia="Arial" w:hAnsi="Arial"/>
          <w:sz w:val="21"/>
          <w:szCs w:val="21"/>
          <w:color w:val="auto"/>
        </w:rPr>
      </w:pPr>
      <w:r>
        <w:rPr>
          <w:rFonts w:ascii="Arial" w:cs="Arial" w:eastAsia="Arial" w:hAnsi="Arial"/>
          <w:sz w:val="21"/>
          <w:szCs w:val="21"/>
          <w:color w:val="auto"/>
        </w:rPr>
        <w:t>Effective October 15, 2018 (the “Effective Date”), JvB resigns his position as Executive Vice President of the Company (and from all officer positions of all other members of the Company Group), but will continue his employment with the Company as Strategic Advisor – Merchant Strategies and Asset Optimization, a non-executive employee position, until the Termination Date (defined below) with dual reporting to the President and Chief Commercial Officer (the “CCO”) as well as the Senior Vice President – Commercial Activities (“SVP”). In his capacity as Strategic Advisor, JvB shall provide his views, suggestions, advice and assistance as the CCO and SVP may reasonably request. JvB may elect to “telecommute” in</w:t>
      </w:r>
    </w:p>
    <w:p>
      <w:pPr>
        <w:sectPr>
          <w:pgSz w:w="11900" w:h="16838" w:orient="portrait"/>
          <w:cols w:equalWidth="0" w:num="1">
            <w:col w:w="11420"/>
          </w:cols>
          <w:pgMar w:left="240" w:top="121" w:right="239" w:bottom="1440" w:gutter="0" w:footer="0" w:header="0"/>
        </w:sectPr>
      </w:pPr>
    </w:p>
    <w:bookmarkStart w:id="85" w:name="page86"/>
    <w:bookmarkEnd w:id="85"/>
    <w:p>
      <w:pPr>
        <w:ind w:left="1380" w:right="20"/>
        <w:spacing w:after="0" w:line="263" w:lineRule="auto"/>
        <w:rPr>
          <w:sz w:val="20"/>
          <w:szCs w:val="20"/>
          <w:color w:val="auto"/>
        </w:rPr>
      </w:pPr>
      <w:r>
        <w:rPr>
          <w:rFonts w:ascii="Arial" w:cs="Arial" w:eastAsia="Arial" w:hAnsi="Arial"/>
          <w:sz w:val="22"/>
          <w:szCs w:val="22"/>
          <w:color w:val="auto"/>
        </w:rPr>
        <w:t>providing any such services, but shall remain available for in-person meetings as reasonably requested by the CCO or the SVP.</w:t>
      </w:r>
    </w:p>
    <w:p>
      <w:pPr>
        <w:spacing w:after="0" w:line="215" w:lineRule="exact"/>
        <w:rPr>
          <w:sz w:val="20"/>
          <w:szCs w:val="20"/>
          <w:color w:val="auto"/>
        </w:rPr>
      </w:pPr>
    </w:p>
    <w:p>
      <w:pPr>
        <w:jc w:val="both"/>
        <w:ind w:left="1380" w:hanging="400"/>
        <w:spacing w:after="0" w:line="259" w:lineRule="auto"/>
        <w:tabs>
          <w:tab w:leader="none" w:pos="1380" w:val="left"/>
        </w:tabs>
        <w:numPr>
          <w:ilvl w:val="2"/>
          <w:numId w:val="74"/>
        </w:numPr>
        <w:rPr>
          <w:rFonts w:ascii="Arial" w:cs="Arial" w:eastAsia="Arial" w:hAnsi="Arial"/>
          <w:sz w:val="21"/>
          <w:szCs w:val="21"/>
          <w:color w:val="auto"/>
        </w:rPr>
      </w:pPr>
      <w:r>
        <w:rPr>
          <w:rFonts w:ascii="Arial" w:cs="Arial" w:eastAsia="Arial" w:hAnsi="Arial"/>
          <w:sz w:val="21"/>
          <w:szCs w:val="21"/>
          <w:color w:val="auto"/>
        </w:rPr>
        <w:t>The Employee’s employment with the Company shall commence on the Effective Date and terminate on September 30, 2020; provided; however, that (i) the Employee may terminate his employment with the Company as of any date prior to September 30, 2020 by giving written notice to the Company at least 60 days prior to the effective date of such termination, (ii) the Company may terminate the Employee’s employment with the Company as of any date prior to September 30, 2020 by giving written notice to the Employee at least 60 days prior to the effective date of such termination and (iii) Employee’s employment relationship with the Company shall automatically terminate in the event of his death. The date as of which the employment relationship terminates shall constitute the “Termination Date” for purposes hereof.</w:t>
      </w:r>
    </w:p>
    <w:p>
      <w:pPr>
        <w:spacing w:after="0" w:line="224" w:lineRule="exact"/>
        <w:rPr>
          <w:rFonts w:ascii="Arial" w:cs="Arial" w:eastAsia="Arial" w:hAnsi="Arial"/>
          <w:sz w:val="21"/>
          <w:szCs w:val="21"/>
          <w:color w:val="auto"/>
        </w:rPr>
      </w:pPr>
    </w:p>
    <w:p>
      <w:pPr>
        <w:ind w:left="920" w:hanging="912"/>
        <w:spacing w:after="0"/>
        <w:tabs>
          <w:tab w:leader="none" w:pos="92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400" w:hanging="447"/>
        <w:spacing w:after="0" w:line="292" w:lineRule="auto"/>
        <w:tabs>
          <w:tab w:leader="none" w:pos="1382" w:val="left"/>
        </w:tabs>
        <w:numPr>
          <w:ilvl w:val="1"/>
          <w:numId w:val="75"/>
        </w:numPr>
        <w:rPr>
          <w:rFonts w:ascii="Arial" w:cs="Arial" w:eastAsia="Arial" w:hAnsi="Arial"/>
          <w:sz w:val="19"/>
          <w:szCs w:val="19"/>
          <w:color w:val="auto"/>
        </w:rPr>
      </w:pPr>
      <w:r>
        <w:rPr>
          <w:rFonts w:ascii="Arial" w:cs="Arial" w:eastAsia="Arial" w:hAnsi="Arial"/>
          <w:sz w:val="19"/>
          <w:szCs w:val="19"/>
          <w:color w:val="auto"/>
        </w:rPr>
        <w:t>JvB shall be paid a base salary at the rate of $200,000 per annum, payable semi-monthly in arrears, while employed by the Company under the terms of this Agreement and he will be eligible to participate in the Company’s annual discretionary bonus program. JvB’s annual bonus target will be equal to 50% of his base salary; provided, however, that with respect to the calendar year ending December 31, 2018, JvB’s annual bonus shall be no less than $100,000. In addition, while employed by the Company hereunder, JvB shall remain eligible to participate in all employee benefit plans generally available to employees of the Company. JvB will also continue to have access to a Company phone and computer during the term of this Agreement.</w:t>
      </w:r>
    </w:p>
    <w:p>
      <w:pPr>
        <w:spacing w:after="0" w:line="192" w:lineRule="exact"/>
        <w:rPr>
          <w:rFonts w:ascii="Arial" w:cs="Arial" w:eastAsia="Arial" w:hAnsi="Arial"/>
          <w:sz w:val="19"/>
          <w:szCs w:val="19"/>
          <w:color w:val="auto"/>
        </w:rPr>
      </w:pPr>
    </w:p>
    <w:p>
      <w:pPr>
        <w:ind w:left="1380" w:hanging="440"/>
        <w:spacing w:after="0" w:line="263" w:lineRule="auto"/>
        <w:tabs>
          <w:tab w:leader="none" w:pos="13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JvB’s previously deferred 2017 annual bonus amount of $150,000 will be paid within twenty (20) days following the execution of this Agreement by JvB.</w:t>
      </w:r>
    </w:p>
    <w:p>
      <w:pPr>
        <w:spacing w:after="0" w:line="215" w:lineRule="exact"/>
        <w:rPr>
          <w:rFonts w:ascii="Arial" w:cs="Arial" w:eastAsia="Arial" w:hAnsi="Arial"/>
          <w:sz w:val="22"/>
          <w:szCs w:val="22"/>
          <w:color w:val="auto"/>
        </w:rPr>
      </w:pPr>
    </w:p>
    <w:p>
      <w:pPr>
        <w:jc w:val="both"/>
        <w:ind w:left="920" w:hanging="912"/>
        <w:spacing w:after="0" w:line="265" w:lineRule="auto"/>
        <w:tabs>
          <w:tab w:leader="none" w:pos="92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Equity Grants</w:t>
      </w:r>
      <w:r>
        <w:rPr>
          <w:rFonts w:ascii="Arial" w:cs="Arial" w:eastAsia="Arial" w:hAnsi="Arial"/>
          <w:sz w:val="21"/>
          <w:szCs w:val="21"/>
          <w:color w:val="auto"/>
        </w:rPr>
        <w:t>. The parties agree that the LTIP Grant is the only equity grant outstanding as of the Effective Date. Employee’s retirement on the Effective Date as an officer of the Company on terms and timing that have been approved by the CEO constitutes a Change in Status as defined in the LTIP Grant. As such, the phantom units subject to the LTIP Grant shall vest according to their terms (i.e., as of the November 2018 Distribution Date).</w:t>
      </w:r>
    </w:p>
    <w:p>
      <w:pPr>
        <w:spacing w:after="0" w:line="216" w:lineRule="exact"/>
        <w:rPr>
          <w:rFonts w:ascii="Arial" w:cs="Arial" w:eastAsia="Arial" w:hAnsi="Arial"/>
          <w:sz w:val="21"/>
          <w:szCs w:val="21"/>
          <w:color w:val="auto"/>
        </w:rPr>
      </w:pPr>
    </w:p>
    <w:p>
      <w:pPr>
        <w:jc w:val="both"/>
        <w:ind w:left="920" w:hanging="912"/>
        <w:spacing w:after="0" w:line="250" w:lineRule="auto"/>
        <w:tabs>
          <w:tab w:leader="none" w:pos="92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Indemnity</w:t>
      </w:r>
      <w:r>
        <w:rPr>
          <w:rFonts w:ascii="Arial" w:cs="Arial" w:eastAsia="Arial" w:hAnsi="Arial"/>
          <w:sz w:val="22"/>
          <w:szCs w:val="22"/>
          <w:color w:val="auto"/>
        </w:rPr>
        <w:t>. Notwithstanding anything herein or in the Release to the contrary, JvB shall remain a full beneficiary with respect to any obligation of any member of the Company Group (as such obligation exists as of the Effective Date with respect to active officers and employees of such member) to indemnify, keep well and hold harmless or similarly protect JvB against third-party claims.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86" w:name="page87"/>
    <w:bookmarkEnd w:id="86"/>
    <w:p>
      <w:pPr>
        <w:ind w:left="920" w:hanging="912"/>
        <w:spacing w:after="0"/>
        <w:tabs>
          <w:tab w:leader="none" w:pos="92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80" w:hanging="481"/>
        <w:spacing w:after="0" w:line="284" w:lineRule="auto"/>
        <w:tabs>
          <w:tab w:leader="none" w:pos="13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In consideration of the Company’s covenants, obligations and undertakings hereunder, subject to Section 5(c), the Employee agrees to release, acquit and discharge and does hereby release, acquit and discharge each member of the Company Group, their respective parent, subsidiary and affiliate entities, and the respective employees, officers, directors, trustees, shareholders, agents and representatives of each of the foregoing, past and present (such entities and individuals being collectively, including all members of the Company Group, the “Company Group Parties”), collectively and individually, from any and all claims, demands, and causes of action or similar rights or liabilities against any of the Company Group Parties, of any kind or character, whether now known or not known, he may have against any such Company Group Party, in their corporate, individual and representative capacities, including, but not limited to, any claim for benefits, bonuses, compensation, costs, damages, expenses, remuneration, salary, or wages through the Effective Date; and further including but not limited to all claims or causes of action arising from his employment, or changes in the nature of his employment relationship (including, without limitation, such changes provided for in this Agreement), or any alleged discriminatory employment practices. This release includes any and all claims for violation or breach of (i) the common law (tort, contract or other) of any jurisdiction including the common law of the State of Texas; (ii) the Age Discrimination in Employment Act, 29 U.S.C. Section 621 et seq.; (iii) any other federal, state and local statute, ordinance, and regulation governing employment including but not limited to those prohibiting discrimination or retaliation in employment upon the basis of age, race, sex, national original, religion, disability, or any other protected characteristic; and (iv) any claims brought by any person or agency or class action under which the Employee may have a right or benefit. The Employee’s release of claims under this Section 5(b) does not apply to any rights or claims the Employee may have that arise after the Effective Date (including, without limitation, those that arise pursuant to the obligations of the Company under this Agreement) or that arise with respect to benefits under the employee benefit plans maintained by the Company Group. Notwithstanding the release of liability included in this Section 5(a), nothing in this Section 5(a) prevents the Employee from filing any non-legally waivable claim (including a challenge to the validity of this Section 5(a)) with the Equal Employment Opportunity Commission (“EEOC”) or comparable state or local agency or participating in any investigation or proceeding conducted by the EEOC or comparable state or local agency; however, the Employee understands and agrees that the Employee is waiving any and all rights to recover any monetary or personal relief or recovery as a result of such EEOC, or comparable state or local agency, proceeding or subsequent legal actions.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1380" w:right="20" w:hanging="481"/>
        <w:spacing w:after="0" w:line="263" w:lineRule="auto"/>
        <w:tabs>
          <w:tab w:leader="none" w:pos="13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JvB acknowledges that he has been and hereby is advised in writing that he may, at his option, discuss this Agreement with an attorney of his choice and that he has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87" w:name="page88"/>
    <w:bookmarkEnd w:id="87"/>
    <w:p>
      <w:pPr>
        <w:jc w:val="both"/>
        <w:ind w:left="1380"/>
        <w:spacing w:after="0" w:line="250" w:lineRule="auto"/>
        <w:rPr>
          <w:sz w:val="20"/>
          <w:szCs w:val="20"/>
          <w:color w:val="auto"/>
        </w:rPr>
      </w:pPr>
      <w:r>
        <w:rPr>
          <w:rFonts w:ascii="Arial" w:cs="Arial" w:eastAsia="Arial" w:hAnsi="Arial"/>
          <w:sz w:val="22"/>
          <w:szCs w:val="22"/>
          <w:color w:val="auto"/>
        </w:rPr>
        <w:t>had adequate opportunity to do so. JvB further acknowledges that he has been given 21 days commencing on October 15, 2018, within which to consider this Agreement. If JvB chooses to sign this Agreement at any time prior to the end of such 21-day period, it is agreed that JvB signs willingly and voluntarily, and expressly waives his right to wait the entire 21-day period as provided in the law.</w:t>
      </w:r>
    </w:p>
    <w:p>
      <w:pPr>
        <w:spacing w:after="0" w:line="188" w:lineRule="exact"/>
        <w:rPr>
          <w:sz w:val="20"/>
          <w:szCs w:val="20"/>
          <w:color w:val="auto"/>
        </w:rPr>
      </w:pPr>
    </w:p>
    <w:p>
      <w:pPr>
        <w:jc w:val="both"/>
        <w:ind w:left="1380" w:hanging="481"/>
        <w:spacing w:after="0" w:line="247" w:lineRule="auto"/>
        <w:tabs>
          <w:tab w:leader="none" w:pos="13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JvB may revoke this Agreement within the seven-day period beginning on the date he signs this Agreement (such seven-day period being referred to herein as the “Release Revocation Period”). To be effective, such revocation must be in writing signed by the Employee and must be delivered to the Company in accordance with Section 8 hereof before 11:59 p.m., Houston, Texas time, on the last day of the Release Revocation Period. If an effective revocation is delivered in the foregoing manner and timeframe, then this Agreement shall be of no force or effect and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234" w:lineRule="exact"/>
        <w:rPr>
          <w:rFonts w:ascii="Arial" w:cs="Arial" w:eastAsia="Arial" w:hAnsi="Arial"/>
          <w:sz w:val="22"/>
          <w:szCs w:val="22"/>
          <w:color w:val="auto"/>
        </w:rPr>
      </w:pPr>
    </w:p>
    <w:p>
      <w:pPr>
        <w:jc w:val="both"/>
        <w:ind w:left="1380" w:hanging="481"/>
        <w:spacing w:after="0" w:line="288" w:lineRule="auto"/>
        <w:tabs>
          <w:tab w:leader="none" w:pos="13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In consideration of JvB’s covenants, obligations and undertakings hereunder, provided that JvB doesn’t revoke this Agreement pursuant to Section 5(c) immediately above, the Company, on behalf of itself and the other members of the Company Group, agrees to release, acquit and discharge and does hereby release, acquit and discharge JvB from any and all claims, demands, and causes of action or similar rights or liabilities against JvB, of any kind or character, whether now known or not known, they may have against JvB; provided, however, that neither the Company nor any Member of the Company Group shall be deemed to have waived any claims, demands, or causes of action against JvB for fraud, theft, conversion or breach of the Confidentiality Agreement. The Company’s release of claims under this Section 5(d) does not apply to any rights or claims the Company or any member of the Company Group may have that arise after the Effective Date (including, without limitation, those that arise pursuant to the obligations of JvB under this Agreement).</w:t>
      </w:r>
    </w:p>
    <w:p>
      <w:pPr>
        <w:spacing w:after="0" w:line="200" w:lineRule="exact"/>
        <w:rPr>
          <w:rFonts w:ascii="Arial" w:cs="Arial" w:eastAsia="Arial" w:hAnsi="Arial"/>
          <w:sz w:val="19"/>
          <w:szCs w:val="19"/>
          <w:color w:val="auto"/>
        </w:rPr>
      </w:pPr>
    </w:p>
    <w:p>
      <w:pPr>
        <w:jc w:val="both"/>
        <w:ind w:left="920" w:hanging="912"/>
        <w:spacing w:after="0" w:line="253" w:lineRule="auto"/>
        <w:tabs>
          <w:tab w:leader="none" w:pos="92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Non-Competition and Non-Solicitation Covenants</w:t>
      </w:r>
      <w:r>
        <w:rPr>
          <w:rFonts w:ascii="Arial" w:cs="Arial" w:eastAsia="Arial" w:hAnsi="Arial"/>
          <w:sz w:val="22"/>
          <w:szCs w:val="22"/>
          <w:color w:val="auto"/>
        </w:rPr>
        <w:t>. JvB acknowledges and agrees that the Confidentiality Agreement shall remain in full force and effect during the term of this Agreement and for one year following the Termination Date.</w:t>
      </w:r>
    </w:p>
    <w:p>
      <w:pPr>
        <w:spacing w:after="0" w:line="226" w:lineRule="exact"/>
        <w:rPr>
          <w:rFonts w:ascii="Arial" w:cs="Arial" w:eastAsia="Arial" w:hAnsi="Arial"/>
          <w:sz w:val="22"/>
          <w:szCs w:val="22"/>
          <w:color w:val="auto"/>
        </w:rPr>
      </w:pPr>
    </w:p>
    <w:p>
      <w:pPr>
        <w:jc w:val="both"/>
        <w:ind w:left="920" w:hanging="912"/>
        <w:spacing w:after="0" w:line="294" w:lineRule="auto"/>
        <w:tabs>
          <w:tab w:leader="none" w:pos="92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Amendment; Governing Law; Jurisdiction</w:t>
      </w:r>
      <w:r>
        <w:rPr>
          <w:rFonts w:ascii="Arial" w:cs="Arial" w:eastAsia="Arial" w:hAnsi="Arial"/>
          <w:sz w:val="19"/>
          <w:szCs w:val="19"/>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88" w:name="page89"/>
    <w:bookmarkEnd w:id="88"/>
    <w:p>
      <w:pPr>
        <w:jc w:val="both"/>
        <w:ind w:left="920" w:hanging="912"/>
        <w:spacing w:after="0" w:line="253" w:lineRule="auto"/>
        <w:tabs>
          <w:tab w:leader="none" w:pos="92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Plains All American GP LLC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333 Clay Street, Suite 1600</w:t>
      </w:r>
    </w:p>
    <w:p>
      <w:pPr>
        <w:ind w:left="1960"/>
        <w:spacing w:after="0"/>
        <w:rPr>
          <w:sz w:val="20"/>
          <w:szCs w:val="20"/>
          <w:color w:val="auto"/>
        </w:rPr>
      </w:pPr>
      <w:r>
        <w:rPr>
          <w:rFonts w:ascii="Arial" w:cs="Arial" w:eastAsia="Arial" w:hAnsi="Arial"/>
          <w:sz w:val="20"/>
          <w:szCs w:val="20"/>
          <w:color w:val="auto"/>
        </w:rPr>
        <w:t>Houston, Texas 77002</w:t>
      </w:r>
    </w:p>
    <w:p>
      <w:pPr>
        <w:ind w:left="1960"/>
        <w:spacing w:after="0"/>
        <w:rPr>
          <w:sz w:val="20"/>
          <w:szCs w:val="20"/>
          <w:color w:val="auto"/>
        </w:rPr>
      </w:pPr>
      <w:r>
        <w:rPr>
          <w:rFonts w:ascii="Arial" w:cs="Arial" w:eastAsia="Arial" w:hAnsi="Arial"/>
          <w:sz w:val="20"/>
          <w:szCs w:val="20"/>
          <w:color w:val="auto"/>
        </w:rPr>
        <w:t>Attention: Jim Tillis, VP - Human Resources</w:t>
      </w:r>
    </w:p>
    <w:p>
      <w:pPr>
        <w:ind w:left="1960"/>
        <w:spacing w:after="0"/>
        <w:rPr>
          <w:sz w:val="20"/>
          <w:szCs w:val="20"/>
          <w:color w:val="auto"/>
        </w:rPr>
      </w:pPr>
      <w:r>
        <w:rPr>
          <w:rFonts w:ascii="Arial" w:cs="Arial" w:eastAsia="Arial" w:hAnsi="Arial"/>
          <w:sz w:val="20"/>
          <w:szCs w:val="20"/>
          <w:color w:val="auto"/>
        </w:rPr>
        <w:t>Telephone:</w:t>
      </w:r>
    </w:p>
    <w:p>
      <w:pPr>
        <w:ind w:left="1960"/>
        <w:spacing w:after="0"/>
        <w:rPr>
          <w:sz w:val="20"/>
          <w:szCs w:val="20"/>
          <w:color w:val="auto"/>
        </w:rPr>
      </w:pPr>
      <w:r>
        <w:rPr>
          <w:rFonts w:ascii="Arial" w:cs="Arial" w:eastAsia="Arial" w:hAnsi="Arial"/>
          <w:sz w:val="20"/>
          <w:szCs w:val="20"/>
          <w:color w:val="auto"/>
        </w:rPr>
        <w:t>Facsimile:</w:t>
      </w:r>
    </w:p>
    <w:p>
      <w:pPr>
        <w:ind w:left="1960"/>
        <w:spacing w:after="0"/>
        <w:rPr>
          <w:sz w:val="20"/>
          <w:szCs w:val="20"/>
          <w:color w:val="auto"/>
        </w:rPr>
      </w:pPr>
      <w:r>
        <w:rPr>
          <w:rFonts w:ascii="Arial" w:cs="Arial" w:eastAsia="Arial" w:hAnsi="Arial"/>
          <w:sz w:val="20"/>
          <w:szCs w:val="20"/>
          <w:color w:val="auto"/>
        </w:rPr>
        <w:t>E-mail:</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Plains All American GP LLC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333 Clay Street, Suite 1600</w:t>
      </w:r>
    </w:p>
    <w:p>
      <w:pPr>
        <w:ind w:left="1960"/>
        <w:spacing w:after="0"/>
        <w:rPr>
          <w:sz w:val="20"/>
          <w:szCs w:val="20"/>
          <w:color w:val="auto"/>
        </w:rPr>
      </w:pPr>
      <w:r>
        <w:rPr>
          <w:rFonts w:ascii="Arial" w:cs="Arial" w:eastAsia="Arial" w:hAnsi="Arial"/>
          <w:sz w:val="20"/>
          <w:szCs w:val="20"/>
          <w:color w:val="auto"/>
        </w:rPr>
        <w:t>Houston, Texas 77002</w:t>
      </w:r>
    </w:p>
    <w:p>
      <w:pPr>
        <w:ind w:left="1960"/>
        <w:spacing w:after="0"/>
        <w:rPr>
          <w:sz w:val="20"/>
          <w:szCs w:val="20"/>
          <w:color w:val="auto"/>
        </w:rPr>
      </w:pPr>
      <w:r>
        <w:rPr>
          <w:rFonts w:ascii="Arial" w:cs="Arial" w:eastAsia="Arial" w:hAnsi="Arial"/>
          <w:sz w:val="20"/>
          <w:szCs w:val="20"/>
          <w:color w:val="auto"/>
        </w:rPr>
        <w:t>Attention: Richard K. McGee, General Counsel</w:t>
      </w:r>
    </w:p>
    <w:p>
      <w:pPr>
        <w:ind w:left="1960"/>
        <w:spacing w:after="0"/>
        <w:rPr>
          <w:sz w:val="20"/>
          <w:szCs w:val="20"/>
          <w:color w:val="auto"/>
        </w:rPr>
      </w:pPr>
      <w:r>
        <w:rPr>
          <w:rFonts w:ascii="Arial" w:cs="Arial" w:eastAsia="Arial" w:hAnsi="Arial"/>
          <w:sz w:val="20"/>
          <w:szCs w:val="20"/>
          <w:color w:val="auto"/>
        </w:rPr>
        <w:t>Telephone:</w:t>
      </w:r>
    </w:p>
    <w:p>
      <w:pPr>
        <w:ind w:left="1960"/>
        <w:spacing w:after="0"/>
        <w:rPr>
          <w:sz w:val="20"/>
          <w:szCs w:val="20"/>
          <w:color w:val="auto"/>
        </w:rPr>
      </w:pPr>
      <w:r>
        <w:rPr>
          <w:rFonts w:ascii="Arial" w:cs="Arial" w:eastAsia="Arial" w:hAnsi="Arial"/>
          <w:sz w:val="20"/>
          <w:szCs w:val="20"/>
          <w:color w:val="auto"/>
        </w:rPr>
        <w:t>E-mail:</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Employee:</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John vonBerg</w:t>
      </w:r>
    </w:p>
    <w:p>
      <w:pPr>
        <w:spacing w:after="0" w:line="200" w:lineRule="exact"/>
        <w:rPr>
          <w:sz w:val="20"/>
          <w:szCs w:val="20"/>
          <w:color w:val="auto"/>
        </w:rPr>
      </w:pPr>
    </w:p>
    <w:p>
      <w:pPr>
        <w:spacing w:after="0" w:line="281" w:lineRule="exact"/>
        <w:rPr>
          <w:sz w:val="20"/>
          <w:szCs w:val="20"/>
          <w:color w:val="auto"/>
        </w:rPr>
      </w:pPr>
    </w:p>
    <w:p>
      <w:pPr>
        <w:ind w:left="920" w:hanging="912"/>
        <w:spacing w:after="0" w:line="263" w:lineRule="auto"/>
        <w:tabs>
          <w:tab w:leader="none" w:pos="9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begin on the following page.]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4" w:right="239" w:bottom="1440" w:gutter="0" w:footer="0" w:header="0"/>
        </w:sectPr>
      </w:pPr>
    </w:p>
    <w:bookmarkStart w:id="89" w:name="page90"/>
    <w:bookmarkEnd w:id="89"/>
    <w:p>
      <w:pPr>
        <w:spacing w:after="0"/>
        <w:rPr>
          <w:sz w:val="20"/>
          <w:szCs w:val="20"/>
          <w:color w:val="auto"/>
        </w:rPr>
      </w:pPr>
      <w:r>
        <w:rPr>
          <w:rFonts w:ascii="Arial" w:cs="Arial" w:eastAsia="Arial" w:hAnsi="Arial"/>
          <w:sz w:val="21"/>
          <w:szCs w:val="21"/>
          <w:color w:val="auto"/>
        </w:rPr>
        <w:t>IN WITNESS WHEREOF,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John von Berg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PLAINS ALL AMERICAN GP LLC</w:t>
      </w:r>
    </w:p>
    <w:p>
      <w:pPr>
        <w:spacing w:after="0" w:line="200" w:lineRule="exact"/>
        <w:rPr>
          <w:sz w:val="20"/>
          <w:szCs w:val="20"/>
          <w:color w:val="auto"/>
        </w:rPr>
      </w:pPr>
    </w:p>
    <w:p>
      <w:pPr>
        <w:spacing w:after="0" w:line="317"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w:t>
      </w:r>
    </w:p>
    <w:p>
      <w:pPr>
        <w:spacing w:after="0" w:line="22" w:lineRule="exact"/>
        <w:rPr>
          <w:sz w:val="20"/>
          <w:szCs w:val="20"/>
          <w:color w:val="auto"/>
        </w:rPr>
      </w:pPr>
    </w:p>
    <w:p>
      <w:pPr>
        <w:jc w:val="right"/>
        <w:ind w:right="579"/>
        <w:spacing w:after="0"/>
        <w:rPr>
          <w:sz w:val="20"/>
          <w:szCs w:val="20"/>
          <w:color w:val="auto"/>
        </w:rPr>
      </w:pPr>
      <w:r>
        <w:rPr>
          <w:rFonts w:ascii="Arial" w:cs="Arial" w:eastAsia="Arial" w:hAnsi="Arial"/>
          <w:sz w:val="22"/>
          <w:szCs w:val="22"/>
          <w:color w:val="auto"/>
        </w:rPr>
        <w:t>Harry N. Pefanis</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President and Chief Commercial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559"/>
          </w:cols>
          <w:pgMar w:left="900" w:top="631"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7, 2018</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7,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o"/>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emdash "/>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4"/>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90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4"/>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3"/>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lowerRoman"/>
      <w:start w:val="2"/>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decimal"/>
      <w:start w:val="1"/>
    </w:lvl>
    <w:lvl w:ilvl="1">
      <w:lvlJc w:val="left"/>
      <w:lvlText w:val="(%2)"/>
      <w:numFmt w:val="lowerLetter"/>
      <w:start w:val="1"/>
    </w:lvl>
  </w:abstractNum>
  <w:abstractNum w:abstractNumId="54">
    <w:nsid w:val="168E121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5">
    <w:nsid w:val="1EBA5D2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6">
    <w:nsid w:val="661E3F1E"/>
    <w:multiLevelType w:val="hybridMultilevel"/>
    <w:lvl w:ilvl="0">
      <w:lvlJc w:val="left"/>
      <w:lvlText w:val="%1"/>
      <w:numFmt w:val="decimal"/>
      <w:start w:val="1"/>
    </w:lvl>
    <w:lvl w:ilvl="1">
      <w:lvlJc w:val="left"/>
      <w:lvlText w:val="(%2)"/>
      <w:numFmt w:val="lowerLetter"/>
      <w:start w:val="3"/>
    </w:lvl>
  </w:abstractNum>
  <w:abstractNum w:abstractNumId="57">
    <w:nsid w:val="5DC79EA8"/>
    <w:multiLevelType w:val="hybridMultilevel"/>
    <w:lvl w:ilvl="0">
      <w:lvlJc w:val="left"/>
      <w:lvlText w:val="%1."/>
      <w:numFmt w:val="decimal"/>
      <w:start w:val="4"/>
    </w:lvl>
    <w:lvl w:ilvl="1">
      <w:lvlJc w:val="left"/>
      <w:lvlText w:val="%2"/>
      <w:numFmt w:val="lowerLetter"/>
      <w:start w:val="1"/>
    </w:lvl>
  </w:abstractNum>
  <w:abstractNum w:abstractNumId="58">
    <w:nsid w:val="540A471C"/>
    <w:multiLevelType w:val="hybridMultilevel"/>
    <w:lvl w:ilvl="0">
      <w:lvlJc w:val="left"/>
      <w:lvlText w:val="%1."/>
      <w:numFmt w:val="decimal"/>
      <w:start w:val="7"/>
    </w:lvl>
  </w:abstractNum>
  <w:abstractNum w:abstractNumId="59">
    <w:nsid w:val="7BD3EE7B"/>
    <w:multiLevelType w:val="hybridMultilevel"/>
    <w:lvl w:ilvl="0">
      <w:lvlJc w:val="left"/>
      <w:lvlText w:val="%1."/>
      <w:numFmt w:val="decimal"/>
      <w:start w:val="10"/>
    </w:lvl>
  </w:abstractNum>
  <w:abstractNum w:abstractNumId="60">
    <w:nsid w:val="51D9C564"/>
    <w:multiLevelType w:val="hybridMultilevel"/>
    <w:lvl w:ilvl="0">
      <w:lvlJc w:val="left"/>
      <w:lvlText w:val="%1."/>
      <w:numFmt w:val="decimal"/>
      <w:start w:val="13"/>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lowerLetter"/>
      <w:start w:val="2"/>
    </w:lvl>
  </w:abstractNum>
  <w:abstractNum w:abstractNumId="63">
    <w:nsid w:val="11447B73"/>
    <w:multiLevelType w:val="hybridMultilevel"/>
    <w:lvl w:ilvl="0">
      <w:lvlJc w:val="left"/>
      <w:lvlText w:val="%1."/>
      <w:numFmt w:val="decimal"/>
      <w:start w:val="2"/>
    </w:lvl>
    <w:lvl w:ilvl="1">
      <w:lvlJc w:val="left"/>
      <w:lvlText w:val="%2."/>
      <w:numFmt w:val="lowerLetter"/>
      <w:start w:val="1"/>
    </w:lvl>
  </w:abstractNum>
  <w:abstractNum w:abstractNumId="64">
    <w:nsid w:val="42963E5A"/>
    <w:multiLevelType w:val="hybridMultilevel"/>
    <w:lvl w:ilvl="0">
      <w:lvlJc w:val="left"/>
      <w:lvlText w:val="%1."/>
      <w:numFmt w:val="decimal"/>
      <w:start w:val="3"/>
    </w:lvl>
    <w:lvl w:ilvl="1">
      <w:lvlJc w:val="left"/>
      <w:lvlText w:val="%2."/>
      <w:numFmt w:val="lowerLetter"/>
      <w:start w:val="1"/>
    </w:lvl>
  </w:abstractNum>
  <w:abstractNum w:abstractNumId="65">
    <w:nsid w:val="A0382C5"/>
    <w:multiLevelType w:val="hybridMultilevel"/>
    <w:lvl w:ilvl="0">
      <w:lvlJc w:val="left"/>
      <w:lvlText w:val="%1"/>
      <w:numFmt w:val="decimal"/>
      <w:start w:val="1"/>
    </w:lvl>
    <w:lvl w:ilvl="1">
      <w:lvlJc w:val="left"/>
      <w:lvlText w:val="%2."/>
      <w:numFmt w:val="lowerLetter"/>
      <w:start w:val="3"/>
    </w:lvl>
  </w:abstractNum>
  <w:abstractNum w:abstractNumId="66">
    <w:nsid w:val="8F2B15E"/>
    <w:multiLevelType w:val="hybridMultilevel"/>
    <w:lvl w:ilvl="0">
      <w:lvlJc w:val="left"/>
      <w:lvlText w:val="%1."/>
      <w:numFmt w:val="decimal"/>
      <w:start w:val="11"/>
    </w:lvl>
    <w:lvl w:ilvl="1">
      <w:lvlJc w:val="left"/>
      <w:lvlText w:val="%2"/>
      <w:numFmt w:val="lowerLetter"/>
      <w:start w:val="1"/>
    </w:lvl>
  </w:abstractNum>
  <w:abstractNum w:abstractNumId="67">
    <w:nsid w:val="1A32234B"/>
    <w:multiLevelType w:val="hybridMultilevel"/>
    <w:lvl w:ilvl="0">
      <w:lvlJc w:val="left"/>
      <w:lvlText w:val="%1."/>
      <w:numFmt w:val="decimal"/>
      <w:start w:val="2"/>
    </w:lvl>
  </w:abstractNum>
  <w:abstractNum w:abstractNumId="68">
    <w:nsid w:val="3B0FD379"/>
    <w:multiLevelType w:val="hybridMultilevel"/>
    <w:lvl w:ilvl="0">
      <w:lvlJc w:val="left"/>
      <w:lvlText w:val="%1."/>
      <w:numFmt w:val="decimal"/>
      <w:start w:val="3"/>
    </w:lvl>
  </w:abstractNum>
  <w:abstractNum w:abstractNumId="69">
    <w:nsid w:val="68EB2F63"/>
    <w:multiLevelType w:val="hybridMultilevel"/>
    <w:lvl w:ilvl="0">
      <w:lvlJc w:val="left"/>
      <w:lvlText w:val="%1."/>
      <w:numFmt w:val="decimal"/>
      <w:start w:val="7"/>
    </w:lvl>
  </w:abstractNum>
  <w:abstractNum w:abstractNumId="70">
    <w:nsid w:val="4962813B"/>
    <w:multiLevelType w:val="hybridMultilevel"/>
    <w:lvl w:ilvl="0">
      <w:lvlJc w:val="left"/>
      <w:lvlText w:val="(%1)"/>
      <w:numFmt w:val="lowerRoman"/>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decimal"/>
      <w:start w:val="1"/>
    </w:lvl>
    <w:lvl w:ilvl="1">
      <w:lvlJc w:val="left"/>
      <w:lvlText w:val="(%2)"/>
      <w:numFmt w:val="lowerLetter"/>
      <w:start w:val="1"/>
    </w:lvl>
  </w:abstractNum>
  <w:abstractNum w:abstractNumId="73">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4">
    <w:nsid w:val="7FFFCA1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75">
    <w:nsid w:val="1A27709E"/>
    <w:multiLevelType w:val="hybridMultilevel"/>
    <w:lvl w:ilvl="0">
      <w:lvlJc w:val="left"/>
      <w:lvlText w:val="%1."/>
      <w:numFmt w:val="decimal"/>
      <w:start w:val="5"/>
    </w:lvl>
    <w:lvl w:ilvl="1">
      <w:lvlJc w:val="left"/>
      <w:lvlText w:val="(%2)"/>
      <w:numFmt w:val="lowerLetter"/>
      <w:start w:val="1"/>
    </w:lvl>
  </w:abstractNum>
  <w:abstractNum w:abstractNumId="76">
    <w:nsid w:val="71EA1109"/>
    <w:multiLevelType w:val="hybridMultilevel"/>
    <w:lvl w:ilvl="0">
      <w:lvlJc w:val="left"/>
      <w:lvlText w:val="%1"/>
      <w:numFmt w:val="decimal"/>
      <w:start w:val="1"/>
    </w:lvl>
    <w:lvl w:ilvl="1">
      <w:lvlJc w:val="left"/>
      <w:lvlText w:val="(%2)"/>
      <w:numFmt w:val="lowerLetter"/>
      <w:start w:val="3"/>
    </w:lvl>
  </w:abstractNum>
  <w:abstractNum w:abstractNumId="77">
    <w:nsid w:val="100F59DC"/>
    <w:multiLevelType w:val="hybridMultilevel"/>
    <w:lvl w:ilvl="0">
      <w:lvlJc w:val="left"/>
      <w:lvlText w:val="%1."/>
      <w:numFmt w:val="decimal"/>
      <w:start w:val="6"/>
    </w:lvl>
    <w:lvl w:ilvl="1">
      <w:lvlJc w:val="left"/>
      <w:lvlText w:val="%2"/>
      <w:numFmt w:val="lowerLetter"/>
      <w:start w:val="1"/>
    </w:lvl>
  </w:abstractNum>
  <w:abstractNum w:abstractNumId="78">
    <w:nsid w:val="7FB7E0AA"/>
    <w:multiLevelType w:val="hybridMultilevel"/>
    <w:lvl w:ilvl="0">
      <w:lvlJc w:val="left"/>
      <w:lvlText w:val="%1."/>
      <w:numFmt w:val="decimal"/>
      <w:start w:val="8"/>
    </w:lvl>
  </w:abstractNum>
  <w:abstractNum w:abstractNumId="79">
    <w:nsid w:val="6EB5BD4"/>
    <w:multiLevelType w:val="hybridMultilevel"/>
    <w:lvl w:ilvl="0">
      <w:lvlJc w:val="left"/>
      <w:lvlText w:val="%1."/>
      <w:numFmt w:val="decimal"/>
      <w:start w:val="9"/>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decimal"/>
      <w:start w:val="5"/>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5"/>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lowerRoman"/>
      <w:start w:val="1"/>
    </w:lvl>
  </w:abstractNum>
  <w:abstractNum w:abstractNumId="89">
    <w:nsid w:val="68EBC55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jpe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45" Type="http://schemas.openxmlformats.org/officeDocument/2006/relationships/hyperlink" Target="http://www.sec.gov/Archives/edgar/data/1581990/000104746913007875/a2216069zex-3_1.htm" TargetMode="External"/><Relationship Id="rId46" Type="http://schemas.openxmlformats.org/officeDocument/2006/relationships/hyperlink" Target="http://www.sec.gov/Archives/edgar/data/1581990/000110465916158356/a16-21845_1ex3d2.htm" TargetMode="External"/><Relationship Id="rId47" Type="http://schemas.openxmlformats.org/officeDocument/2006/relationships/hyperlink" Target="http://www.sec.gov/Archives/edgar/data/1581990/000104746913007875/a2216069zex-3_3.htm" TargetMode="External"/><Relationship Id="rId48" Type="http://schemas.openxmlformats.org/officeDocument/2006/relationships/hyperlink" Target="http://www.sec.gov/Archives/edgar/data/1581990/000110465917010602/a17-6893_1ex3d1.htm" TargetMode="External"/><Relationship Id="rId49" Type="http://schemas.openxmlformats.org/officeDocument/2006/relationships/hyperlink" Target="http://www.sec.gov/Archives/edgar/data/1581990/000110465918052852/a18-18386_2ex3d1.htm" TargetMode="External"/><Relationship Id="rId50" Type="http://schemas.openxmlformats.org/officeDocument/2006/relationships/hyperlink" Target="http://www.sec.gov/Archives/edgar/data/1070423/000110465917061889/a17-22685_5ex3d1.htm" TargetMode="External"/><Relationship Id="rId51" Type="http://schemas.openxmlformats.org/officeDocument/2006/relationships/hyperlink" Target="http://www.sec.gov/Archives/edgar/data/1581990/000110465916158356/a16-21845_1ex3d3.htm" TargetMode="External"/><Relationship Id="rId52" Type="http://schemas.openxmlformats.org/officeDocument/2006/relationships/hyperlink" Target="http://www.sec.gov/Archives/edgar/data/1581990/000110465916158356/a16-21845_1ex3d4.htm" TargetMode="External"/><Relationship Id="rId53" Type="http://schemas.openxmlformats.org/officeDocument/2006/relationships/hyperlink" Target="http://www.sec.gov/Archives/edgar/data/1581990/000110465918060012/a18-36197_1ex3d1.htm" TargetMode="External"/><Relationship Id="rId54" Type="http://schemas.openxmlformats.org/officeDocument/2006/relationships/hyperlink" Target="http://www.sec.gov/Archives/edgar/data/1070423/000095012908000071/h52770exv3w3.htm" TargetMode="External"/><Relationship Id="rId55" Type="http://schemas.openxmlformats.org/officeDocument/2006/relationships/hyperlink" Target="http://www.sec.gov/Archives/edgar/data/1070423/000089924302002834/dex41.txt" TargetMode="External"/><Relationship Id="rId56" Type="http://schemas.openxmlformats.org/officeDocument/2006/relationships/hyperlink" Target="http://www.sec.gov/Archives/edgar/data/1070423/000110465906034368/a06-11663_1ex4d1.htm" TargetMode="External"/><Relationship Id="rId57" Type="http://schemas.openxmlformats.org/officeDocument/2006/relationships/hyperlink" Target="http://www.sec.gov/Archives/edgar/data/1070423/000095012906009235/h40667exv4w2.htm" TargetMode="External"/><Relationship Id="rId58" Type="http://schemas.openxmlformats.org/officeDocument/2006/relationships/hyperlink" Target="http://www.sec.gov/Archives/edgar/data/1070423/000095012309041075/h67912exv4w1.htm" TargetMode="External"/><Relationship Id="rId59" Type="http://schemas.openxmlformats.org/officeDocument/2006/relationships/hyperlink" Target="http://www.sec.gov/Archives/edgar/data/1070423/000095012311002051/h78739exv4w1.htm" TargetMode="External"/><Relationship Id="rId60" Type="http://schemas.openxmlformats.org/officeDocument/2006/relationships/hyperlink" Target="http://www.sec.gov/Archives/edgar/data/1070423/000119312512132295/d321017dex41.htm" TargetMode="External"/><Relationship Id="rId61" Type="http://schemas.openxmlformats.org/officeDocument/2006/relationships/hyperlink" Target="http://www.sec.gov/Archives/edgar/data/1070423/000119312512132295/d321017dex43.htm" TargetMode="External"/><Relationship Id="rId62" Type="http://schemas.openxmlformats.org/officeDocument/2006/relationships/hyperlink" Target="http://www.sec.gov/Archives/edgar/data/1070423/000119312512499932/d453762dex41.htm" TargetMode="External"/><Relationship Id="rId63" Type="http://schemas.openxmlformats.org/officeDocument/2006/relationships/hyperlink" Target="http://www.sec.gov/Archives/edgar/data/1070423/000119312512499932/d453762dex43.htm" TargetMode="External"/><Relationship Id="rId64" Type="http://schemas.openxmlformats.org/officeDocument/2006/relationships/hyperlink" Target="http://www.sec.gov/Archives/edgar/data/1070423/000119312513336066/d581734dex41.htm" TargetMode="External"/><Relationship Id="rId65" Type="http://schemas.openxmlformats.org/officeDocument/2006/relationships/hyperlink" Target="http://www.sec.gov/Archives/edgar/data/1581990/000119312514164185/d717953dex41.htm" TargetMode="External"/><Relationship Id="rId66" Type="http://schemas.openxmlformats.org/officeDocument/2006/relationships/hyperlink" Target="http://www.sec.gov/Archives/edgar/data/1581990/000119312514338295/d787197dex41.htm" TargetMode="External"/><Relationship Id="rId67" Type="http://schemas.openxmlformats.org/officeDocument/2006/relationships/hyperlink" Target="http://www.sec.gov/Archives/edgar/data/1581990/000119312514440012/d835488dex41.htm" TargetMode="External"/><Relationship Id="rId68" Type="http://schemas.openxmlformats.org/officeDocument/2006/relationships/hyperlink" Target="http://www.sec.gov/Archives/edgar/data/1581990/000119312514440012/d835488dex43.htm" TargetMode="External"/><Relationship Id="rId69" Type="http://schemas.openxmlformats.org/officeDocument/2006/relationships/hyperlink" Target="http://www.sec.gov/Archives/edgar/data/1070423/000119312515302829/d45393dex41.htm" TargetMode="External"/><Relationship Id="rId70" Type="http://schemas.openxmlformats.org/officeDocument/2006/relationships/hyperlink" Target="http://www.sec.gov/Archives/edgar/data/1070423/000110465916159593/a16-22232_1ex4d1.htm" TargetMode="External"/><Relationship Id="rId71" Type="http://schemas.openxmlformats.org/officeDocument/2006/relationships/hyperlink" Target="http://www.sec.gov/Archives/edgar/data/1581990/000110465913078057/a13-22338_2ex4d1.htm" TargetMode="External"/><Relationship Id="rId72" Type="http://schemas.openxmlformats.org/officeDocument/2006/relationships/hyperlink" Target="http://www.sec.gov/Archives/edgar/data/1581990/000158199018000008/pagpq12018exhibit101.htm" TargetMode="External"/><Relationship Id="rId73" Type="http://schemas.openxmlformats.org/officeDocument/2006/relationships/hyperlink" Target="http://www.sec.gov/Archives/edgar/data/1581990/000158199018000008/pagpq12018exhibit102.htm" TargetMode="External"/><Relationship Id="rId74" Type="http://schemas.openxmlformats.org/officeDocument/2006/relationships/hyperlink" Target="http://www.sec.gov/Archives/edgar/data/1581990/000158199018000008/pagpq12018exhibit103.htm" TargetMode="External"/><Relationship Id="rId75" Type="http://schemas.openxmlformats.org/officeDocument/2006/relationships/hyperlink" Target="http://www.sec.gov/Archives/edgar/data/1581990/000158199018000008/pagpq12018exhibit104.htm" TargetMode="External"/><Relationship Id="rId76" Type="http://schemas.openxmlformats.org/officeDocument/2006/relationships/hyperlink" Target="http://www.sec.gov/Archives/edgar/data/1581990/000158199018000008/pagpq12018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2020-01-10T22:18:54Z</dcterms:created>
  <dcterms:modified xsi:type="dcterms:W3CDTF">2020-01-10T22:18:54Z</dcterms:modified>
</cp:coreProperties>
</file>