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207645</wp:posOffset>
            </wp:positionH>
            <wp:positionV relativeFrom="page">
              <wp:posOffset>309245</wp:posOffset>
            </wp:positionV>
            <wp:extent cx="7134225"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4225" cy="25400"/>
                    </a:xfrm>
                    <a:prstGeom prst="rect">
                      <a:avLst/>
                    </a:prstGeom>
                    <a:noFill/>
                  </pic:spPr>
                </pic:pic>
              </a:graphicData>
            </a:graphic>
          </wp:anchor>
        </w:drawing>
        <w:drawing>
          <wp:anchor simplePos="0" relativeHeight="251657728" behindDoc="1" locked="0" layoutInCell="0" allowOverlap="1">
            <wp:simplePos x="0" y="0"/>
            <wp:positionH relativeFrom="page">
              <wp:posOffset>207645</wp:posOffset>
            </wp:positionH>
            <wp:positionV relativeFrom="page">
              <wp:posOffset>342900</wp:posOffset>
            </wp:positionV>
            <wp:extent cx="713422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4225" cy="8255"/>
                    </a:xfrm>
                    <a:prstGeom prst="rect">
                      <a:avLst/>
                    </a:prstGeom>
                    <a:noFill/>
                  </pic:spPr>
                </pic:pic>
              </a:graphicData>
            </a:graphic>
          </wp:anchor>
        </w:drawing>
        <w:t>UNITED STATES</w:t>
      </w:r>
    </w:p>
    <w:p>
      <w:pPr>
        <w:spacing w:after="0" w:line="3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7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19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 </w:t>
      </w:r>
      <w:r>
        <w:rPr>
          <w:rFonts w:ascii="Times New Roman" w:cs="Times New Roman" w:eastAsia="Times New Roman" w:hAnsi="Times New Roman"/>
          <w:sz w:val="18"/>
          <w:szCs w:val="18"/>
          <w:b w:val="1"/>
          <w:bCs w:val="1"/>
          <w:color w:val="auto"/>
        </w:rPr>
        <w:t>November 30, 2020</w:t>
      </w:r>
    </w:p>
    <w:p>
      <w:pPr>
        <w:spacing w:after="0" w:line="19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Plains All American Pipeline, L.P.</w:t>
      </w:r>
    </w:p>
    <w:p>
      <w:pPr>
        <w:spacing w:after="0" w:line="4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838" w:orient="portrait"/>
          <w:cols w:equalWidth="0" w:num="1">
            <w:col w:w="11240"/>
          </w:cols>
          <w:pgMar w:left="320" w:top="746" w:right="339" w:bottom="1440" w:gutter="0" w:footer="0" w:header="0"/>
        </w:sectPr>
      </w:pPr>
    </w:p>
    <w:p>
      <w:pPr>
        <w:spacing w:after="0" w:line="196" w:lineRule="exact"/>
        <w:rPr>
          <w:sz w:val="24"/>
          <w:szCs w:val="24"/>
          <w:color w:val="auto"/>
        </w:rPr>
      </w:pPr>
    </w:p>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29" w:lineRule="exact"/>
        <w:rPr>
          <w:sz w:val="24"/>
          <w:szCs w:val="24"/>
          <w:color w:val="auto"/>
        </w:rPr>
      </w:pPr>
    </w:p>
    <w:p>
      <w:pPr>
        <w:jc w:val="center"/>
        <w:ind w:right="240"/>
        <w:spacing w:after="0"/>
        <w:rPr>
          <w:sz w:val="20"/>
          <w:szCs w:val="20"/>
          <w:color w:val="auto"/>
        </w:rPr>
      </w:pPr>
      <w:r>
        <w:rPr>
          <w:rFonts w:ascii="Times New Roman" w:cs="Times New Roman" w:eastAsia="Times New Roman" w:hAnsi="Times New Roman"/>
          <w:sz w:val="17"/>
          <w:szCs w:val="17"/>
          <w:color w:val="auto"/>
        </w:rPr>
        <w:t>(State or other jurisdiction of</w:t>
      </w:r>
    </w:p>
    <w:p>
      <w:pPr>
        <w:spacing w:after="0" w:line="20" w:lineRule="exact"/>
        <w:rPr>
          <w:sz w:val="24"/>
          <w:szCs w:val="24"/>
          <w:color w:val="auto"/>
        </w:rPr>
      </w:pPr>
      <w:r>
        <w:rPr>
          <w:sz w:val="24"/>
          <w:szCs w:val="24"/>
          <w:color w:val="auto"/>
        </w:rPr>
        <w:br w:type="column"/>
      </w:r>
    </w:p>
    <w:p>
      <w:pPr>
        <w:spacing w:after="0" w:line="176" w:lineRule="exact"/>
        <w:rPr>
          <w:sz w:val="24"/>
          <w:szCs w:val="24"/>
          <w:color w:val="auto"/>
        </w:rPr>
      </w:pPr>
    </w:p>
    <w:p>
      <w:pPr>
        <w:jc w:val="center"/>
        <w:ind w:right="760"/>
        <w:spacing w:after="0"/>
        <w:rPr>
          <w:sz w:val="20"/>
          <w:szCs w:val="20"/>
          <w:color w:val="auto"/>
        </w:rPr>
      </w:pPr>
      <w:r>
        <w:rPr>
          <w:rFonts w:ascii="Times New Roman" w:cs="Times New Roman" w:eastAsia="Times New Roman" w:hAnsi="Times New Roman"/>
          <w:sz w:val="18"/>
          <w:szCs w:val="18"/>
          <w:b w:val="1"/>
          <w:bCs w:val="1"/>
          <w:color w:val="auto"/>
        </w:rPr>
        <w:t>1-14569</w:t>
      </w:r>
    </w:p>
    <w:p>
      <w:pPr>
        <w:spacing w:after="0" w:line="29" w:lineRule="exact"/>
        <w:rPr>
          <w:sz w:val="24"/>
          <w:szCs w:val="24"/>
          <w:color w:val="auto"/>
        </w:rPr>
      </w:pPr>
    </w:p>
    <w:p>
      <w:pPr>
        <w:jc w:val="center"/>
        <w:ind w:right="760"/>
        <w:spacing w:after="0"/>
        <w:rPr>
          <w:sz w:val="20"/>
          <w:szCs w:val="20"/>
          <w:color w:val="auto"/>
        </w:rPr>
      </w:pPr>
      <w:r>
        <w:rPr>
          <w:rFonts w:ascii="Times New Roman" w:cs="Times New Roman" w:eastAsia="Times New Roman" w:hAnsi="Times New Roman"/>
          <w:sz w:val="17"/>
          <w:szCs w:val="17"/>
          <w:color w:val="auto"/>
        </w:rPr>
        <w:t>(Commission File Number)</w:t>
      </w:r>
    </w:p>
    <w:p>
      <w:pPr>
        <w:spacing w:after="0" w:line="20" w:lineRule="exact"/>
        <w:rPr>
          <w:sz w:val="24"/>
          <w:szCs w:val="24"/>
          <w:color w:val="auto"/>
        </w:rPr>
      </w:pPr>
      <w:r>
        <w:rPr>
          <w:sz w:val="24"/>
          <w:szCs w:val="24"/>
          <w:color w:val="auto"/>
        </w:rPr>
        <w:br w:type="column"/>
      </w:r>
    </w:p>
    <w:p>
      <w:pPr>
        <w:spacing w:after="0" w:line="176" w:lineRule="exact"/>
        <w:rPr>
          <w:sz w:val="24"/>
          <w:szCs w:val="24"/>
          <w:color w:val="auto"/>
        </w:rPr>
      </w:pPr>
    </w:p>
    <w:p>
      <w:pPr>
        <w:jc w:val="center"/>
        <w:ind w:right="560"/>
        <w:spacing w:after="0"/>
        <w:rPr>
          <w:sz w:val="20"/>
          <w:szCs w:val="20"/>
          <w:color w:val="auto"/>
        </w:rPr>
      </w:pPr>
      <w:r>
        <w:rPr>
          <w:rFonts w:ascii="Times New Roman" w:cs="Times New Roman" w:eastAsia="Times New Roman" w:hAnsi="Times New Roman"/>
          <w:sz w:val="18"/>
          <w:szCs w:val="18"/>
          <w:b w:val="1"/>
          <w:bCs w:val="1"/>
          <w:color w:val="auto"/>
        </w:rPr>
        <w:t>76-0582150</w:t>
      </w:r>
    </w:p>
    <w:p>
      <w:pPr>
        <w:spacing w:after="0" w:line="29" w:lineRule="exact"/>
        <w:rPr>
          <w:sz w:val="24"/>
          <w:szCs w:val="24"/>
          <w:color w:val="auto"/>
        </w:rPr>
      </w:pPr>
    </w:p>
    <w:p>
      <w:pPr>
        <w:jc w:val="center"/>
        <w:ind w:right="560"/>
        <w:spacing w:after="0"/>
        <w:rPr>
          <w:sz w:val="20"/>
          <w:szCs w:val="20"/>
          <w:color w:val="auto"/>
        </w:rPr>
      </w:pPr>
      <w:r>
        <w:rPr>
          <w:rFonts w:ascii="Times New Roman" w:cs="Times New Roman" w:eastAsia="Times New Roman" w:hAnsi="Times New Roman"/>
          <w:sz w:val="17"/>
          <w:szCs w:val="17"/>
          <w:color w:val="auto"/>
        </w:rPr>
        <w:t>(IRS Employer Identification No.)</w:t>
      </w:r>
    </w:p>
    <w:p>
      <w:pPr>
        <w:spacing w:after="0" w:line="18" w:lineRule="exact"/>
        <w:rPr>
          <w:sz w:val="24"/>
          <w:szCs w:val="24"/>
          <w:color w:val="auto"/>
        </w:rPr>
      </w:pPr>
    </w:p>
    <w:p>
      <w:pPr>
        <w:sectPr>
          <w:pgSz w:w="11900" w:h="16838" w:orient="portrait"/>
          <w:cols w:equalWidth="0" w:num="3">
            <w:col w:w="4040" w:space="720"/>
            <w:col w:w="2740" w:space="720"/>
            <w:col w:w="3020"/>
          </w:cols>
          <w:pgMar w:left="320" w:top="746" w:right="339" w:bottom="1440" w:gutter="0" w:footer="0" w:header="0"/>
          <w:type w:val="continuous"/>
        </w:sectPr>
      </w:pPr>
    </w:p>
    <w:p>
      <w:pPr>
        <w:ind w:left="1420"/>
        <w:spacing w:after="0"/>
        <w:rPr>
          <w:sz w:val="20"/>
          <w:szCs w:val="20"/>
          <w:color w:val="auto"/>
        </w:rPr>
      </w:pPr>
      <w:r>
        <w:rPr>
          <w:rFonts w:ascii="Times New Roman" w:cs="Times New Roman" w:eastAsia="Times New Roman" w:hAnsi="Times New Roman"/>
          <w:sz w:val="18"/>
          <w:szCs w:val="18"/>
          <w:color w:val="auto"/>
        </w:rPr>
        <w:t>incorporation)</w:t>
      </w:r>
    </w:p>
    <w:p>
      <w:pPr>
        <w:spacing w:after="0" w:line="197" w:lineRule="exact"/>
        <w:rPr>
          <w:sz w:val="24"/>
          <w:szCs w:val="24"/>
          <w:color w:val="auto"/>
        </w:rPr>
      </w:pPr>
    </w:p>
    <w:p>
      <w:pPr>
        <w:ind w:left="3740"/>
        <w:spacing w:after="0"/>
        <w:rPr>
          <w:sz w:val="20"/>
          <w:szCs w:val="20"/>
          <w:color w:val="auto"/>
        </w:rPr>
      </w:pPr>
      <w:r>
        <w:rPr>
          <w:rFonts w:ascii="Times New Roman" w:cs="Times New Roman" w:eastAsia="Times New Roman" w:hAnsi="Times New Roman"/>
          <w:sz w:val="17"/>
          <w:szCs w:val="17"/>
          <w:b w:val="1"/>
          <w:bCs w:val="1"/>
          <w:color w:val="auto"/>
        </w:rPr>
        <w:t>333 Clay Street, Suite 1600, Houston, Texas 77002</w:t>
      </w:r>
    </w:p>
    <w:p>
      <w:pPr>
        <w:spacing w:after="0" w:line="41" w:lineRule="exact"/>
        <w:rPr>
          <w:sz w:val="24"/>
          <w:szCs w:val="24"/>
          <w:color w:val="auto"/>
        </w:rPr>
      </w:pPr>
    </w:p>
    <w:p>
      <w:pPr>
        <w:ind w:left="3800"/>
        <w:spacing w:after="0"/>
        <w:rPr>
          <w:sz w:val="20"/>
          <w:szCs w:val="20"/>
          <w:color w:val="auto"/>
        </w:rPr>
      </w:pPr>
      <w:r>
        <w:rPr>
          <w:rFonts w:ascii="Times New Roman" w:cs="Times New Roman" w:eastAsia="Times New Roman" w:hAnsi="Times New Roman"/>
          <w:sz w:val="18"/>
          <w:szCs w:val="18"/>
          <w:color w:val="auto"/>
        </w:rPr>
        <w:t>(Address of principal executive offices) (Zip Code)</w:t>
      </w:r>
    </w:p>
    <w:p>
      <w:pPr>
        <w:spacing w:after="0" w:line="19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713-646-4100</w:t>
      </w:r>
    </w:p>
    <w:p>
      <w:pPr>
        <w:spacing w:after="0" w:line="2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(Registrant’s telephone number, including area code)</w:t>
      </w:r>
    </w:p>
    <w:p>
      <w:pPr>
        <w:sectPr>
          <w:pgSz w:w="11900" w:h="16838" w:orient="portrait"/>
          <w:cols w:equalWidth="0" w:num="1">
            <w:col w:w="11240"/>
          </w:cols>
          <w:pgMar w:left="320" w:top="746" w:right="339" w:bottom="1440" w:gutter="0" w:footer="0" w:header="0"/>
          <w:type w:val="continuous"/>
        </w:sectPr>
      </w:pPr>
    </w:p>
    <w:p>
      <w:pPr>
        <w:spacing w:after="0" w:line="200" w:lineRule="exact"/>
        <w:rPr>
          <w:sz w:val="24"/>
          <w:szCs w:val="24"/>
          <w:color w:val="auto"/>
        </w:rPr>
      </w:pPr>
    </w:p>
    <w:p>
      <w:pPr>
        <w:spacing w:after="0" w:line="22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20" w:lineRule="exact"/>
        <w:rPr>
          <w:sz w:val="24"/>
          <w:szCs w:val="24"/>
          <w:color w:val="auto"/>
        </w:rPr>
      </w:pPr>
    </w:p>
    <w:p>
      <w:pPr>
        <w:ind w:right="80"/>
        <w:spacing w:after="0" w:line="277"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3" w:lineRule="exact"/>
        <w:rPr>
          <w:sz w:val="24"/>
          <w:szCs w:val="24"/>
          <w:color w:val="auto"/>
        </w:rPr>
      </w:pPr>
    </w:p>
    <w:p>
      <w:pPr>
        <w:ind w:left="380" w:hanging="373"/>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19" w:lineRule="exact"/>
        <w:rPr>
          <w:rFonts w:ascii="MS PGothic" w:cs="MS PGothic" w:eastAsia="MS PGothic" w:hAnsi="MS PGothic"/>
          <w:sz w:val="18"/>
          <w:szCs w:val="18"/>
          <w:color w:val="auto"/>
        </w:rPr>
      </w:pPr>
    </w:p>
    <w:p>
      <w:pPr>
        <w:ind w:left="380" w:hanging="373"/>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19" w:lineRule="exact"/>
        <w:rPr>
          <w:rFonts w:ascii="MS PGothic" w:cs="MS PGothic" w:eastAsia="MS PGothic" w:hAnsi="MS PGothic"/>
          <w:sz w:val="18"/>
          <w:szCs w:val="18"/>
          <w:color w:val="auto"/>
        </w:rPr>
      </w:pPr>
    </w:p>
    <w:p>
      <w:pPr>
        <w:ind w:left="380" w:hanging="373"/>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19" w:lineRule="exact"/>
        <w:rPr>
          <w:rFonts w:ascii="MS PGothic" w:cs="MS PGothic" w:eastAsia="MS PGothic" w:hAnsi="MS PGothic"/>
          <w:sz w:val="18"/>
          <w:szCs w:val="18"/>
          <w:color w:val="auto"/>
        </w:rPr>
      </w:pPr>
    </w:p>
    <w:p>
      <w:pPr>
        <w:ind w:right="2900" w:firstLine="7"/>
        <w:spacing w:after="0" w:line="492" w:lineRule="auto"/>
        <w:tabs>
          <w:tab w:leader="none" w:pos="382"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36"/>
        </w:trPr>
        <w:tc>
          <w:tcPr>
            <w:tcW w:w="39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7"/>
              </w:rPr>
              <w:t>Title of each class</w:t>
            </w:r>
          </w:p>
        </w:tc>
        <w:tc>
          <w:tcPr>
            <w:tcW w:w="37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Trading Symbol(s)</w:t>
            </w:r>
          </w:p>
        </w:tc>
        <w:tc>
          <w:tcPr>
            <w:tcW w:w="35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Name of each exchange on which registered</w:t>
            </w:r>
          </w:p>
        </w:tc>
      </w:tr>
      <w:tr>
        <w:trPr>
          <w:trHeight w:val="226"/>
        </w:trPr>
        <w:tc>
          <w:tcPr>
            <w:tcW w:w="38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Common Units</w:t>
            </w:r>
          </w:p>
        </w:tc>
        <w:tc>
          <w:tcPr>
            <w:tcW w:w="120" w:type="dxa"/>
            <w:vAlign w:val="bottom"/>
          </w:tcPr>
          <w:p>
            <w:pPr>
              <w:spacing w:after="0"/>
              <w:rPr>
                <w:sz w:val="19"/>
                <w:szCs w:val="19"/>
                <w:color w:val="auto"/>
              </w:rPr>
            </w:pPr>
          </w:p>
        </w:tc>
        <w:tc>
          <w:tcPr>
            <w:tcW w:w="35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4"/>
              </w:rPr>
              <w:t>PAA</w:t>
            </w:r>
          </w:p>
        </w:tc>
        <w:tc>
          <w:tcPr>
            <w:tcW w:w="120" w:type="dxa"/>
            <w:vAlign w:val="bottom"/>
          </w:tcPr>
          <w:p>
            <w:pPr>
              <w:spacing w:after="0"/>
              <w:rPr>
                <w:sz w:val="19"/>
                <w:szCs w:val="19"/>
                <w:color w:val="auto"/>
              </w:rPr>
            </w:pPr>
          </w:p>
        </w:tc>
        <w:tc>
          <w:tcPr>
            <w:tcW w:w="35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New York Stock Exchange</w:t>
            </w:r>
          </w:p>
        </w:tc>
      </w:tr>
    </w:tbl>
    <w:p>
      <w:pPr>
        <w:spacing w:after="0" w:line="176" w:lineRule="exact"/>
        <w:rPr>
          <w:sz w:val="24"/>
          <w:szCs w:val="24"/>
          <w:color w:val="auto"/>
        </w:rPr>
      </w:pPr>
    </w:p>
    <w:p>
      <w:pPr>
        <w:ind w:right="420"/>
        <w:spacing w:after="0" w:line="277"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or Rule 12b-2 of the Securities Exchange Act of 1934.</w:t>
      </w:r>
    </w:p>
    <w:p>
      <w:pPr>
        <w:spacing w:after="0" w:line="134"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49" w:lineRule="exact"/>
        <w:rPr>
          <w:sz w:val="24"/>
          <w:szCs w:val="24"/>
          <w:color w:val="auto"/>
        </w:rPr>
      </w:pPr>
    </w:p>
    <w:p>
      <w:pPr>
        <w:ind w:right="100"/>
        <w:spacing w:after="0" w:line="232"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125095</wp:posOffset>
            </wp:positionV>
            <wp:extent cx="713422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4225"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141605</wp:posOffset>
            </wp:positionV>
            <wp:extent cx="7134225" cy="25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4225" cy="2540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607695</wp:posOffset>
            </wp:positionV>
            <wp:extent cx="713422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746" w:right="339" w:bottom="1440" w:gutter="0" w:footer="0" w:header="0"/>
          <w:type w:val="continuous"/>
        </w:sectPr>
      </w:pPr>
    </w:p>
    <w:bookmarkStart w:id="1" w:name="page2"/>
    <w:bookmarkEnd w:id="1"/>
    <w:p>
      <w:pPr>
        <w:spacing w:after="0"/>
        <w:tabs>
          <w:tab w:leader="none" w:pos="1260" w:val="left"/>
        </w:tabs>
        <w:rPr>
          <w:sz w:val="20"/>
          <w:szCs w:val="20"/>
          <w:color w:val="auto"/>
        </w:rPr>
      </w:pPr>
      <w:r>
        <w:rPr>
          <w:rFonts w:ascii="Times New Roman" w:cs="Times New Roman" w:eastAsia="Times New Roman" w:hAnsi="Times New Roman"/>
          <w:sz w:val="18"/>
          <w:szCs w:val="18"/>
          <w:b w:val="1"/>
          <w:bCs w:val="1"/>
          <w:color w:val="auto"/>
        </w:rPr>
        <w:t>Item 3.01.</w:t>
      </w:r>
      <w:r>
        <w:rPr>
          <w:sz w:val="20"/>
          <w:szCs w:val="20"/>
          <w:color w:val="auto"/>
        </w:rPr>
        <w:tab/>
      </w:r>
      <w:r>
        <w:rPr>
          <w:rFonts w:ascii="Times New Roman" w:cs="Times New Roman" w:eastAsia="Times New Roman" w:hAnsi="Times New Roman"/>
          <w:sz w:val="17"/>
          <w:szCs w:val="17"/>
          <w:b w:val="1"/>
          <w:bCs w:val="1"/>
          <w:color w:val="auto"/>
        </w:rPr>
        <w:t>Notice of Delisting or Failure to Satisfy a Continued Listing Rule or Standard; Transfer of Listing.</w:t>
      </w:r>
    </w:p>
    <w:p>
      <w:pPr>
        <w:spacing w:after="0" w:line="224" w:lineRule="exact"/>
        <w:rPr>
          <w:sz w:val="20"/>
          <w:szCs w:val="20"/>
          <w:color w:val="auto"/>
        </w:rPr>
      </w:pPr>
    </w:p>
    <w:p>
      <w:pPr>
        <w:jc w:val="both"/>
        <w:ind w:firstLine="640"/>
        <w:spacing w:after="0" w:line="257" w:lineRule="auto"/>
        <w:rPr>
          <w:sz w:val="20"/>
          <w:szCs w:val="20"/>
          <w:color w:val="auto"/>
        </w:rPr>
      </w:pPr>
      <w:r>
        <w:rPr>
          <w:rFonts w:ascii="Times New Roman" w:cs="Times New Roman" w:eastAsia="Times New Roman" w:hAnsi="Times New Roman"/>
          <w:sz w:val="18"/>
          <w:szCs w:val="18"/>
          <w:color w:val="auto"/>
        </w:rPr>
        <w:t>On November 30, 2020, Plains All American Pipeline, L.P. (“PAA”), acting pursuant to authorization from the Board of Directors of PAA GP Holdings LLC, determined to voluntarily withdraw the principal listing of PAA’s common units (the “Common Units”) from the New York Stock Exchange (the “NYSE”) and transfer the listing to The Nasdaq Global Select Market (“Nasdaq”). PAA expects that listing and trading of the Common Units on the NYSE will end at market close on December 11, 2020, and that trading will begin on Nasdaq at market open on December 14, 2020.</w:t>
      </w:r>
    </w:p>
    <w:p>
      <w:pPr>
        <w:spacing w:after="0" w:line="18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The Common Units have been approved for listing on Nasdaq, where they will continue to be traded under the ticker symbol “PAA”.</w:t>
      </w:r>
    </w:p>
    <w:p>
      <w:pPr>
        <w:spacing w:after="0" w:line="216" w:lineRule="exact"/>
        <w:rPr>
          <w:sz w:val="20"/>
          <w:szCs w:val="20"/>
          <w:color w:val="auto"/>
        </w:rPr>
      </w:pPr>
    </w:p>
    <w:p>
      <w:pPr>
        <w:spacing w:after="0"/>
        <w:tabs>
          <w:tab w:leader="none" w:pos="1260" w:val="left"/>
        </w:tabs>
        <w:rPr>
          <w:sz w:val="20"/>
          <w:szCs w:val="20"/>
          <w:color w:val="auto"/>
        </w:rPr>
      </w:pPr>
      <w:r>
        <w:rPr>
          <w:rFonts w:ascii="Times New Roman" w:cs="Times New Roman" w:eastAsia="Times New Roman" w:hAnsi="Times New Roman"/>
          <w:sz w:val="18"/>
          <w:szCs w:val="18"/>
          <w:b w:val="1"/>
          <w:bCs w:val="1"/>
          <w:color w:val="auto"/>
        </w:rPr>
        <w:t>Item 7.01</w:t>
      </w:r>
      <w:r>
        <w:rPr>
          <w:sz w:val="20"/>
          <w:szCs w:val="20"/>
          <w:color w:val="auto"/>
        </w:rPr>
        <w:tab/>
      </w:r>
      <w:r>
        <w:rPr>
          <w:rFonts w:ascii="Times New Roman" w:cs="Times New Roman" w:eastAsia="Times New Roman" w:hAnsi="Times New Roman"/>
          <w:sz w:val="17"/>
          <w:szCs w:val="17"/>
          <w:b w:val="1"/>
          <w:bCs w:val="1"/>
          <w:color w:val="auto"/>
        </w:rPr>
        <w:t>Regulation FD Disclosure.</w:t>
      </w:r>
    </w:p>
    <w:p>
      <w:pPr>
        <w:spacing w:after="0" w:line="224" w:lineRule="exact"/>
        <w:rPr>
          <w:sz w:val="20"/>
          <w:szCs w:val="20"/>
          <w:color w:val="auto"/>
        </w:rPr>
      </w:pPr>
    </w:p>
    <w:p>
      <w:pPr>
        <w:jc w:val="both"/>
        <w:ind w:right="20" w:firstLine="640"/>
        <w:spacing w:after="0" w:line="262" w:lineRule="auto"/>
        <w:rPr>
          <w:sz w:val="20"/>
          <w:szCs w:val="20"/>
          <w:color w:val="auto"/>
        </w:rPr>
      </w:pPr>
      <w:r>
        <w:rPr>
          <w:rFonts w:ascii="Times New Roman" w:cs="Times New Roman" w:eastAsia="Times New Roman" w:hAnsi="Times New Roman"/>
          <w:sz w:val="18"/>
          <w:szCs w:val="18"/>
          <w:color w:val="auto"/>
        </w:rPr>
        <w:t>In accordance with General Instruction B.2 of Form 8-K, the information presented under this Item 7.01 shall not be deemed “filed” for the purpose of Section 18 of the Securities Exchange Act of 1934, as amended, or otherwise subject to the liabilities of that section, nor shall such information be deemed incorporated by reference into any filing under the Securities Act of 1933 or the Securities Exchange Act of 1934, each as amended.</w:t>
      </w:r>
    </w:p>
    <w:p>
      <w:pPr>
        <w:spacing w:after="0" w:line="176" w:lineRule="exact"/>
        <w:rPr>
          <w:sz w:val="20"/>
          <w:szCs w:val="20"/>
          <w:color w:val="auto"/>
        </w:rPr>
      </w:pPr>
    </w:p>
    <w:p>
      <w:pPr>
        <w:ind w:right="360" w:firstLine="640"/>
        <w:spacing w:after="0" w:line="277" w:lineRule="auto"/>
        <w:rPr>
          <w:sz w:val="20"/>
          <w:szCs w:val="20"/>
          <w:color w:val="auto"/>
        </w:rPr>
      </w:pPr>
      <w:r>
        <w:rPr>
          <w:rFonts w:ascii="Times New Roman" w:cs="Times New Roman" w:eastAsia="Times New Roman" w:hAnsi="Times New Roman"/>
          <w:sz w:val="18"/>
          <w:szCs w:val="18"/>
          <w:color w:val="auto"/>
        </w:rPr>
        <w:t>On December 1, 2020, the Registrant issued a press release announcing the transfer of its stock exchange listing to Nasdaq. A copy of the press release is furnished as Exhibit 99.1 hereto.</w:t>
      </w:r>
    </w:p>
    <w:p>
      <w:pPr>
        <w:spacing w:after="0" w:line="159" w:lineRule="exact"/>
        <w:rPr>
          <w:sz w:val="20"/>
          <w:szCs w:val="20"/>
          <w:color w:val="auto"/>
        </w:rPr>
      </w:pPr>
    </w:p>
    <w:p>
      <w:pPr>
        <w:spacing w:after="0"/>
        <w:tabs>
          <w:tab w:leader="none" w:pos="126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220" w:lineRule="exact"/>
        <w:rPr>
          <w:sz w:val="20"/>
          <w:szCs w:val="20"/>
          <w:color w:val="auto"/>
        </w:rPr>
      </w:pPr>
    </w:p>
    <w:p>
      <w:pPr>
        <w:ind w:left="1280" w:hanging="633"/>
        <w:spacing w:after="0"/>
        <w:tabs>
          <w:tab w:leader="none" w:pos="1280"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Exhibits</w:t>
      </w:r>
    </w:p>
    <w:p>
      <w:pPr>
        <w:spacing w:after="0" w:line="223" w:lineRule="exact"/>
        <w:rPr>
          <w:rFonts w:ascii="Times New Roman" w:cs="Times New Roman" w:eastAsia="Times New Roman" w:hAnsi="Times New Roman"/>
          <w:sz w:val="18"/>
          <w:szCs w:val="18"/>
          <w:b w:val="1"/>
          <w:bCs w:val="1"/>
          <w:color w:val="auto"/>
        </w:rPr>
      </w:pPr>
    </w:p>
    <w:p>
      <w:pPr>
        <w:ind w:left="1280"/>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Exhibit 99.1 — Press Release dated December 1, 2020.</w:t>
        </w:r>
      </w:hyperlink>
    </w:p>
    <w:p>
      <w:pPr>
        <w:spacing w:after="0" w:line="219" w:lineRule="exact"/>
        <w:rPr>
          <w:rFonts w:ascii="Times New Roman" w:cs="Times New Roman" w:eastAsia="Times New Roman" w:hAnsi="Times New Roman"/>
          <w:sz w:val="18"/>
          <w:szCs w:val="18"/>
          <w:u w:val="single" w:color="auto"/>
          <w:color w:val="0000EE"/>
        </w:rPr>
      </w:pPr>
    </w:p>
    <w:p>
      <w:pPr>
        <w:ind w:left="1280"/>
        <w:spacing w:after="0"/>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Exhibit 104 — Cover Page Interactive Data File (embedded within Inline XBRL document contained in Exhibit 101)</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918" w:right="339" w:bottom="1440" w:gutter="0" w:footer="0" w:header="0"/>
        </w:sectPr>
      </w:pPr>
    </w:p>
    <w:bookmarkStart w:id="2" w:name="page3"/>
    <w:bookmarkEnd w:id="2"/>
    <w:p>
      <w:pPr>
        <w:jc w:val="center"/>
        <w:ind w:right="-4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4" w:lineRule="exact"/>
        <w:rPr>
          <w:sz w:val="20"/>
          <w:szCs w:val="20"/>
          <w:color w:val="auto"/>
        </w:rPr>
      </w:pPr>
    </w:p>
    <w:p>
      <w:pPr>
        <w:ind w:firstLine="640"/>
        <w:spacing w:after="0" w:line="277"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376" w:lineRule="exact"/>
        <w:rPr>
          <w:sz w:val="20"/>
          <w:szCs w:val="20"/>
          <w:color w:val="auto"/>
        </w:rPr>
      </w:pPr>
    </w:p>
    <w:p>
      <w:pPr>
        <w:spacing w:after="0"/>
        <w:tabs>
          <w:tab w:leader="none" w:pos="5620" w:val="left"/>
        </w:tabs>
        <w:rPr>
          <w:sz w:val="20"/>
          <w:szCs w:val="20"/>
          <w:color w:val="auto"/>
        </w:rPr>
      </w:pPr>
      <w:r>
        <w:rPr>
          <w:rFonts w:ascii="Times New Roman" w:cs="Times New Roman" w:eastAsia="Times New Roman" w:hAnsi="Times New Roman"/>
          <w:sz w:val="18"/>
          <w:szCs w:val="18"/>
          <w:color w:val="auto"/>
        </w:rPr>
        <w:t>Date: December 1, 2020</w:t>
      </w:r>
      <w:r>
        <w:rPr>
          <w:sz w:val="20"/>
          <w:szCs w:val="20"/>
          <w:color w:val="auto"/>
        </w:rPr>
        <w:tab/>
      </w:r>
      <w:r>
        <w:rPr>
          <w:rFonts w:ascii="Times New Roman" w:cs="Times New Roman" w:eastAsia="Times New Roman" w:hAnsi="Times New Roman"/>
          <w:sz w:val="17"/>
          <w:szCs w:val="17"/>
          <w:color w:val="auto"/>
        </w:rPr>
        <w:t>PLAINS ALL AMERICAN PIPELINE, L.P.</w:t>
      </w:r>
    </w:p>
    <w:p>
      <w:pPr>
        <w:spacing w:after="0" w:line="220" w:lineRule="exact"/>
        <w:rPr>
          <w:sz w:val="20"/>
          <w:szCs w:val="20"/>
          <w:color w:val="auto"/>
        </w:rPr>
      </w:pPr>
    </w:p>
    <w:p>
      <w:pPr>
        <w:ind w:left="5640"/>
        <w:spacing w:after="0"/>
        <w:tabs>
          <w:tab w:leader="none" w:pos="60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PAA GP LLC, its general partner</w:t>
      </w:r>
    </w:p>
    <w:p>
      <w:pPr>
        <w:spacing w:after="0" w:line="220" w:lineRule="exact"/>
        <w:rPr>
          <w:sz w:val="20"/>
          <w:szCs w:val="20"/>
          <w:color w:val="auto"/>
        </w:rPr>
      </w:pPr>
    </w:p>
    <w:p>
      <w:pPr>
        <w:ind w:left="5640"/>
        <w:spacing w:after="0"/>
        <w:tabs>
          <w:tab w:leader="none" w:pos="60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Plains AAP, L.P., its sole member</w:t>
      </w:r>
    </w:p>
    <w:p>
      <w:pPr>
        <w:spacing w:after="0" w:line="220" w:lineRule="exact"/>
        <w:rPr>
          <w:sz w:val="20"/>
          <w:szCs w:val="20"/>
          <w:color w:val="auto"/>
        </w:rPr>
      </w:pPr>
    </w:p>
    <w:p>
      <w:pPr>
        <w:ind w:left="5640"/>
        <w:spacing w:after="0"/>
        <w:tabs>
          <w:tab w:leader="none" w:pos="60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Plains All American GP LLC, its general partner</w:t>
      </w:r>
    </w:p>
    <w:p>
      <w:pPr>
        <w:spacing w:after="0" w:line="200" w:lineRule="exact"/>
        <w:rPr>
          <w:sz w:val="20"/>
          <w:szCs w:val="20"/>
          <w:color w:val="auto"/>
        </w:rPr>
      </w:pPr>
    </w:p>
    <w:p>
      <w:pPr>
        <w:spacing w:after="0" w:line="233" w:lineRule="exact"/>
        <w:rPr>
          <w:sz w:val="20"/>
          <w:szCs w:val="20"/>
          <w:color w:val="auto"/>
        </w:rPr>
      </w:pPr>
    </w:p>
    <w:p>
      <w:pPr>
        <w:ind w:left="5640"/>
        <w:spacing w:after="0"/>
        <w:tabs>
          <w:tab w:leader="none" w:pos="60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Richard McGee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3859530</wp:posOffset>
            </wp:positionH>
            <wp:positionV relativeFrom="paragraph">
              <wp:posOffset>15875</wp:posOffset>
            </wp:positionV>
            <wp:extent cx="327914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279140" cy="8255"/>
                    </a:xfrm>
                    <a:prstGeom prst="rect">
                      <a:avLst/>
                    </a:prstGeom>
                    <a:noFill/>
                  </pic:spPr>
                </pic:pic>
              </a:graphicData>
            </a:graphic>
          </wp:anchor>
        </w:drawing>
      </w:r>
    </w:p>
    <w:p>
      <w:pPr>
        <w:spacing w:after="0" w:line="5"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Name: Richard McGee</w:t>
      </w:r>
    </w:p>
    <w:p>
      <w:pPr>
        <w:spacing w:after="0" w:line="20" w:lineRule="exact"/>
        <w:rPr>
          <w:sz w:val="20"/>
          <w:szCs w:val="20"/>
          <w:color w:val="auto"/>
        </w:rPr>
      </w:pPr>
    </w:p>
    <w:p>
      <w:pPr>
        <w:ind w:left="6080"/>
        <w:spacing w:after="0"/>
        <w:tabs>
          <w:tab w:leader="none" w:pos="662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Executive Vice President</w:t>
      </w:r>
    </w:p>
    <w:p>
      <w:pPr>
        <w:spacing w:after="0" w:line="200" w:lineRule="exact"/>
        <w:rPr>
          <w:sz w:val="20"/>
          <w:szCs w:val="20"/>
          <w:color w:val="auto"/>
        </w:rPr>
      </w:pPr>
    </w:p>
    <w:p>
      <w:pPr>
        <w:spacing w:after="0" w:line="241"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0800"/>
          </w:cols>
          <w:pgMar w:left="320" w:top="891" w:right="77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21"/>
          <w:szCs w:val="21"/>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172085</wp:posOffset>
            </wp:positionV>
            <wp:extent cx="7196455" cy="117792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96455" cy="11779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Plains All American Pipeline and Plains GP Holdings Announce</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Transfer of Stock Exchange Listings to Nasdaq</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i w:val="1"/>
          <w:iCs w:val="1"/>
          <w:color w:val="auto"/>
        </w:rPr>
        <w:t>Ticker symbols to remain “PAA” and “PAGP”</w:t>
      </w:r>
    </w:p>
    <w:p>
      <w:pPr>
        <w:spacing w:after="0" w:line="308"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 xml:space="preserve">HOUSTON — December 1, 2020 — Plains All American Pipeline, L.P. (NYSE: </w:t>
      </w:r>
      <w:r>
        <w:rPr>
          <w:rFonts w:ascii="Times New Roman" w:cs="Times New Roman" w:eastAsia="Times New Roman" w:hAnsi="Times New Roman"/>
          <w:sz w:val="18"/>
          <w:szCs w:val="18"/>
          <w:u w:val="single" w:color="auto"/>
          <w:color w:val="auto"/>
        </w:rPr>
        <w:t>PAA</w:t>
      </w:r>
      <w:r>
        <w:rPr>
          <w:rFonts w:ascii="Times New Roman" w:cs="Times New Roman" w:eastAsia="Times New Roman" w:hAnsi="Times New Roman"/>
          <w:sz w:val="18"/>
          <w:szCs w:val="18"/>
          <w:color w:val="auto"/>
        </w:rPr>
        <w:t xml:space="preserve">) and Plains GP Holdings (NYSE: </w:t>
      </w:r>
      <w:r>
        <w:rPr>
          <w:rFonts w:ascii="Times New Roman" w:cs="Times New Roman" w:eastAsia="Times New Roman" w:hAnsi="Times New Roman"/>
          <w:sz w:val="18"/>
          <w:szCs w:val="18"/>
          <w:u w:val="single" w:color="auto"/>
          <w:color w:val="auto"/>
        </w:rPr>
        <w:t>PAGP</w:t>
      </w:r>
      <w:r>
        <w:rPr>
          <w:rFonts w:ascii="Times New Roman" w:cs="Times New Roman" w:eastAsia="Times New Roman" w:hAnsi="Times New Roman"/>
          <w:sz w:val="18"/>
          <w:szCs w:val="18"/>
          <w:color w:val="auto"/>
        </w:rPr>
        <w:t>) (“Plains”) today announced plans to voluntarily transfer the stock exchange listings of their common equity securities from the New York Stock Exchange to The Nasdaq Global Select Market effective December 11, 2020 after market close. PAA common units and PAGP Class A shares will begin trading as Nasdaq-listed securities on December 14, 2020 under their existing ticker symbols.</w:t>
      </w:r>
    </w:p>
    <w:p>
      <w:pPr>
        <w:spacing w:after="0" w:line="181"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color w:val="auto"/>
        </w:rPr>
        <w:t>“The transfer from NYSE to Nasdaq aligns with Plains’ ongoing commitment to reduce costs,” said Willie Chiang, Plains’ Chairman and CEO. “We thank the NYSE for their valued partnership with Plains for more than 20 years, and we look forward to our new relationship with Nasdaq.”</w:t>
      </w:r>
    </w:p>
    <w:p>
      <w:pPr>
        <w:spacing w:after="0" w:line="16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PAA is a publicly traded master limited partnership that owns and operates midstream energy infrastructure and provides logistics services for crude oil, natural gas liquids (“NGL”) and natural gas. PAA owns an extensive network of pipeline transportation, terminalling, storage and gathering assets in key crude oil and NGL producing basins and transportation corridors and at major market hubs in the United States and Canada. On average, PAA handles more than 6 million barrels per day of crude oil and NGL in its Transportation segment. PAA is headquartered in Houston, Texas. More information is available at </w:t>
      </w:r>
      <w:r>
        <w:rPr>
          <w:rFonts w:ascii="Times New Roman" w:cs="Times New Roman" w:eastAsia="Times New Roman" w:hAnsi="Times New Roman"/>
          <w:sz w:val="18"/>
          <w:szCs w:val="18"/>
          <w:u w:val="single" w:color="auto"/>
          <w:color w:val="auto"/>
        </w:rPr>
        <w:t>www.plainsallamerican.com</w:t>
      </w:r>
      <w:r>
        <w:rPr>
          <w:rFonts w:ascii="Times New Roman" w:cs="Times New Roman" w:eastAsia="Times New Roman" w:hAnsi="Times New Roman"/>
          <w:sz w:val="18"/>
          <w:szCs w:val="18"/>
          <w:color w:val="auto"/>
        </w:rPr>
        <w:t>.</w:t>
      </w:r>
    </w:p>
    <w:p>
      <w:pPr>
        <w:spacing w:after="0" w:line="186"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 xml:space="preserve">PAGP is a publicly traded entity that owns an indirect, non-economic controlling general partner interest in PAA and an indirect limited partner interest in PAA, one of the largest energy infrastructure and logistics companies in North America. PAGP is headquartered in Houston, Texas. More information is available at </w:t>
      </w:r>
      <w:r>
        <w:rPr>
          <w:rFonts w:ascii="Times New Roman" w:cs="Times New Roman" w:eastAsia="Times New Roman" w:hAnsi="Times New Roman"/>
          <w:sz w:val="18"/>
          <w:szCs w:val="18"/>
          <w:u w:val="single" w:color="auto"/>
          <w:color w:val="auto"/>
        </w:rPr>
        <w:t>www.plainsallamerican.com</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Contact</w:t>
      </w:r>
      <w:r>
        <w:rPr>
          <w:rFonts w:ascii="Times New Roman" w:cs="Times New Roman" w:eastAsia="Times New Roman" w:hAnsi="Times New Roman"/>
          <w:sz w:val="18"/>
          <w:szCs w:val="18"/>
          <w:color w:val="auto"/>
        </w:rPr>
        <w:t>:</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Roy Lamoreaux</w:t>
      </w:r>
    </w:p>
    <w:p>
      <w:pPr>
        <w:spacing w:after="0" w:line="25" w:lineRule="exact"/>
        <w:rPr>
          <w:sz w:val="20"/>
          <w:szCs w:val="20"/>
          <w:color w:val="auto"/>
        </w:rPr>
      </w:pPr>
    </w:p>
    <w:p>
      <w:pPr>
        <w:ind w:right="5560"/>
        <w:spacing w:after="0" w:line="255" w:lineRule="auto"/>
        <w:rPr>
          <w:sz w:val="20"/>
          <w:szCs w:val="20"/>
          <w:color w:val="auto"/>
        </w:rPr>
      </w:pPr>
      <w:r>
        <w:rPr>
          <w:rFonts w:ascii="Times New Roman" w:cs="Times New Roman" w:eastAsia="Times New Roman" w:hAnsi="Times New Roman"/>
          <w:sz w:val="18"/>
          <w:szCs w:val="18"/>
          <w:color w:val="auto"/>
        </w:rPr>
        <w:t>Vice President, Investor Relations, Communications and Government Relations (866) 809-1291</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Brett Magill</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 Investor Relations</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(866) 809-1291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410210</wp:posOffset>
            </wp:positionV>
            <wp:extent cx="713422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2020-12-01T15:45:25Z</dcterms:created>
  <dcterms:modified xsi:type="dcterms:W3CDTF">2020-12-01T15:45:25Z</dcterms:modified>
</cp:coreProperties>
</file>