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4" w:space="1" w:color="000000"/>
        </w:pBdr>
        <w:spacing w:before="0" w:after="0"/>
        <w:rPr/>
      </w:pPr>
      <w:bookmarkStart w:id="0" w:name="d496075d8k.htm"/>
      <w:bookmarkStart w:id="1" w:name="ksd496075d8k"/>
      <w:bookmarkEnd w:id="0"/>
      <w:bookmarkEnd w:id="1"/>
      <w:r>
        <w:rPr/>
        <w:t> </w:t>
      </w:r>
    </w:p>
    <w:p>
      <w:pPr>
        <w:pStyle w:val="TextBody"/>
        <w:pBdr>
          <w:bottom w:val="single" w:sz="4" w:space="1" w:color="000000"/>
        </w:pBdr>
        <w:spacing w:lineRule="atLeast" w:line="141" w:before="0" w:after="30"/>
        <w:rPr/>
      </w:pPr>
      <w:r>
        <w:rPr/>
        <w:t> </w:t>
      </w:r>
    </w:p>
    <w:p>
      <w:pPr>
        <w:pStyle w:val="TextBody"/>
        <w:spacing w:before="6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Times New Roman" w:hAnsi="Times New Roman"/>
          <w:b/>
          <w:sz w:val="36"/>
        </w:rPr>
      </w:pPr>
      <w:r>
        <w:rPr>
          <w:rFonts w:ascii="Times New Roman" w:hAnsi="Times New Roman"/>
          <w:b/>
          <w:sz w:val="36"/>
        </w:rPr>
        <w:t xml:space="preserve">FORM 8-K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Times New Roman" w:hAnsi="Times New Roman"/>
          <w:b/>
          <w:sz w:val="28"/>
        </w:rPr>
      </w:pPr>
      <w:r>
        <w:rPr>
          <w:rFonts w:ascii="Times New Roman" w:hAnsi="Times New Roman"/>
          <w:b/>
          <w:sz w:val="28"/>
        </w:rPr>
        <w:t xml:space="preserve">CURRENT REPORT </w:t>
      </w:r>
    </w:p>
    <w:p>
      <w:pPr>
        <w:pStyle w:val="TextBody"/>
        <w:spacing w:before="180" w:after="0"/>
        <w:jc w:val="center"/>
        <w:rPr>
          <w:rFonts w:ascii="Times New Roman" w:hAnsi="Times New Roman"/>
          <w:b/>
          <w:sz w:val="24"/>
        </w:rPr>
      </w:pPr>
      <w:r>
        <w:rPr>
          <w:rFonts w:ascii="Times New Roman" w:hAnsi="Times New Roman"/>
          <w:b/>
          <w:sz w:val="24"/>
        </w:rPr>
        <w:t xml:space="preserve">Pursuant to Section 13 or 15(d) of </w:t>
      </w:r>
    </w:p>
    <w:p>
      <w:pPr>
        <w:pStyle w:val="TextBody"/>
        <w:spacing w:before="0" w:after="0"/>
        <w:jc w:val="center"/>
        <w:rPr>
          <w:rFonts w:ascii="Times New Roman" w:hAnsi="Times New Roman"/>
          <w:b/>
          <w:sz w:val="24"/>
        </w:rPr>
      </w:pPr>
      <w:r>
        <w:rPr>
          <w:rFonts w:ascii="Times New Roman" w:hAnsi="Times New Roman"/>
          <w:b/>
          <w:sz w:val="24"/>
        </w:rPr>
        <w:t xml:space="preserve">the Securities Exchange Act of 1934 </w:t>
      </w:r>
    </w:p>
    <w:p>
      <w:pPr>
        <w:pStyle w:val="TextBody"/>
        <w:spacing w:before="180" w:after="0"/>
        <w:jc w:val="center"/>
        <w:rPr>
          <w:rFonts w:ascii="Times New Roman" w:hAnsi="Times New Roman"/>
          <w:b/>
          <w:sz w:val="24"/>
        </w:rPr>
      </w:pPr>
      <w:r>
        <w:rPr>
          <w:rFonts w:ascii="Times New Roman" w:hAnsi="Times New Roman"/>
          <w:b/>
          <w:sz w:val="24"/>
        </w:rPr>
        <w:t xml:space="preserve">Date of Report (Date of earliest event reported) March 4, 2013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Times New Roman" w:hAnsi="Times New Roman"/>
          <w:b/>
          <w:sz w:val="48"/>
        </w:rPr>
      </w:pPr>
      <w:r>
        <w:rPr>
          <w:rFonts w:ascii="Times New Roman" w:hAnsi="Times New Roman"/>
          <w:b/>
          <w:sz w:val="48"/>
        </w:rPr>
        <w:t xml:space="preserve">Plains All American Pipeline, L.P. </w:t>
      </w:r>
    </w:p>
    <w:p>
      <w:pPr>
        <w:pStyle w:val="TextBody"/>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69"/>
        <w:gridCol w:w="101"/>
        <w:gridCol w:w="3267"/>
        <w:gridCol w:w="100"/>
        <w:gridCol w:w="3268"/>
      </w:tblGrid>
      <w:tr>
        <w:trPr/>
        <w:tc>
          <w:tcPr>
            <w:tcW w:w="3469"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8"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DELAWARE</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1-14569</w:t>
            </w:r>
          </w:p>
        </w:tc>
        <w:tc>
          <w:tcPr>
            <w:tcW w:w="100" w:type="dxa"/>
            <w:tcBorders/>
            <w:shd w:fill="auto" w:val="clear"/>
            <w:vAlign w:val="bottom"/>
          </w:tcPr>
          <w:p>
            <w:pPr>
              <w:pStyle w:val="TableContents"/>
              <w:spacing w:before="0" w:after="283"/>
              <w:rPr/>
            </w:pPr>
            <w:r>
              <w:rPr/>
              <w:t> </w:t>
            </w:r>
          </w:p>
        </w:tc>
        <w:tc>
          <w:tcPr>
            <w:tcW w:w="3268"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76-0582150</w:t>
            </w:r>
          </w:p>
        </w:tc>
      </w:tr>
      <w:tr>
        <w:trPr/>
        <w:tc>
          <w:tcPr>
            <w:tcW w:w="3469"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(State or other jurisdiction</w:t>
            </w:r>
          </w:p>
          <w:p>
            <w:pPr>
              <w:pStyle w:val="TableContents"/>
              <w:spacing w:before="0" w:after="15"/>
              <w:jc w:val="center"/>
              <w:rPr>
                <w:rFonts w:ascii="Times New Roman" w:hAnsi="Times New Roman"/>
                <w:b/>
                <w:sz w:val="14"/>
              </w:rPr>
            </w:pPr>
            <w:r>
              <w:rPr>
                <w:rFonts w:ascii="Times New Roman" w:hAnsi="Times New Roman"/>
                <w:b/>
                <w:sz w:val="14"/>
              </w:rPr>
              <w:t>of incorporation)</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(Commission</w:t>
            </w:r>
          </w:p>
          <w:p>
            <w:pPr>
              <w:pStyle w:val="TableContents"/>
              <w:spacing w:before="0" w:after="15"/>
              <w:jc w:val="center"/>
              <w:rPr>
                <w:rFonts w:ascii="Times New Roman" w:hAnsi="Times New Roman"/>
                <w:b/>
                <w:sz w:val="14"/>
              </w:rPr>
            </w:pPr>
            <w:r>
              <w:rPr>
                <w:rFonts w:ascii="Times New Roman" w:hAnsi="Times New Roman"/>
                <w:b/>
                <w:sz w:val="14"/>
              </w:rPr>
              <w:t>File Number)</w:t>
            </w:r>
          </w:p>
        </w:tc>
        <w:tc>
          <w:tcPr>
            <w:tcW w:w="100" w:type="dxa"/>
            <w:tcBorders/>
            <w:shd w:fill="auto" w:val="clear"/>
            <w:vAlign w:val="bottom"/>
          </w:tcPr>
          <w:p>
            <w:pPr>
              <w:pStyle w:val="TableContents"/>
              <w:spacing w:before="0" w:after="283"/>
              <w:rPr/>
            </w:pPr>
            <w:r>
              <w:rPr/>
              <w:t> </w:t>
            </w:r>
          </w:p>
        </w:tc>
        <w:tc>
          <w:tcPr>
            <w:tcW w:w="3268"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(IRS Employer</w:t>
            </w:r>
          </w:p>
          <w:p>
            <w:pPr>
              <w:pStyle w:val="TableContents"/>
              <w:spacing w:before="0" w:after="15"/>
              <w:jc w:val="center"/>
              <w:rPr>
                <w:rFonts w:ascii="Times New Roman" w:hAnsi="Times New Roman"/>
                <w:b/>
                <w:sz w:val="14"/>
              </w:rPr>
            </w:pPr>
            <w:r>
              <w:rPr>
                <w:rFonts w:ascii="Times New Roman" w:hAnsi="Times New Roman"/>
                <w:b/>
                <w:sz w:val="14"/>
              </w:rPr>
              <w:t>Identification No.)</w:t>
            </w:r>
          </w:p>
        </w:tc>
      </w:tr>
    </w:tbl>
    <w:p>
      <w:pPr>
        <w:pStyle w:val="TextBody"/>
        <w:spacing w:before="180" w:after="0"/>
        <w:jc w:val="center"/>
        <w:rPr>
          <w:rFonts w:ascii="Times New Roman" w:hAnsi="Times New Roman"/>
          <w:b/>
          <w:sz w:val="20"/>
        </w:rPr>
      </w:pPr>
      <w:r>
        <w:rPr>
          <w:rFonts w:ascii="Times New Roman" w:hAnsi="Times New Roman"/>
          <w:b/>
          <w:sz w:val="20"/>
        </w:rPr>
        <w:t xml:space="preserve">333 Clay Street, Suite 1600, Houston, Texas 77002 </w:t>
      </w:r>
    </w:p>
    <w:p>
      <w:pPr>
        <w:pStyle w:val="TextBody"/>
        <w:spacing w:before="0" w:after="0"/>
        <w:jc w:val="center"/>
        <w:rPr>
          <w:rFonts w:ascii="Times New Roman" w:hAnsi="Times New Roman"/>
          <w:b/>
          <w:sz w:val="14"/>
        </w:rPr>
      </w:pPr>
      <w:r>
        <w:rPr>
          <w:rFonts w:ascii="Times New Roman" w:hAnsi="Times New Roman"/>
          <w:b/>
          <w:sz w:val="14"/>
        </w:rPr>
        <w:t xml:space="preserve">(Address of principal executive offices) (Zip Code) </w:t>
      </w:r>
    </w:p>
    <w:p>
      <w:pPr>
        <w:pStyle w:val="TextBody"/>
        <w:spacing w:before="180" w:after="0"/>
        <w:jc w:val="center"/>
        <w:rPr>
          <w:rFonts w:ascii="Times New Roman" w:hAnsi="Times New Roman"/>
          <w:b/>
          <w:sz w:val="20"/>
        </w:rPr>
      </w:pPr>
      <w:r>
        <w:rPr>
          <w:rFonts w:ascii="Times New Roman" w:hAnsi="Times New Roman"/>
          <w:b/>
          <w:sz w:val="20"/>
        </w:rPr>
        <w:t xml:space="preserve">713-646-4100 </w:t>
      </w:r>
    </w:p>
    <w:p>
      <w:pPr>
        <w:pStyle w:val="TextBody"/>
        <w:spacing w:before="0" w:after="0"/>
        <w:jc w:val="center"/>
        <w:rPr>
          <w:rFonts w:ascii="Times New Roman" w:hAnsi="Times New Roman"/>
          <w:b/>
          <w:sz w:val="14"/>
        </w:rPr>
      </w:pPr>
      <w:r>
        <w:rPr>
          <w:rFonts w:ascii="Times New Roman" w:hAnsi="Times New Roman"/>
          <w:b/>
          <w:sz w:val="14"/>
        </w:rPr>
        <w:t xml:space="preserve">(Registrants telephone number, including area code) </w:t>
      </w:r>
    </w:p>
    <w:p>
      <w:pPr>
        <w:pStyle w:val="TextBody"/>
        <w:spacing w:before="180" w:after="0"/>
        <w:jc w:val="center"/>
        <w:rPr>
          <w:rFonts w:ascii="Times New Roman" w:hAnsi="Times New Roman"/>
          <w:b/>
          <w:sz w:val="20"/>
        </w:rPr>
      </w:pPr>
      <w:r>
        <w:rPr>
          <w:rFonts w:ascii="Times New Roman" w:hAnsi="Times New Roman"/>
          <w:b/>
          <w:sz w:val="20"/>
        </w:rPr>
        <w:t xml:space="preserve">(Former name or former address, if changed since last report.)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r>
        <w:br w:type="page"/>
      </w:r>
    </w:p>
    <w:p>
      <w:pPr>
        <w:pStyle w:val="HorizontalLine"/>
        <w:pBdr>
          <w:bottom w:val="double" w:sz="6" w:space="0" w:color="808080"/>
        </w:pBdr>
        <w:rPr/>
      </w:pPr>
      <w:r>
        <w:rPr/>
      </w:r>
    </w:p>
    <w:p>
      <w:pPr>
        <w:pStyle w:val="TextBody"/>
        <w:spacing w:before="0" w:after="0"/>
        <w:rPr>
          <w:rFonts w:ascii="Times New Roman" w:hAnsi="Times New Roman"/>
          <w:b/>
          <w:sz w:val="20"/>
        </w:rPr>
      </w:pPr>
      <w:r>
        <w:rPr>
          <w:rFonts w:ascii="Times New Roman" w:hAnsi="Times New Roman"/>
          <w:b/>
          <w:sz w:val="20"/>
        </w:rPr>
        <w:t xml:space="preserve">Item 7.01. Regulation FD Disclosure </w:t>
      </w:r>
    </w:p>
    <w:p>
      <w:pPr>
        <w:pStyle w:val="TextBody"/>
        <w:spacing w:before="90" w:after="0"/>
        <w:rPr>
          <w:rFonts w:ascii="Times New Roman" w:hAnsi="Times New Roman"/>
          <w:sz w:val="20"/>
        </w:rPr>
      </w:pPr>
      <w:r>
        <w:rPr>
          <w:rFonts w:ascii="Times New Roman" w:hAnsi="Times New Roman"/>
          <w:sz w:val="20"/>
        </w:rPr>
        <w:t xml:space="preserve">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 </w:t>
      </w:r>
    </w:p>
    <w:p>
      <w:pPr>
        <w:pStyle w:val="TextBody"/>
        <w:spacing w:before="180" w:after="0"/>
        <w:rPr>
          <w:rFonts w:ascii="Times New Roman" w:hAnsi="Times New Roman"/>
          <w:sz w:val="20"/>
        </w:rPr>
      </w:pPr>
      <w:r>
        <w:rPr>
          <w:rFonts w:ascii="Times New Roman" w:hAnsi="Times New Roman"/>
          <w:sz w:val="20"/>
        </w:rPr>
        <w:t xml:space="preserve">Representatives of Plains All American Pipeline, L.P. (PAA or the Partnership) intend to make presentations and meet with members of the financial community at the following events: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428"/>
        <w:gridCol w:w="204"/>
        <w:gridCol w:w="101"/>
        <w:gridCol w:w="8472"/>
      </w:tblGrid>
      <w:tr>
        <w:trPr/>
        <w:tc>
          <w:tcPr>
            <w:tcW w:w="142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847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Morgan Stanley MLP and Diversified Natural Gas Corporate Access Event in New York, NY on Wednesday, March 6, 2013;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428"/>
        <w:gridCol w:w="204"/>
        <w:gridCol w:w="101"/>
        <w:gridCol w:w="8472"/>
      </w:tblGrid>
      <w:tr>
        <w:trPr/>
        <w:tc>
          <w:tcPr>
            <w:tcW w:w="142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847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Raymond James Annual Institutional Investors Conference in Orlando, FL on Wednesday, March 6, 2013;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428"/>
        <w:gridCol w:w="204"/>
        <w:gridCol w:w="102"/>
        <w:gridCol w:w="8471"/>
      </w:tblGrid>
      <w:tr>
        <w:trPr/>
        <w:tc>
          <w:tcPr>
            <w:tcW w:w="142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847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Barclays Capital Investment Grade Energy and Pipeline Conference in New York, NY on Thursday, March 7, 2013;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428"/>
        <w:gridCol w:w="204"/>
        <w:gridCol w:w="102"/>
        <w:gridCol w:w="8471"/>
      </w:tblGrid>
      <w:tr>
        <w:trPr/>
        <w:tc>
          <w:tcPr>
            <w:tcW w:w="142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847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Bank of America Merrill Lynch Refining Conference in New York, NY on Thursday, March 7, 2013. </w:t>
            </w:r>
          </w:p>
        </w:tc>
      </w:tr>
    </w:tbl>
    <w:p>
      <w:pPr>
        <w:pStyle w:val="TextBody"/>
        <w:pBdr/>
        <w:spacing w:before="180" w:after="0"/>
        <w:rPr/>
      </w:pPr>
      <w:r>
        <w:rPr>
          <w:rFonts w:ascii="Times New Roman" w:hAnsi="Times New Roman"/>
          <w:sz w:val="20"/>
        </w:rPr>
        <w:t>Such presentations will give an overview of PAA, including a review of the Partnerships strategic positioning, expansion capital projects, financial profile and related matters. On the morning of March 6</w:t>
      </w:r>
      <w:r>
        <w:rPr>
          <w:rFonts w:ascii="Times New Roman" w:hAnsi="Times New Roman"/>
          <w:sz w:val="14"/>
        </w:rPr>
        <w:t>th</w:t>
      </w:r>
      <w:r>
        <w:rPr/>
        <w:t xml:space="preserve"> </w:t>
      </w:r>
      <w:r>
        <w:rPr>
          <w:rFonts w:ascii="Times New Roman" w:hAnsi="Times New Roman"/>
          <w:sz w:val="20"/>
        </w:rPr>
        <w:t xml:space="preserve">a presentation related to these events will be made available for viewing on PAAs website at </w:t>
      </w:r>
      <w:r>
        <w:rPr>
          <w:rFonts w:ascii="Times New Roman" w:hAnsi="Times New Roman"/>
          <w:sz w:val="20"/>
          <w:u w:val="single"/>
        </w:rPr>
        <w:t>www.PAALP.com</w:t>
      </w:r>
      <w:r>
        <w:rPr>
          <w:rFonts w:ascii="Times New Roman" w:hAnsi="Times New Roman"/>
          <w:sz w:val="20"/>
        </w:rPr>
        <w:t>. Additionally, the Raymond James Annual Institutional Investors Conference presentation will be webcast live beginning at approximately 9:50 a.m. EST on March 6</w:t>
      </w:r>
      <w:r>
        <w:rPr>
          <w:rFonts w:ascii="Times New Roman" w:hAnsi="Times New Roman"/>
          <w:sz w:val="14"/>
        </w:rPr>
        <w:t>th</w:t>
      </w:r>
      <w:r>
        <w:rPr/>
        <w:t xml:space="preserve"> </w:t>
      </w:r>
      <w:r>
        <w:rPr>
          <w:rFonts w:ascii="Times New Roman" w:hAnsi="Times New Roman"/>
          <w:sz w:val="20"/>
        </w:rPr>
        <w:t xml:space="preserve">and will be available for a period of seven (7) days thereafter at the following weblink: </w:t>
      </w:r>
      <w:r>
        <w:rPr>
          <w:rFonts w:ascii="Times New Roman" w:hAnsi="Times New Roman"/>
          <w:sz w:val="20"/>
          <w:u w:val="single"/>
        </w:rPr>
        <w:t>http://wsw.com/webcast/rj82/paa/</w:t>
      </w:r>
      <w:r>
        <w:rPr>
          <w:rFonts w:ascii="Times New Roman" w:hAnsi="Times New Roman"/>
          <w:sz w:val="20"/>
        </w:rPr>
        <w:t>. The Bank of America Merrill Lynch Refining Conference presentation will be webcast live beginning at approximately noon on March 7</w:t>
      </w:r>
      <w:r>
        <w:rPr>
          <w:rFonts w:ascii="Times New Roman" w:hAnsi="Times New Roman"/>
          <w:sz w:val="14"/>
        </w:rPr>
        <w:t>th</w:t>
      </w:r>
      <w:r>
        <w:rPr/>
        <w:t xml:space="preserve"> </w:t>
      </w:r>
      <w:r>
        <w:rPr>
          <w:rFonts w:ascii="Times New Roman" w:hAnsi="Times New Roman"/>
          <w:sz w:val="20"/>
        </w:rPr>
        <w:t xml:space="preserve">and will be available for a period of ninety (90) days thereafter at the following weblink: </w:t>
      </w:r>
      <w:r>
        <w:rPr>
          <w:rFonts w:ascii="Times New Roman" w:hAnsi="Times New Roman"/>
          <w:sz w:val="20"/>
          <w:u w:val="single"/>
        </w:rPr>
        <w:t>http://www.veracast.com/webcasts/baml/refining2013/id14427350.cfm</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PAA does not undertake to update the information as posted on its website; however, it may post additional information included in future press releases and Forms 8-K, as well as posting its periodic Exchange Act reports.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180" w:after="0"/>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606"/>
        <w:gridCol w:w="113"/>
        <w:gridCol w:w="395"/>
        <w:gridCol w:w="113"/>
        <w:gridCol w:w="262"/>
        <w:gridCol w:w="113"/>
        <w:gridCol w:w="4603"/>
      </w:tblGrid>
      <w:tr>
        <w:trPr/>
        <w:tc>
          <w:tcPr>
            <w:tcW w:w="4606"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sz w:val="4"/>
                <w:szCs w:val="4"/>
              </w:rPr>
            </w:pPr>
            <w:r>
              <w:rPr>
                <w:sz w:val="4"/>
                <w:szCs w:val="4"/>
              </w:rPr>
            </w:r>
          </w:p>
        </w:tc>
        <w:tc>
          <w:tcPr>
            <w:tcW w:w="4603" w:type="dxa"/>
            <w:tcBorders/>
            <w:shd w:fill="auto" w:val="clear"/>
            <w:vAlign w:val="center"/>
          </w:tcPr>
          <w:p>
            <w:pPr>
              <w:pStyle w:val="TableContents"/>
              <w:spacing w:before="0" w:after="283"/>
              <w:rPr>
                <w:sz w:val="4"/>
                <w:szCs w:val="4"/>
              </w:rPr>
            </w:pPr>
            <w:r>
              <w:rPr>
                <w:sz w:val="4"/>
                <w:szCs w:val="4"/>
              </w:rPr>
            </w:r>
          </w:p>
        </w:tc>
      </w:tr>
      <w:tr>
        <w:trPr/>
        <w:tc>
          <w:tcPr>
            <w:tcW w:w="4606"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395"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4978"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PLAINS ALL AMERICAN PIPELINE, L.P.</w:t>
            </w:r>
          </w:p>
        </w:tc>
      </w:tr>
      <w:tr>
        <w:trPr>
          <w:trHeight w:val="240" w:hRule="atLeast"/>
        </w:trPr>
        <w:tc>
          <w:tcPr>
            <w:tcW w:w="4606" w:type="dxa"/>
            <w:tcBorders/>
            <w:shd w:fill="auto" w:val="clear"/>
            <w:vAlign w:val="center"/>
          </w:tcPr>
          <w:p>
            <w:pPr>
              <w:pStyle w:val="TableContents"/>
              <w:spacing w:before="0" w:after="283"/>
              <w:rPr>
                <w:sz w:val="4"/>
                <w:szCs w:val="4"/>
              </w:rPr>
            </w:pPr>
            <w:r>
              <w:rPr>
                <w:sz w:val="4"/>
                <w:szCs w:val="4"/>
              </w:rPr>
            </w:r>
          </w:p>
        </w:tc>
        <w:tc>
          <w:tcPr>
            <w:tcW w:w="508" w:type="dxa"/>
            <w:gridSpan w:val="2"/>
            <w:tcBorders/>
            <w:shd w:fill="auto" w:val="clear"/>
            <w:vAlign w:val="center"/>
          </w:tcPr>
          <w:p>
            <w:pPr>
              <w:pStyle w:val="TableContents"/>
              <w:spacing w:before="0" w:after="283"/>
              <w:rPr>
                <w:sz w:val="4"/>
                <w:szCs w:val="4"/>
              </w:rPr>
            </w:pPr>
            <w:r>
              <w:rPr>
                <w:sz w:val="4"/>
                <w:szCs w:val="4"/>
              </w:rPr>
            </w:r>
          </w:p>
        </w:tc>
        <w:tc>
          <w:tcPr>
            <w:tcW w:w="375" w:type="dxa"/>
            <w:gridSpan w:val="2"/>
            <w:tcBorders/>
            <w:shd w:fill="auto" w:val="clear"/>
            <w:vAlign w:val="center"/>
          </w:tcPr>
          <w:p>
            <w:pPr>
              <w:pStyle w:val="TableContents"/>
              <w:spacing w:before="0" w:after="283"/>
              <w:rPr>
                <w:sz w:val="4"/>
                <w:szCs w:val="4"/>
              </w:rPr>
            </w:pPr>
            <w:r>
              <w:rPr>
                <w:sz w:val="4"/>
                <w:szCs w:val="4"/>
              </w:rPr>
            </w:r>
          </w:p>
        </w:tc>
        <w:tc>
          <w:tcPr>
            <w:tcW w:w="4716" w:type="dxa"/>
            <w:gridSpan w:val="2"/>
            <w:tcBorders/>
            <w:shd w:fill="auto" w:val="clear"/>
            <w:vAlign w:val="center"/>
          </w:tcPr>
          <w:p>
            <w:pPr>
              <w:pStyle w:val="TableContents"/>
              <w:spacing w:before="0" w:after="283"/>
              <w:rPr>
                <w:sz w:val="4"/>
                <w:szCs w:val="4"/>
              </w:rPr>
            </w:pPr>
            <w:r>
              <w:rPr>
                <w:sz w:val="4"/>
                <w:szCs w:val="4"/>
              </w:rPr>
            </w:r>
          </w:p>
        </w:tc>
      </w:tr>
      <w:tr>
        <w:trPr/>
        <w:tc>
          <w:tcPr>
            <w:tcW w:w="4606" w:type="dxa"/>
            <w:tcBorders/>
            <w:shd w:fill="auto" w:val="clear"/>
          </w:tcPr>
          <w:p>
            <w:pPr>
              <w:pStyle w:val="TableContents"/>
              <w:spacing w:before="0" w:after="283"/>
              <w:rPr>
                <w:rFonts w:ascii="Times New Roman" w:hAnsi="Times New Roman"/>
                <w:sz w:val="20"/>
              </w:rPr>
            </w:pPr>
            <w:r>
              <w:rPr>
                <w:rFonts w:ascii="Times New Roman" w:hAnsi="Times New Roman"/>
                <w:sz w:val="20"/>
              </w:rPr>
              <w:t>Date: March 4, 2013</w:t>
            </w:r>
          </w:p>
        </w:tc>
        <w:tc>
          <w:tcPr>
            <w:tcW w:w="113" w:type="dxa"/>
            <w:tcBorders/>
            <w:shd w:fill="auto" w:val="clear"/>
            <w:vAlign w:val="bottom"/>
          </w:tcPr>
          <w:p>
            <w:pPr>
              <w:pStyle w:val="TableContents"/>
              <w:spacing w:before="0" w:after="283"/>
              <w:rPr/>
            </w:pPr>
            <w:r>
              <w:rPr/>
              <w:t> </w:t>
            </w:r>
          </w:p>
        </w:tc>
        <w:tc>
          <w:tcPr>
            <w:tcW w:w="395"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26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3" w:type="dxa"/>
            <w:tcBorders/>
            <w:shd w:fill="auto" w:val="clear"/>
            <w:vAlign w:val="bottom"/>
          </w:tcPr>
          <w:p>
            <w:pPr>
              <w:pStyle w:val="TableContents"/>
              <w:spacing w:before="0" w:after="283"/>
              <w:rPr/>
            </w:pPr>
            <w:r>
              <w:rPr/>
              <w:t> </w:t>
            </w:r>
          </w:p>
        </w:tc>
        <w:tc>
          <w:tcPr>
            <w:tcW w:w="4603" w:type="dxa"/>
            <w:tcBorders/>
            <w:shd w:fill="auto" w:val="clear"/>
          </w:tcPr>
          <w:p>
            <w:pPr>
              <w:pStyle w:val="TableContents"/>
              <w:spacing w:before="0" w:after="283"/>
              <w:rPr>
                <w:rFonts w:ascii="Times New Roman" w:hAnsi="Times New Roman"/>
                <w:sz w:val="20"/>
              </w:rPr>
            </w:pPr>
            <w:r>
              <w:rPr>
                <w:rFonts w:ascii="Times New Roman" w:hAnsi="Times New Roman"/>
                <w:sz w:val="20"/>
              </w:rPr>
              <w:t>PAA GP LLC, its general partner</w:t>
            </w:r>
          </w:p>
        </w:tc>
      </w:tr>
      <w:tr>
        <w:trPr>
          <w:trHeight w:val="240" w:hRule="atLeast"/>
        </w:trPr>
        <w:tc>
          <w:tcPr>
            <w:tcW w:w="4606" w:type="dxa"/>
            <w:tcBorders/>
            <w:shd w:fill="auto" w:val="clear"/>
            <w:vAlign w:val="center"/>
          </w:tcPr>
          <w:p>
            <w:pPr>
              <w:pStyle w:val="TableContents"/>
              <w:spacing w:before="0" w:after="283"/>
              <w:rPr>
                <w:sz w:val="4"/>
                <w:szCs w:val="4"/>
              </w:rPr>
            </w:pPr>
            <w:r>
              <w:rPr>
                <w:sz w:val="4"/>
                <w:szCs w:val="4"/>
              </w:rPr>
            </w:r>
          </w:p>
        </w:tc>
        <w:tc>
          <w:tcPr>
            <w:tcW w:w="508" w:type="dxa"/>
            <w:gridSpan w:val="2"/>
            <w:tcBorders/>
            <w:shd w:fill="auto" w:val="clear"/>
            <w:vAlign w:val="center"/>
          </w:tcPr>
          <w:p>
            <w:pPr>
              <w:pStyle w:val="TableContents"/>
              <w:spacing w:before="0" w:after="283"/>
              <w:rPr>
                <w:sz w:val="4"/>
                <w:szCs w:val="4"/>
              </w:rPr>
            </w:pPr>
            <w:r>
              <w:rPr>
                <w:sz w:val="4"/>
                <w:szCs w:val="4"/>
              </w:rPr>
            </w:r>
          </w:p>
        </w:tc>
        <w:tc>
          <w:tcPr>
            <w:tcW w:w="375" w:type="dxa"/>
            <w:gridSpan w:val="2"/>
            <w:tcBorders/>
            <w:shd w:fill="auto" w:val="clear"/>
            <w:vAlign w:val="center"/>
          </w:tcPr>
          <w:p>
            <w:pPr>
              <w:pStyle w:val="TableContents"/>
              <w:spacing w:before="0" w:after="283"/>
              <w:rPr>
                <w:sz w:val="4"/>
                <w:szCs w:val="4"/>
              </w:rPr>
            </w:pPr>
            <w:r>
              <w:rPr>
                <w:sz w:val="4"/>
                <w:szCs w:val="4"/>
              </w:rPr>
            </w:r>
          </w:p>
        </w:tc>
        <w:tc>
          <w:tcPr>
            <w:tcW w:w="4716" w:type="dxa"/>
            <w:gridSpan w:val="2"/>
            <w:tcBorders/>
            <w:shd w:fill="auto" w:val="clear"/>
            <w:vAlign w:val="center"/>
          </w:tcPr>
          <w:p>
            <w:pPr>
              <w:pStyle w:val="TableContents"/>
              <w:spacing w:before="0" w:after="283"/>
              <w:rPr>
                <w:sz w:val="4"/>
                <w:szCs w:val="4"/>
              </w:rPr>
            </w:pPr>
            <w:r>
              <w:rPr>
                <w:sz w:val="4"/>
                <w:szCs w:val="4"/>
              </w:rPr>
            </w:r>
          </w:p>
        </w:tc>
      </w:tr>
      <w:tr>
        <w:trPr/>
        <w:tc>
          <w:tcPr>
            <w:tcW w:w="4606"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395"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26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3" w:type="dxa"/>
            <w:tcBorders/>
            <w:shd w:fill="auto" w:val="clear"/>
            <w:vAlign w:val="bottom"/>
          </w:tcPr>
          <w:p>
            <w:pPr>
              <w:pStyle w:val="TableContents"/>
              <w:spacing w:before="0" w:after="283"/>
              <w:rPr/>
            </w:pPr>
            <w:r>
              <w:rPr/>
              <w:t> </w:t>
            </w:r>
          </w:p>
        </w:tc>
        <w:tc>
          <w:tcPr>
            <w:tcW w:w="4603" w:type="dxa"/>
            <w:tcBorders/>
            <w:shd w:fill="auto" w:val="clear"/>
          </w:tcPr>
          <w:p>
            <w:pPr>
              <w:pStyle w:val="TableContents"/>
              <w:spacing w:before="0" w:after="283"/>
              <w:rPr>
                <w:rFonts w:ascii="Times New Roman" w:hAnsi="Times New Roman"/>
                <w:sz w:val="20"/>
              </w:rPr>
            </w:pPr>
            <w:r>
              <w:rPr>
                <w:rFonts w:ascii="Times New Roman" w:hAnsi="Times New Roman"/>
                <w:sz w:val="20"/>
              </w:rPr>
              <w:t>Plains AAP, L.P., its sole member</w:t>
            </w:r>
          </w:p>
        </w:tc>
      </w:tr>
      <w:tr>
        <w:trPr>
          <w:trHeight w:val="240" w:hRule="atLeast"/>
        </w:trPr>
        <w:tc>
          <w:tcPr>
            <w:tcW w:w="4606" w:type="dxa"/>
            <w:tcBorders/>
            <w:shd w:fill="auto" w:val="clear"/>
            <w:vAlign w:val="center"/>
          </w:tcPr>
          <w:p>
            <w:pPr>
              <w:pStyle w:val="TableContents"/>
              <w:spacing w:before="0" w:after="283"/>
              <w:rPr>
                <w:sz w:val="4"/>
                <w:szCs w:val="4"/>
              </w:rPr>
            </w:pPr>
            <w:r>
              <w:rPr>
                <w:sz w:val="4"/>
                <w:szCs w:val="4"/>
              </w:rPr>
            </w:r>
          </w:p>
        </w:tc>
        <w:tc>
          <w:tcPr>
            <w:tcW w:w="508" w:type="dxa"/>
            <w:gridSpan w:val="2"/>
            <w:tcBorders/>
            <w:shd w:fill="auto" w:val="clear"/>
            <w:vAlign w:val="center"/>
          </w:tcPr>
          <w:p>
            <w:pPr>
              <w:pStyle w:val="TableContents"/>
              <w:spacing w:before="0" w:after="283"/>
              <w:rPr>
                <w:sz w:val="4"/>
                <w:szCs w:val="4"/>
              </w:rPr>
            </w:pPr>
            <w:r>
              <w:rPr>
                <w:sz w:val="4"/>
                <w:szCs w:val="4"/>
              </w:rPr>
            </w:r>
          </w:p>
        </w:tc>
        <w:tc>
          <w:tcPr>
            <w:tcW w:w="375" w:type="dxa"/>
            <w:gridSpan w:val="2"/>
            <w:tcBorders/>
            <w:shd w:fill="auto" w:val="clear"/>
            <w:vAlign w:val="center"/>
          </w:tcPr>
          <w:p>
            <w:pPr>
              <w:pStyle w:val="TableContents"/>
              <w:spacing w:before="0" w:after="283"/>
              <w:rPr>
                <w:sz w:val="4"/>
                <w:szCs w:val="4"/>
              </w:rPr>
            </w:pPr>
            <w:r>
              <w:rPr>
                <w:sz w:val="4"/>
                <w:szCs w:val="4"/>
              </w:rPr>
            </w:r>
          </w:p>
        </w:tc>
        <w:tc>
          <w:tcPr>
            <w:tcW w:w="4716" w:type="dxa"/>
            <w:gridSpan w:val="2"/>
            <w:tcBorders/>
            <w:shd w:fill="auto" w:val="clear"/>
            <w:vAlign w:val="center"/>
          </w:tcPr>
          <w:p>
            <w:pPr>
              <w:pStyle w:val="TableContents"/>
              <w:spacing w:before="0" w:after="283"/>
              <w:rPr>
                <w:sz w:val="4"/>
                <w:szCs w:val="4"/>
              </w:rPr>
            </w:pPr>
            <w:r>
              <w:rPr>
                <w:sz w:val="4"/>
                <w:szCs w:val="4"/>
              </w:rPr>
            </w:r>
          </w:p>
        </w:tc>
      </w:tr>
      <w:tr>
        <w:trPr/>
        <w:tc>
          <w:tcPr>
            <w:tcW w:w="4606"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395"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26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3" w:type="dxa"/>
            <w:tcBorders/>
            <w:shd w:fill="auto" w:val="clear"/>
            <w:vAlign w:val="bottom"/>
          </w:tcPr>
          <w:p>
            <w:pPr>
              <w:pStyle w:val="TableContents"/>
              <w:spacing w:before="0" w:after="283"/>
              <w:rPr/>
            </w:pPr>
            <w:r>
              <w:rPr/>
              <w:t> </w:t>
            </w:r>
          </w:p>
        </w:tc>
        <w:tc>
          <w:tcPr>
            <w:tcW w:w="4603" w:type="dxa"/>
            <w:tcBorders/>
            <w:shd w:fill="auto" w:val="clear"/>
          </w:tcPr>
          <w:p>
            <w:pPr>
              <w:pStyle w:val="TableContents"/>
              <w:spacing w:before="0" w:after="283"/>
              <w:rPr>
                <w:rFonts w:ascii="Times New Roman" w:hAnsi="Times New Roman"/>
                <w:sz w:val="20"/>
              </w:rPr>
            </w:pPr>
            <w:r>
              <w:rPr>
                <w:rFonts w:ascii="Times New Roman" w:hAnsi="Times New Roman"/>
                <w:sz w:val="20"/>
              </w:rPr>
              <w:t>Plains All American GP LLC, its general partner</w:t>
            </w:r>
          </w:p>
        </w:tc>
      </w:tr>
      <w:tr>
        <w:trPr>
          <w:trHeight w:val="240" w:hRule="atLeast"/>
        </w:trPr>
        <w:tc>
          <w:tcPr>
            <w:tcW w:w="4606" w:type="dxa"/>
            <w:tcBorders/>
            <w:shd w:fill="auto" w:val="clear"/>
            <w:vAlign w:val="center"/>
          </w:tcPr>
          <w:p>
            <w:pPr>
              <w:pStyle w:val="TableContents"/>
              <w:spacing w:before="0" w:after="283"/>
              <w:rPr>
                <w:sz w:val="4"/>
                <w:szCs w:val="4"/>
              </w:rPr>
            </w:pPr>
            <w:r>
              <w:rPr>
                <w:sz w:val="4"/>
                <w:szCs w:val="4"/>
              </w:rPr>
            </w:r>
          </w:p>
        </w:tc>
        <w:tc>
          <w:tcPr>
            <w:tcW w:w="508" w:type="dxa"/>
            <w:gridSpan w:val="2"/>
            <w:tcBorders/>
            <w:shd w:fill="auto" w:val="clear"/>
            <w:vAlign w:val="center"/>
          </w:tcPr>
          <w:p>
            <w:pPr>
              <w:pStyle w:val="TableContents"/>
              <w:spacing w:before="0" w:after="283"/>
              <w:rPr>
                <w:sz w:val="4"/>
                <w:szCs w:val="4"/>
              </w:rPr>
            </w:pPr>
            <w:r>
              <w:rPr>
                <w:sz w:val="4"/>
                <w:szCs w:val="4"/>
              </w:rPr>
            </w:r>
          </w:p>
        </w:tc>
        <w:tc>
          <w:tcPr>
            <w:tcW w:w="375" w:type="dxa"/>
            <w:gridSpan w:val="2"/>
            <w:tcBorders/>
            <w:shd w:fill="auto" w:val="clear"/>
            <w:vAlign w:val="center"/>
          </w:tcPr>
          <w:p>
            <w:pPr>
              <w:pStyle w:val="TableContents"/>
              <w:spacing w:before="0" w:after="283"/>
              <w:rPr>
                <w:sz w:val="4"/>
                <w:szCs w:val="4"/>
              </w:rPr>
            </w:pPr>
            <w:r>
              <w:rPr>
                <w:sz w:val="4"/>
                <w:szCs w:val="4"/>
              </w:rPr>
            </w:r>
          </w:p>
        </w:tc>
        <w:tc>
          <w:tcPr>
            <w:tcW w:w="4716" w:type="dxa"/>
            <w:gridSpan w:val="2"/>
            <w:tcBorders/>
            <w:shd w:fill="auto" w:val="clear"/>
            <w:vAlign w:val="center"/>
          </w:tcPr>
          <w:p>
            <w:pPr>
              <w:pStyle w:val="TableContents"/>
              <w:spacing w:before="0" w:after="283"/>
              <w:rPr>
                <w:sz w:val="4"/>
                <w:szCs w:val="4"/>
              </w:rPr>
            </w:pPr>
            <w:r>
              <w:rPr>
                <w:sz w:val="4"/>
                <w:szCs w:val="4"/>
              </w:rPr>
            </w:r>
          </w:p>
        </w:tc>
      </w:tr>
      <w:tr>
        <w:trPr/>
        <w:tc>
          <w:tcPr>
            <w:tcW w:w="4606"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395"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26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3" w:type="dxa"/>
            <w:tcBorders>
              <w:bottom w:val="single" w:sz="2" w:space="0" w:color="000000"/>
            </w:tcBorders>
            <w:shd w:fill="auto" w:val="clear"/>
            <w:tcMar>
              <w:bottom w:w="28" w:type="dxa"/>
            </w:tcMar>
            <w:vAlign w:val="bottom"/>
          </w:tcPr>
          <w:p>
            <w:pPr>
              <w:pStyle w:val="TableContents"/>
              <w:spacing w:before="0" w:after="283"/>
              <w:rPr/>
            </w:pPr>
            <w:r>
              <w:rPr/>
              <w:t> </w:t>
            </w:r>
          </w:p>
        </w:tc>
        <w:tc>
          <w:tcPr>
            <w:tcW w:w="4603"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Richard McGee</w:t>
            </w:r>
          </w:p>
        </w:tc>
      </w:tr>
      <w:tr>
        <w:trPr/>
        <w:tc>
          <w:tcPr>
            <w:tcW w:w="4606"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395"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262"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4603" w:type="dxa"/>
            <w:tcBorders/>
            <w:shd w:fill="auto" w:val="clear"/>
          </w:tcPr>
          <w:p>
            <w:pPr>
              <w:pStyle w:val="TableContents"/>
              <w:spacing w:before="0" w:after="283"/>
              <w:rPr>
                <w:rFonts w:ascii="Times New Roman" w:hAnsi="Times New Roman"/>
                <w:sz w:val="20"/>
              </w:rPr>
            </w:pPr>
            <w:r>
              <w:rPr>
                <w:rFonts w:ascii="Times New Roman" w:hAnsi="Times New Roman"/>
                <w:sz w:val="20"/>
              </w:rPr>
              <w:t>Name: Richard McGee</w:t>
            </w:r>
          </w:p>
        </w:tc>
      </w:tr>
      <w:tr>
        <w:trPr/>
        <w:tc>
          <w:tcPr>
            <w:tcW w:w="4606"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395"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262"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4603" w:type="dxa"/>
            <w:tcBorders/>
            <w:shd w:fill="auto" w:val="clear"/>
          </w:tcPr>
          <w:p>
            <w:pPr>
              <w:pStyle w:val="TableContents"/>
              <w:spacing w:before="0" w:after="283"/>
              <w:rPr>
                <w:rFonts w:ascii="Times New Roman" w:hAnsi="Times New Roman"/>
                <w:sz w:val="20"/>
              </w:rPr>
            </w:pPr>
            <w:r>
              <w:rPr>
                <w:rFonts w:ascii="Times New Roman" w:hAnsi="Times New Roman"/>
                <w:sz w:val="20"/>
              </w:rPr>
              <w:t>Title: Executive Vice President</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605</Words>
  <CharactersWithSpaces>3905</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Form 8-K</dc:title>
</cp:coreProperties>
</file>