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Arial" w:cs="Arial" w:eastAsia="Arial" w:hAnsi="Arial"/>
          <w:sz w:val="18"/>
          <w:szCs w:val="18"/>
          <w:color w:val="auto"/>
        </w:rPr>
        <w:t>SECURITIES AND EXCHANGE COMMISSION</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SCHEDULE 13G/A</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Under the Securities Exchange Act of 1934</w:t>
      </w:r>
    </w:p>
    <w:p>
      <w:pPr>
        <w:spacing w:after="0" w:line="9"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(Amendment No. 2)*</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Plains GP Holdings, L.P.</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(Name of Issuer)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Class A Shares</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(Title of Class of Securities)</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72651A207</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(CUSIP Number)</w:t>
      </w:r>
    </w:p>
    <w:p>
      <w:pPr>
        <w:spacing w:after="0" w:line="211" w:lineRule="exact"/>
        <w:rPr>
          <w:sz w:val="24"/>
          <w:szCs w:val="24"/>
          <w:color w:val="auto"/>
        </w:rPr>
      </w:pPr>
    </w:p>
    <w:p>
      <w:pPr>
        <w:jc w:val="center"/>
        <w:ind w:right="-19"/>
        <w:spacing w:after="0"/>
        <w:rPr>
          <w:sz w:val="20"/>
          <w:szCs w:val="20"/>
          <w:color w:val="auto"/>
        </w:rPr>
      </w:pPr>
      <w:r>
        <w:rPr>
          <w:rFonts w:ascii="Arial" w:cs="Arial" w:eastAsia="Arial" w:hAnsi="Arial"/>
          <w:sz w:val="18"/>
          <w:szCs w:val="18"/>
          <w:u w:val="single" w:color="auto"/>
          <w:color w:val="auto"/>
        </w:rPr>
        <w:t>December 31, 2021</w:t>
      </w:r>
    </w:p>
    <w:p>
      <w:pPr>
        <w:spacing w:after="0" w:line="23"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 to designate the rule pursuant to which this Schedule is filed:</w:t>
      </w:r>
    </w:p>
    <w:p>
      <w:pPr>
        <w:spacing w:after="0" w:line="225" w:lineRule="exact"/>
        <w:rPr>
          <w:sz w:val="24"/>
          <w:szCs w:val="24"/>
          <w:color w:val="auto"/>
        </w:rPr>
      </w:pPr>
    </w:p>
    <w:p>
      <w:pPr>
        <w:jc w:val="both"/>
        <w:ind w:left="3560" w:right="6280" w:hanging="2"/>
        <w:spacing w:after="0" w:line="227" w:lineRule="exact"/>
        <w:tabs>
          <w:tab w:leader="none" w:pos="3952" w:val="left"/>
        </w:tabs>
        <w:numPr>
          <w:ilvl w:val="0"/>
          <w:numId w:val="1"/>
        </w:numPr>
        <w:rPr>
          <w:rFonts w:ascii="MS PGothic" w:cs="MS PGothic" w:eastAsia="MS PGothic" w:hAnsi="MS PGothic"/>
          <w:sz w:val="16"/>
          <w:szCs w:val="16"/>
          <w:color w:val="auto"/>
        </w:rPr>
      </w:pPr>
      <w:r>
        <w:rPr>
          <w:rFonts w:ascii="Arial" w:cs="Arial" w:eastAsia="Arial" w:hAnsi="Arial"/>
          <w:sz w:val="16"/>
          <w:szCs w:val="16"/>
          <w:color w:val="auto"/>
        </w:rPr>
        <w:t xml:space="preserve">Rule 13d-1(b)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13d-1(c) </w:t>
      </w:r>
      <w:r>
        <w:rPr>
          <w:rFonts w:ascii="MS PGothic" w:cs="MS PGothic" w:eastAsia="MS PGothic" w:hAnsi="MS PGothic"/>
          <w:sz w:val="16"/>
          <w:szCs w:val="16"/>
          <w:color w:val="auto"/>
        </w:rPr>
        <w:t>☐</w:t>
      </w:r>
      <w:r>
        <w:rPr>
          <w:rFonts w:ascii="Arial" w:cs="Arial" w:eastAsia="Arial" w:hAnsi="Arial"/>
          <w:sz w:val="16"/>
          <w:szCs w:val="16"/>
          <w:color w:val="auto"/>
        </w:rPr>
        <w:t xml:space="preserve"> Rule 13d-1(d)</w:t>
      </w:r>
    </w:p>
    <w:p>
      <w:pPr>
        <w:spacing w:after="0" w:line="183" w:lineRule="exact"/>
        <w:rPr>
          <w:sz w:val="24"/>
          <w:szCs w:val="24"/>
          <w:color w:val="auto"/>
        </w:rPr>
      </w:pPr>
    </w:p>
    <w:p>
      <w:pPr>
        <w:jc w:val="both"/>
        <w:ind w:right="20"/>
        <w:spacing w:after="0" w:line="277" w:lineRule="auto"/>
        <w:rPr>
          <w:sz w:val="20"/>
          <w:szCs w:val="20"/>
          <w:color w:val="auto"/>
        </w:rPr>
      </w:pPr>
      <w:r>
        <w:rPr>
          <w:rFonts w:ascii="Arial" w:cs="Arial" w:eastAsia="Arial" w:hAnsi="Arial"/>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70" w:lineRule="exact"/>
        <w:rPr>
          <w:sz w:val="24"/>
          <w:szCs w:val="24"/>
          <w:color w:val="auto"/>
        </w:rPr>
      </w:pPr>
    </w:p>
    <w:p>
      <w:pPr>
        <w:jc w:val="both"/>
        <w:spacing w:after="0" w:line="263" w:lineRule="auto"/>
        <w:rPr>
          <w:sz w:val="20"/>
          <w:szCs w:val="20"/>
          <w:color w:val="auto"/>
        </w:rPr>
      </w:pPr>
      <w:r>
        <w:rPr>
          <w:rFonts w:ascii="Arial" w:cs="Arial" w:eastAsia="Arial" w:hAnsi="Arial"/>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348615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449" w:right="339" w:bottom="1440" w:gutter="0" w:footer="0" w:header="0"/>
        </w:sectPr>
      </w:pPr>
    </w:p>
    <w:bookmarkStart w:id="1" w:name="page2"/>
    <w:bookmarkEnd w:id="1"/>
    <w:p>
      <w:pPr>
        <w:ind w:left="12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206375</wp:posOffset>
            </wp:positionH>
            <wp:positionV relativeFrom="page">
              <wp:posOffset>378460</wp:posOffset>
            </wp:positionV>
            <wp:extent cx="1075690" cy="29527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075690" cy="295275"/>
                    </a:xfrm>
                    <a:prstGeom prst="rect">
                      <a:avLst/>
                    </a:prstGeom>
                    <a:noFill/>
                  </pic:spPr>
                </pic:pic>
              </a:graphicData>
            </a:graphic>
          </wp:anchor>
        </w:drawing>
        <w:t>CUSIP No.</w:t>
      </w:r>
    </w:p>
    <w:p>
      <w:pPr>
        <w:spacing w:after="0" w:line="23" w:lineRule="exact"/>
        <w:rPr>
          <w:sz w:val="20"/>
          <w:szCs w:val="20"/>
          <w:color w:val="auto"/>
        </w:rPr>
      </w:pPr>
    </w:p>
    <w:p>
      <w:pPr>
        <w:ind w:left="120"/>
        <w:spacing w:after="0"/>
        <w:rPr>
          <w:sz w:val="20"/>
          <w:szCs w:val="20"/>
          <w:color w:val="auto"/>
        </w:rPr>
      </w:pPr>
      <w:r>
        <w:rPr>
          <w:rFonts w:ascii="Arial" w:cs="Arial" w:eastAsia="Arial" w:hAnsi="Arial"/>
          <w:sz w:val="18"/>
          <w:szCs w:val="18"/>
          <w:color w:val="auto"/>
        </w:rPr>
        <w:t>72651A207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151765</wp:posOffset>
            </wp:positionV>
            <wp:extent cx="6772275" cy="24263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772275" cy="2426335"/>
                    </a:xfrm>
                    <a:prstGeom prst="rect">
                      <a:avLst/>
                    </a:prstGeom>
                    <a:noFill/>
                  </pic:spPr>
                </pic:pic>
              </a:graphicData>
            </a:graphic>
          </wp:anchor>
        </w:drawing>
      </w:r>
    </w:p>
    <w:p>
      <w:pPr>
        <w:spacing w:after="0" w:line="241" w:lineRule="exact"/>
        <w:rPr>
          <w:sz w:val="20"/>
          <w:szCs w:val="20"/>
          <w:color w:val="auto"/>
        </w:rPr>
      </w:pPr>
    </w:p>
    <w:p>
      <w:pPr>
        <w:ind w:left="700" w:hanging="493"/>
        <w:spacing w:after="0"/>
        <w:tabs>
          <w:tab w:leader="none" w:pos="70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NAMES OF REPORTING PERSONS</w:t>
      </w:r>
    </w:p>
    <w:p>
      <w:pPr>
        <w:spacing w:after="0" w:line="229" w:lineRule="exact"/>
        <w:rPr>
          <w:sz w:val="20"/>
          <w:szCs w:val="20"/>
          <w:color w:val="auto"/>
        </w:rPr>
      </w:pPr>
    </w:p>
    <w:p>
      <w:pPr>
        <w:ind w:left="700"/>
        <w:spacing w:after="0"/>
        <w:rPr>
          <w:sz w:val="20"/>
          <w:szCs w:val="20"/>
          <w:color w:val="auto"/>
        </w:rPr>
      </w:pPr>
      <w:r>
        <w:rPr>
          <w:rFonts w:ascii="Arial" w:cs="Arial" w:eastAsia="Arial" w:hAnsi="Arial"/>
          <w:sz w:val="18"/>
          <w:szCs w:val="18"/>
          <w:color w:val="auto"/>
        </w:rPr>
        <w:t>Chickasaw Capital Management, LLC</w:t>
      </w:r>
    </w:p>
    <w:p>
      <w:pPr>
        <w:spacing w:after="0" w:line="23" w:lineRule="exact"/>
        <w:rPr>
          <w:sz w:val="20"/>
          <w:szCs w:val="20"/>
          <w:color w:val="auto"/>
        </w:rPr>
      </w:pPr>
    </w:p>
    <w:p>
      <w:pPr>
        <w:ind w:left="700" w:hanging="493"/>
        <w:spacing w:after="0"/>
        <w:tabs>
          <w:tab w:leader="none" w:pos="7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CHECK THE APPROPRIATE BOX IF A MEMBER OF A GROUP</w:t>
      </w:r>
    </w:p>
    <w:p>
      <w:pPr>
        <w:spacing w:after="0" w:line="200" w:lineRule="exact"/>
        <w:rPr>
          <w:sz w:val="20"/>
          <w:szCs w:val="20"/>
          <w:color w:val="auto"/>
        </w:rPr>
      </w:pPr>
    </w:p>
    <w:p>
      <w:pPr>
        <w:spacing w:after="0" w:line="254" w:lineRule="exact"/>
        <w:rPr>
          <w:sz w:val="20"/>
          <w:szCs w:val="20"/>
          <w:color w:val="auto"/>
        </w:rPr>
      </w:pPr>
    </w:p>
    <w:p>
      <w:pPr>
        <w:ind w:left="700" w:hanging="493"/>
        <w:spacing w:after="0"/>
        <w:tabs>
          <w:tab w:leader="none" w:pos="700" w:val="left"/>
        </w:tabs>
        <w:numPr>
          <w:ilvl w:val="0"/>
          <w:numId w:val="4"/>
        </w:numPr>
        <w:rPr>
          <w:rFonts w:ascii="Arial" w:cs="Arial" w:eastAsia="Arial" w:hAnsi="Arial"/>
          <w:sz w:val="18"/>
          <w:szCs w:val="18"/>
          <w:b w:val="1"/>
          <w:bCs w:val="1"/>
          <w:color w:val="auto"/>
        </w:rPr>
      </w:pPr>
      <w:r>
        <w:rPr>
          <w:rFonts w:ascii="Arial" w:cs="Arial" w:eastAsia="Arial" w:hAnsi="Arial"/>
          <w:sz w:val="18"/>
          <w:szCs w:val="18"/>
          <w:color w:val="auto"/>
        </w:rPr>
        <w:t>SEC USE ONLY</w:t>
      </w:r>
    </w:p>
    <w:p>
      <w:pPr>
        <w:spacing w:after="0" w:line="23" w:lineRule="exact"/>
        <w:rPr>
          <w:sz w:val="20"/>
          <w:szCs w:val="20"/>
          <w:color w:val="auto"/>
        </w:rPr>
      </w:pPr>
    </w:p>
    <w:p>
      <w:pPr>
        <w:ind w:left="700" w:right="4340" w:hanging="493"/>
        <w:spacing w:after="0" w:line="258" w:lineRule="auto"/>
        <w:tabs>
          <w:tab w:leader="none" w:pos="7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CITIZENSHIP OR PLACE OF ORGANIZATION </w:t>
      </w:r>
      <w:r>
        <w:rPr>
          <w:rFonts w:ascii="Arial" w:cs="Arial" w:eastAsia="Arial" w:hAnsi="Arial"/>
          <w:sz w:val="18"/>
          <w:szCs w:val="18"/>
          <w:color w:val="auto"/>
        </w:rPr>
        <w:t>Delaware</w:t>
      </w:r>
    </w:p>
    <w:p>
      <w:pPr>
        <w:spacing w:after="0" w:line="20" w:lineRule="exact"/>
        <w:rPr>
          <w:sz w:val="20"/>
          <w:szCs w:val="20"/>
          <w:color w:val="auto"/>
        </w:rPr>
      </w:pPr>
      <w:r>
        <w:rPr>
          <w:sz w:val="20"/>
          <w:szCs w:val="20"/>
          <w:color w:val="auto"/>
        </w:rPr>
        <w:br w:type="column"/>
      </w:r>
    </w:p>
    <w:p>
      <w:pPr>
        <w:spacing w:after="0" w:line="88" w:lineRule="exact"/>
        <w:rPr>
          <w:sz w:val="20"/>
          <w:szCs w:val="20"/>
          <w:color w:val="auto"/>
        </w:rPr>
      </w:pPr>
    </w:p>
    <w:p>
      <w:pPr>
        <w:spacing w:after="0"/>
        <w:rPr>
          <w:sz w:val="20"/>
          <w:szCs w:val="20"/>
          <w:color w:val="auto"/>
        </w:rPr>
      </w:pPr>
      <w:r>
        <w:rPr>
          <w:rFonts w:ascii="Arial" w:cs="Arial" w:eastAsia="Arial" w:hAnsi="Arial"/>
          <w:sz w:val="15"/>
          <w:szCs w:val="15"/>
          <w:color w:val="auto"/>
        </w:rPr>
        <w:t>Page 2 of 6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-111760</wp:posOffset>
            </wp:positionH>
            <wp:positionV relativeFrom="paragraph">
              <wp:posOffset>-179070</wp:posOffset>
            </wp:positionV>
            <wp:extent cx="1066800" cy="2952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066800" cy="2952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left="620"/>
        <w:spacing w:after="0" w:line="196" w:lineRule="exact"/>
        <w:rPr>
          <w:sz w:val="20"/>
          <w:szCs w:val="20"/>
          <w:color w:val="auto"/>
        </w:rPr>
      </w:pPr>
      <w:r>
        <w:rPr>
          <w:rFonts w:ascii="Arial" w:cs="Arial" w:eastAsia="Arial" w:hAnsi="Arial"/>
          <w:sz w:val="15"/>
          <w:szCs w:val="15"/>
          <w:b w:val="1"/>
          <w:bCs w:val="1"/>
          <w:color w:val="auto"/>
        </w:rPr>
        <w:t xml:space="preserve">(a) </w:t>
      </w:r>
      <w:r>
        <w:rPr>
          <w:rFonts w:ascii="MS PGothic" w:cs="MS PGothic" w:eastAsia="MS PGothic" w:hAnsi="MS PGothic"/>
          <w:sz w:val="17"/>
          <w:szCs w:val="17"/>
          <w:color w:val="auto"/>
          <w:highlight w:val="black"/>
        </w:rPr>
        <w:t>☐</w:t>
      </w:r>
    </w:p>
    <w:p>
      <w:pPr>
        <w:spacing w:after="0" w:line="63" w:lineRule="exact"/>
        <w:rPr>
          <w:sz w:val="20"/>
          <w:szCs w:val="20"/>
          <w:color w:val="auto"/>
        </w:rPr>
      </w:pPr>
    </w:p>
    <w:p>
      <w:pPr>
        <w:ind w:left="620"/>
        <w:spacing w:after="0" w:line="196" w:lineRule="exact"/>
        <w:rPr>
          <w:sz w:val="20"/>
          <w:szCs w:val="20"/>
          <w:color w:val="auto"/>
        </w:rPr>
      </w:pPr>
      <w:r>
        <w:rPr>
          <w:rFonts w:ascii="Arial" w:cs="Arial" w:eastAsia="Arial" w:hAnsi="Arial"/>
          <w:sz w:val="15"/>
          <w:szCs w:val="15"/>
          <w:b w:val="1"/>
          <w:bCs w:val="1"/>
          <w:color w:val="auto"/>
        </w:rPr>
        <w:t xml:space="preserve">(b) </w:t>
      </w:r>
      <w:r>
        <w:rPr>
          <w:rFonts w:ascii="MS PGothic" w:cs="MS PGothic" w:eastAsia="MS PGothic" w:hAnsi="MS PGothic"/>
          <w:sz w:val="17"/>
          <w:szCs w:val="17"/>
          <w:color w:val="auto"/>
          <w:highlight w:val="black"/>
        </w:rPr>
        <w:t>☐</w:t>
      </w:r>
    </w:p>
    <w:p>
      <w:pPr>
        <w:spacing w:after="0" w:line="701" w:lineRule="exact"/>
        <w:rPr>
          <w:sz w:val="20"/>
          <w:szCs w:val="20"/>
          <w:color w:val="auto"/>
        </w:rPr>
      </w:pPr>
    </w:p>
    <w:p>
      <w:pPr>
        <w:sectPr>
          <w:pgSz w:w="11900" w:h="16838" w:orient="portrait"/>
          <w:cols w:equalWidth="0" w:num="2">
            <w:col w:w="8960" w:space="720"/>
            <w:col w:w="1440"/>
          </w:cols>
          <w:pgMar w:left="380" w:top="598" w:right="399" w:bottom="1440" w:gutter="0" w:footer="0" w:header="0"/>
        </w:sectPr>
      </w:pPr>
    </w:p>
    <w:p>
      <w:pPr>
        <w:jc w:val="center"/>
        <w:spacing w:after="0"/>
        <w:rPr>
          <w:sz w:val="20"/>
          <w:szCs w:val="20"/>
          <w:color w:val="auto"/>
        </w:rPr>
      </w:pPr>
      <w:r>
        <w:rPr>
          <w:rFonts w:ascii="Arial" w:cs="Arial" w:eastAsia="Arial" w:hAnsi="Arial"/>
          <w:sz w:val="18"/>
          <w:szCs w:val="18"/>
          <w:b w:val="1"/>
          <w:bCs w:val="1"/>
          <w:color w:val="auto"/>
        </w:rPr>
        <w:t>NUMBER OF</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SHARES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BENEFICIALLY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OWNED BY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EACH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REPORTING</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PERSON</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WITH:</w:t>
      </w:r>
    </w:p>
    <w:p>
      <w:pPr>
        <w:spacing w:after="0" w:line="20" w:lineRule="exact"/>
        <w:rPr>
          <w:sz w:val="20"/>
          <w:szCs w:val="20"/>
          <w:color w:val="auto"/>
        </w:rPr>
      </w:pPr>
      <w:r>
        <w:rPr>
          <w:sz w:val="20"/>
          <w:szCs w:val="20"/>
          <w:color w:val="auto"/>
        </w:rPr>
        <w:br w:type="column"/>
      </w:r>
    </w:p>
    <w:p>
      <w:pPr>
        <w:ind w:left="470" w:right="7100" w:hanging="470"/>
        <w:spacing w:after="0" w:line="258" w:lineRule="auto"/>
        <w:tabs>
          <w:tab w:leader="none" w:pos="47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VOTING POWER </w:t>
      </w:r>
      <w:r>
        <w:rPr>
          <w:rFonts w:ascii="Arial" w:cs="Arial" w:eastAsia="Arial" w:hAnsi="Arial"/>
          <w:sz w:val="18"/>
          <w:szCs w:val="18"/>
          <w:color w:val="auto"/>
        </w:rPr>
        <w:t>9,299,392</w:t>
      </w:r>
    </w:p>
    <w:p>
      <w:pPr>
        <w:ind w:left="470" w:right="6840" w:hanging="470"/>
        <w:spacing w:after="0" w:line="258" w:lineRule="auto"/>
        <w:tabs>
          <w:tab w:leader="none" w:pos="47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VOTING POWER </w:t>
      </w:r>
      <w:r>
        <w:rPr>
          <w:rFonts w:ascii="Arial" w:cs="Arial" w:eastAsia="Arial" w:hAnsi="Arial"/>
          <w:sz w:val="18"/>
          <w:szCs w:val="18"/>
          <w:color w:val="auto"/>
        </w:rPr>
        <w:t>0</w:t>
      </w:r>
    </w:p>
    <w:p>
      <w:pPr>
        <w:ind w:left="470" w:right="6660" w:hanging="470"/>
        <w:spacing w:after="0" w:line="258" w:lineRule="auto"/>
        <w:tabs>
          <w:tab w:leader="none" w:pos="47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SOLE DISPOSITIVE POWER </w:t>
      </w:r>
      <w:r>
        <w:rPr>
          <w:rFonts w:ascii="Arial" w:cs="Arial" w:eastAsia="Arial" w:hAnsi="Arial"/>
          <w:sz w:val="18"/>
          <w:szCs w:val="18"/>
          <w:color w:val="auto"/>
        </w:rPr>
        <w:t>9,299,392</w:t>
      </w:r>
    </w:p>
    <w:p>
      <w:pPr>
        <w:ind w:left="470" w:right="6400" w:hanging="470"/>
        <w:spacing w:after="0" w:line="258" w:lineRule="auto"/>
        <w:tabs>
          <w:tab w:leader="none" w:pos="47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SHARED DISPOSITIVE POWER </w:t>
      </w:r>
      <w:r>
        <w:rPr>
          <w:rFonts w:ascii="Arial" w:cs="Arial" w:eastAsia="Arial" w:hAnsi="Arial"/>
          <w:sz w:val="18"/>
          <w:szCs w:val="18"/>
          <w:color w:val="auto"/>
        </w:rPr>
        <w:t>0</w:t>
      </w:r>
    </w:p>
    <w:p>
      <w:pPr>
        <w:spacing w:after="0" w:line="1" w:lineRule="exact"/>
        <w:rPr>
          <w:sz w:val="20"/>
          <w:szCs w:val="20"/>
          <w:color w:val="auto"/>
        </w:rPr>
      </w:pPr>
    </w:p>
    <w:p>
      <w:pPr>
        <w:sectPr>
          <w:pgSz w:w="11900" w:h="16838" w:orient="portrait"/>
          <w:cols w:equalWidth="0" w:num="2">
            <w:col w:w="1340" w:space="230"/>
            <w:col w:w="9550"/>
          </w:cols>
          <w:pgMar w:left="380" w:top="598" w:right="399" w:bottom="1440" w:gutter="0" w:footer="0" w:header="0"/>
          <w:type w:val="continuous"/>
        </w:sectPr>
      </w:pPr>
    </w:p>
    <w:p>
      <w:pPr>
        <w:ind w:left="680" w:hanging="480"/>
        <w:spacing w:after="0"/>
        <w:tabs>
          <w:tab w:leader="none" w:pos="6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AGGREGATE AMOUNT BENEFICIALLY OWNED BY EACH REPORTING PERSON </w:t>
      </w:r>
      <w:r>
        <w:rPr>
          <w:rFonts w:ascii="Arial" w:cs="Arial" w:eastAsia="Arial" w:hAnsi="Arial"/>
          <w:sz w:val="18"/>
          <w:szCs w:val="18"/>
          <w:color w:val="auto"/>
        </w:rPr>
        <w:t>9,299,392*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14605</wp:posOffset>
            </wp:positionV>
            <wp:extent cx="67722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3" w:lineRule="exact"/>
        <w:rPr>
          <w:sz w:val="20"/>
          <w:szCs w:val="20"/>
          <w:color w:val="auto"/>
        </w:rPr>
      </w:pPr>
    </w:p>
    <w:p>
      <w:pPr>
        <w:ind w:left="160"/>
        <w:spacing w:after="0" w:line="207" w:lineRule="exact"/>
        <w:tabs>
          <w:tab w:leader="none" w:pos="660" w:val="left"/>
          <w:tab w:leader="none" w:pos="848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8"/>
          <w:szCs w:val="18"/>
          <w:b w:val="1"/>
          <w:bCs w:val="1"/>
          <w:color w:val="auto"/>
        </w:rPr>
        <w:t>CHECK IF THE AGGREGATE AMOUNT IN ROW (9) EXCLUDES CERTAIN SHARES</w:t>
      </w:r>
      <w:r>
        <w:rPr>
          <w:sz w:val="20"/>
          <w:szCs w:val="20"/>
          <w:color w:val="auto"/>
        </w:rPr>
        <w:tab/>
      </w:r>
      <w:r>
        <w:rPr>
          <w:rFonts w:ascii="MS PGothic" w:cs="MS PGothic" w:eastAsia="MS PGothic" w:hAnsi="MS PGothic"/>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14605</wp:posOffset>
            </wp:positionV>
            <wp:extent cx="677227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772275" cy="8255"/>
                    </a:xfrm>
                    <a:prstGeom prst="rect">
                      <a:avLst/>
                    </a:prstGeom>
                    <a:noFill/>
                  </pic:spPr>
                </pic:pic>
              </a:graphicData>
            </a:graphic>
          </wp:anchor>
        </w:drawing>
      </w:r>
    </w:p>
    <w:p>
      <w:pPr>
        <w:spacing w:after="0" w:line="18" w:lineRule="exact"/>
        <w:rPr>
          <w:sz w:val="20"/>
          <w:szCs w:val="20"/>
          <w:color w:val="auto"/>
        </w:rPr>
      </w:pPr>
    </w:p>
    <w:p>
      <w:pPr>
        <w:ind w:left="680" w:hanging="520"/>
        <w:spacing w:after="0"/>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PERCENT OF CLASS REPRESENTED BY AMOUNT IN ROW (9)</w:t>
      </w:r>
    </w:p>
    <w:p>
      <w:pPr>
        <w:spacing w:after="0" w:line="7" w:lineRule="exact"/>
        <w:rPr>
          <w:rFonts w:ascii="Arial" w:cs="Arial" w:eastAsia="Arial" w:hAnsi="Arial"/>
          <w:sz w:val="18"/>
          <w:szCs w:val="18"/>
          <w:b w:val="1"/>
          <w:bCs w:val="1"/>
          <w:color w:val="auto"/>
        </w:rPr>
      </w:pPr>
    </w:p>
    <w:p>
      <w:pPr>
        <w:ind w:left="680"/>
        <w:spacing w:after="0"/>
        <w:rPr>
          <w:rFonts w:ascii="Arial" w:cs="Arial" w:eastAsia="Arial" w:hAnsi="Arial"/>
          <w:sz w:val="18"/>
          <w:szCs w:val="18"/>
          <w:b w:val="1"/>
          <w:bCs w:val="1"/>
          <w:color w:val="auto"/>
        </w:rPr>
      </w:pPr>
      <w:r>
        <w:rPr>
          <w:rFonts w:ascii="Arial" w:cs="Arial" w:eastAsia="Arial" w:hAnsi="Arial"/>
          <w:sz w:val="18"/>
          <w:szCs w:val="18"/>
          <w:color w:val="auto"/>
        </w:rPr>
        <w:t>4.8%**</w:t>
      </w:r>
    </w:p>
    <w:p>
      <w:pPr>
        <w:spacing w:after="0" w:line="9" w:lineRule="exact"/>
        <w:rPr>
          <w:rFonts w:ascii="Arial" w:cs="Arial" w:eastAsia="Arial" w:hAnsi="Arial"/>
          <w:sz w:val="18"/>
          <w:szCs w:val="18"/>
          <w:b w:val="1"/>
          <w:bCs w:val="1"/>
          <w:color w:val="auto"/>
        </w:rPr>
      </w:pPr>
    </w:p>
    <w:p>
      <w:pPr>
        <w:ind w:left="680" w:right="7760" w:hanging="525"/>
        <w:spacing w:after="0" w:line="258" w:lineRule="auto"/>
        <w:tabs>
          <w:tab w:leader="none" w:pos="68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TYPE OF REPORTING PERSON </w:t>
      </w:r>
      <w:r>
        <w:rPr>
          <w:rFonts w:ascii="Arial" w:cs="Arial" w:eastAsia="Arial" w:hAnsi="Arial"/>
          <w:sz w:val="18"/>
          <w:szCs w:val="18"/>
          <w:color w:val="auto"/>
        </w:rPr>
        <w:t>IA</w:t>
      </w:r>
    </w:p>
    <w:p>
      <w:pPr>
        <w:ind w:left="68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*See Item 4 of this Schedule 13G.</w:t>
      </w:r>
    </w:p>
    <w:p>
      <w:pPr>
        <w:spacing w:after="0" w:line="22" w:lineRule="exact"/>
        <w:rPr>
          <w:rFonts w:ascii="Arial" w:cs="Arial" w:eastAsia="Arial" w:hAnsi="Arial"/>
          <w:sz w:val="18"/>
          <w:szCs w:val="18"/>
          <w:b w:val="1"/>
          <w:bCs w:val="1"/>
          <w:color w:val="auto"/>
        </w:rPr>
      </w:pPr>
    </w:p>
    <w:p>
      <w:pPr>
        <w:ind w:left="920" w:hanging="243"/>
        <w:spacing w:after="0"/>
        <w:tabs>
          <w:tab w:leader="none" w:pos="920" w:val="left"/>
        </w:tabs>
        <w:numPr>
          <w:ilvl w:val="1"/>
          <w:numId w:val="11"/>
        </w:numPr>
        <w:rPr>
          <w:rFonts w:ascii="Arial" w:cs="Arial" w:eastAsia="Arial" w:hAnsi="Arial"/>
          <w:sz w:val="16"/>
          <w:szCs w:val="16"/>
          <w:b w:val="1"/>
          <w:bCs w:val="1"/>
          <w:color w:val="auto"/>
        </w:rPr>
      </w:pPr>
      <w:r>
        <w:rPr>
          <w:rFonts w:ascii="Arial" w:cs="Arial" w:eastAsia="Arial" w:hAnsi="Arial"/>
          <w:sz w:val="16"/>
          <w:szCs w:val="16"/>
          <w:b w:val="1"/>
          <w:bCs w:val="1"/>
          <w:color w:val="auto"/>
        </w:rPr>
        <w:t>Based on 194,142,415 Class A Shares issued and outstanding as of October 29, 2021, as reported on Issuer</w:t>
      </w:r>
      <w:r>
        <w:rPr>
          <w:rFonts w:ascii="Arial" w:cs="Arial" w:eastAsia="Arial" w:hAnsi="Arial"/>
          <w:sz w:val="16"/>
          <w:szCs w:val="16"/>
          <w:color w:val="auto"/>
        </w:rPr>
        <w:t>’</w:t>
      </w:r>
      <w:r>
        <w:rPr>
          <w:rFonts w:ascii="Arial" w:cs="Arial" w:eastAsia="Arial" w:hAnsi="Arial"/>
          <w:sz w:val="16"/>
          <w:szCs w:val="16"/>
          <w:b w:val="1"/>
          <w:bCs w:val="1"/>
          <w:color w:val="auto"/>
        </w:rPr>
        <w:t>s Quarterly Report on</w:t>
      </w:r>
    </w:p>
    <w:p>
      <w:pPr>
        <w:spacing w:after="0" w:line="32" w:lineRule="exact"/>
        <w:rPr>
          <w:rFonts w:ascii="Arial" w:cs="Arial" w:eastAsia="Arial" w:hAnsi="Arial"/>
          <w:sz w:val="16"/>
          <w:szCs w:val="16"/>
          <w:b w:val="1"/>
          <w:bCs w:val="1"/>
          <w:color w:val="auto"/>
        </w:rPr>
      </w:pPr>
    </w:p>
    <w:p>
      <w:pPr>
        <w:ind w:left="680"/>
        <w:spacing w:after="0"/>
        <w:rPr>
          <w:rFonts w:ascii="Arial" w:cs="Arial" w:eastAsia="Arial" w:hAnsi="Arial"/>
          <w:sz w:val="16"/>
          <w:szCs w:val="16"/>
          <w:b w:val="1"/>
          <w:bCs w:val="1"/>
          <w:color w:val="auto"/>
        </w:rPr>
      </w:pPr>
      <w:r>
        <w:rPr>
          <w:rFonts w:ascii="Arial" w:cs="Arial" w:eastAsia="Arial" w:hAnsi="Arial"/>
          <w:sz w:val="18"/>
          <w:szCs w:val="18"/>
          <w:b w:val="1"/>
          <w:bCs w:val="1"/>
          <w:color w:val="auto"/>
        </w:rPr>
        <w:t>Form 10-Q filed on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327025</wp:posOffset>
            </wp:positionH>
            <wp:positionV relativeFrom="paragraph">
              <wp:posOffset>-696595</wp:posOffset>
            </wp:positionV>
            <wp:extent cx="677227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772275" cy="825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-413385</wp:posOffset>
            </wp:positionV>
            <wp:extent cx="7132320" cy="44577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445770"/>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391795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20"/>
          </w:cols>
          <w:pgMar w:left="380" w:top="598" w:right="399" w:bottom="1440" w:gutter="0" w:footer="0" w:header="0"/>
          <w:type w:val="continuous"/>
        </w:sectPr>
      </w:pPr>
    </w:p>
    <w:bookmarkStart w:id="2" w:name="page3"/>
    <w:bookmarkEnd w:id="2"/>
    <w:tbl>
      <w:tblPr>
        <w:tblLayout w:type="fixed"/>
        <w:tblInd w:w="10" w:type="dxa"/>
        <w:tblCellMar>
          <w:top w:w="0" w:type="dxa"/>
          <w:left w:w="0" w:type="dxa"/>
          <w:bottom w:w="0" w:type="dxa"/>
          <w:right w:w="0" w:type="dxa"/>
        </w:tblCellMar>
      </w:tblPr>
      <w:tr>
        <w:trPr>
          <w:trHeight w:val="218"/>
        </w:trPr>
        <w:tc>
          <w:tcPr>
            <w:tcW w:w="1080" w:type="dxa"/>
            <w:vAlign w:val="bottom"/>
            <w:tcBorders>
              <w:top w:val="single" w:sz="8" w:color="auto"/>
              <w:left w:val="single" w:sz="8" w:color="auto"/>
            </w:tcBorders>
          </w:tcPr>
          <w:p>
            <w:pPr>
              <w:ind w:left="180"/>
              <w:spacing w:after="0"/>
              <w:rPr>
                <w:sz w:val="20"/>
                <w:szCs w:val="20"/>
                <w:color w:val="auto"/>
              </w:rPr>
            </w:pPr>
            <w:r>
              <w:rPr>
                <w:rFonts w:ascii="Arial" w:cs="Arial" w:eastAsia="Arial" w:hAnsi="Arial"/>
                <w:sz w:val="18"/>
                <w:szCs w:val="18"/>
                <w:color w:val="auto"/>
                <w:w w:val="99"/>
              </w:rPr>
              <w:t>CUSIP No.</w:t>
            </w:r>
          </w:p>
        </w:tc>
        <w:tc>
          <w:tcPr>
            <w:tcW w:w="620" w:type="dxa"/>
            <w:vAlign w:val="bottom"/>
            <w:tcBorders>
              <w:top w:val="single" w:sz="8" w:color="auto"/>
              <w:right w:val="single" w:sz="8" w:color="auto"/>
            </w:tcBorders>
          </w:tcPr>
          <w:p>
            <w:pPr>
              <w:spacing w:after="0"/>
              <w:rPr>
                <w:sz w:val="18"/>
                <w:szCs w:val="18"/>
                <w:color w:val="auto"/>
              </w:rPr>
            </w:pPr>
          </w:p>
        </w:tc>
        <w:tc>
          <w:tcPr>
            <w:tcW w:w="360" w:type="dxa"/>
            <w:vAlign w:val="bottom"/>
          </w:tcPr>
          <w:p>
            <w:pPr>
              <w:spacing w:after="0"/>
              <w:rPr>
                <w:sz w:val="18"/>
                <w:szCs w:val="18"/>
                <w:color w:val="auto"/>
              </w:rPr>
            </w:pPr>
          </w:p>
        </w:tc>
        <w:tc>
          <w:tcPr>
            <w:tcW w:w="7520" w:type="dxa"/>
            <w:vAlign w:val="bottom"/>
            <w:tcBorders>
              <w:right w:val="single" w:sz="8" w:color="auto"/>
            </w:tcBorders>
          </w:tcPr>
          <w:p>
            <w:pPr>
              <w:spacing w:after="0"/>
              <w:rPr>
                <w:sz w:val="18"/>
                <w:szCs w:val="18"/>
                <w:color w:val="auto"/>
              </w:rPr>
            </w:pPr>
          </w:p>
        </w:tc>
        <w:tc>
          <w:tcPr>
            <w:tcW w:w="16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w w:val="98"/>
              </w:rPr>
              <w:t>Page 3 of 6 Pages</w:t>
            </w:r>
          </w:p>
        </w:tc>
        <w:tc>
          <w:tcPr>
            <w:tcW w:w="0" w:type="dxa"/>
            <w:vAlign w:val="bottom"/>
          </w:tcPr>
          <w:p>
            <w:pPr>
              <w:spacing w:after="0"/>
              <w:rPr>
                <w:sz w:val="1"/>
                <w:szCs w:val="1"/>
                <w:color w:val="auto"/>
              </w:rPr>
            </w:pPr>
          </w:p>
        </w:tc>
      </w:tr>
      <w:tr>
        <w:trPr>
          <w:trHeight w:val="122"/>
        </w:trPr>
        <w:tc>
          <w:tcPr>
            <w:tcW w:w="1080" w:type="dxa"/>
            <w:vAlign w:val="bottom"/>
            <w:tcBorders>
              <w:left w:val="single" w:sz="8" w:color="auto"/>
            </w:tcBorders>
            <w:vMerge w:val="restart"/>
          </w:tcPr>
          <w:p>
            <w:pPr>
              <w:ind w:left="180"/>
              <w:spacing w:after="0"/>
              <w:rPr>
                <w:sz w:val="20"/>
                <w:szCs w:val="20"/>
                <w:color w:val="auto"/>
              </w:rPr>
            </w:pPr>
            <w:r>
              <w:rPr>
                <w:rFonts w:ascii="Arial" w:cs="Arial" w:eastAsia="Arial" w:hAnsi="Arial"/>
                <w:sz w:val="18"/>
                <w:szCs w:val="18"/>
                <w:color w:val="auto"/>
                <w:w w:val="95"/>
              </w:rPr>
              <w:t>72651A207</w:t>
            </w:r>
          </w:p>
        </w:tc>
        <w:tc>
          <w:tcPr>
            <w:tcW w:w="620" w:type="dxa"/>
            <w:vAlign w:val="bottom"/>
            <w:tcBorders>
              <w:right w:val="single" w:sz="8" w:color="auto"/>
            </w:tcBorders>
          </w:tcPr>
          <w:p>
            <w:pPr>
              <w:spacing w:after="0"/>
              <w:rPr>
                <w:sz w:val="10"/>
                <w:szCs w:val="10"/>
                <w:color w:val="auto"/>
              </w:rPr>
            </w:pPr>
          </w:p>
        </w:tc>
        <w:tc>
          <w:tcPr>
            <w:tcW w:w="360" w:type="dxa"/>
            <w:vAlign w:val="bottom"/>
          </w:tcPr>
          <w:p>
            <w:pPr>
              <w:spacing w:after="0"/>
              <w:rPr>
                <w:sz w:val="10"/>
                <w:szCs w:val="10"/>
                <w:color w:val="auto"/>
              </w:rPr>
            </w:pPr>
          </w:p>
        </w:tc>
        <w:tc>
          <w:tcPr>
            <w:tcW w:w="752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080" w:type="dxa"/>
            <w:vAlign w:val="bottom"/>
            <w:tcBorders>
              <w:left w:val="single" w:sz="8" w:color="auto"/>
              <w:bottom w:val="single" w:sz="8" w:color="auto"/>
            </w:tcBorders>
            <w:vMerge w:val="continue"/>
          </w:tcPr>
          <w:p>
            <w:pPr>
              <w:spacing w:after="0"/>
              <w:rPr>
                <w:sz w:val="9"/>
                <w:szCs w:val="9"/>
                <w:color w:val="auto"/>
              </w:rPr>
            </w:pPr>
          </w:p>
        </w:tc>
        <w:tc>
          <w:tcPr>
            <w:tcW w:w="620" w:type="dxa"/>
            <w:vAlign w:val="bottom"/>
            <w:tcBorders>
              <w:bottom w:val="single" w:sz="8" w:color="auto"/>
              <w:right w:val="single" w:sz="8" w:color="auto"/>
            </w:tcBorders>
          </w:tcPr>
          <w:p>
            <w:pPr>
              <w:spacing w:after="0"/>
              <w:rPr>
                <w:sz w:val="9"/>
                <w:szCs w:val="9"/>
                <w:color w:val="auto"/>
              </w:rPr>
            </w:pPr>
          </w:p>
        </w:tc>
        <w:tc>
          <w:tcPr>
            <w:tcW w:w="360" w:type="dxa"/>
            <w:vAlign w:val="bottom"/>
          </w:tcPr>
          <w:p>
            <w:pPr>
              <w:spacing w:after="0"/>
              <w:rPr>
                <w:sz w:val="9"/>
                <w:szCs w:val="9"/>
                <w:color w:val="auto"/>
              </w:rPr>
            </w:pPr>
          </w:p>
        </w:tc>
        <w:tc>
          <w:tcPr>
            <w:tcW w:w="7520" w:type="dxa"/>
            <w:vAlign w:val="bottom"/>
            <w:tcBorders>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r>
        <w:trPr>
          <w:trHeight w:val="41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1.</w:t>
            </w:r>
          </w:p>
        </w:tc>
        <w:tc>
          <w:tcPr>
            <w:tcW w:w="620" w:type="dxa"/>
            <w:vAlign w:val="bottom"/>
          </w:tcPr>
          <w:p>
            <w:pPr>
              <w:ind w:left="60"/>
              <w:spacing w:after="0"/>
              <w:rPr>
                <w:sz w:val="20"/>
                <w:szCs w:val="20"/>
                <w:color w:val="auto"/>
              </w:rPr>
            </w:pPr>
            <w:r>
              <w:rPr>
                <w:rFonts w:ascii="Arial" w:cs="Arial" w:eastAsia="Arial" w:hAnsi="Arial"/>
                <w:sz w:val="18"/>
                <w:szCs w:val="18"/>
                <w:color w:val="auto"/>
              </w:rPr>
              <w:t>(a)</w:t>
            </w:r>
          </w:p>
        </w:tc>
        <w:tc>
          <w:tcPr>
            <w:tcW w:w="9540" w:type="dxa"/>
            <w:vAlign w:val="bottom"/>
            <w:gridSpan w:val="3"/>
          </w:tcPr>
          <w:p>
            <w:pPr>
              <w:spacing w:after="0"/>
              <w:rPr>
                <w:sz w:val="20"/>
                <w:szCs w:val="20"/>
                <w:color w:val="auto"/>
              </w:rPr>
            </w:pPr>
            <w:r>
              <w:rPr>
                <w:rFonts w:ascii="Arial" w:cs="Arial" w:eastAsia="Arial" w:hAnsi="Arial"/>
                <w:sz w:val="18"/>
                <w:szCs w:val="18"/>
                <w:color w:val="auto"/>
              </w:rPr>
              <w:t>Name of Issuer: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Plains GP Holdings, L.P.</w:t>
            </w:r>
          </w:p>
        </w:tc>
        <w:tc>
          <w:tcPr>
            <w:tcW w:w="0" w:type="dxa"/>
            <w:vAlign w:val="bottom"/>
          </w:tcPr>
          <w:p>
            <w:pPr>
              <w:spacing w:after="0"/>
              <w:rPr>
                <w:sz w:val="1"/>
                <w:szCs w:val="1"/>
                <w:color w:val="auto"/>
              </w:rPr>
            </w:pPr>
          </w:p>
        </w:tc>
      </w:tr>
      <w:tr>
        <w:trPr>
          <w:trHeight w:val="634"/>
        </w:trPr>
        <w:tc>
          <w:tcPr>
            <w:tcW w:w="108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(b)</w:t>
            </w:r>
          </w:p>
        </w:tc>
        <w:tc>
          <w:tcPr>
            <w:tcW w:w="9540" w:type="dxa"/>
            <w:vAlign w:val="bottom"/>
            <w:gridSpan w:val="3"/>
          </w:tcPr>
          <w:p>
            <w:pPr>
              <w:spacing w:after="0"/>
              <w:rPr>
                <w:sz w:val="20"/>
                <w:szCs w:val="20"/>
                <w:color w:val="auto"/>
              </w:rPr>
            </w:pPr>
            <w:r>
              <w:rPr>
                <w:rFonts w:ascii="Arial" w:cs="Arial" w:eastAsia="Arial" w:hAnsi="Arial"/>
                <w:sz w:val="18"/>
                <w:szCs w:val="18"/>
                <w:color w:val="auto"/>
              </w:rPr>
              <w:t>Address of Issuer’s Principal Executive Offices: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333 Clay Street, Suite 1600, Houston, Texas 77002</w:t>
            </w:r>
          </w:p>
        </w:tc>
        <w:tc>
          <w:tcPr>
            <w:tcW w:w="0" w:type="dxa"/>
            <w:vAlign w:val="bottom"/>
          </w:tcPr>
          <w:p>
            <w:pPr>
              <w:spacing w:after="0"/>
              <w:rPr>
                <w:sz w:val="1"/>
                <w:szCs w:val="1"/>
                <w:color w:val="auto"/>
              </w:rPr>
            </w:pPr>
          </w:p>
        </w:tc>
      </w:tr>
      <w:tr>
        <w:trPr>
          <w:trHeight w:val="634"/>
        </w:trPr>
        <w:tc>
          <w:tcPr>
            <w:tcW w:w="1080" w:type="dxa"/>
            <w:vAlign w:val="bottom"/>
          </w:tcPr>
          <w:p>
            <w:pPr>
              <w:spacing w:after="0"/>
              <w:rPr>
                <w:sz w:val="20"/>
                <w:szCs w:val="20"/>
                <w:color w:val="auto"/>
              </w:rPr>
            </w:pPr>
            <w:r>
              <w:rPr>
                <w:rFonts w:ascii="Arial" w:cs="Arial" w:eastAsia="Arial" w:hAnsi="Arial"/>
                <w:sz w:val="18"/>
                <w:szCs w:val="18"/>
                <w:b w:val="1"/>
                <w:bCs w:val="1"/>
                <w:color w:val="auto"/>
              </w:rPr>
              <w:t>Item 2.</w:t>
            </w:r>
          </w:p>
        </w:tc>
        <w:tc>
          <w:tcPr>
            <w:tcW w:w="620" w:type="dxa"/>
            <w:vAlign w:val="bottom"/>
          </w:tcPr>
          <w:p>
            <w:pPr>
              <w:ind w:left="60"/>
              <w:spacing w:after="0"/>
              <w:rPr>
                <w:sz w:val="20"/>
                <w:szCs w:val="20"/>
                <w:color w:val="auto"/>
              </w:rPr>
            </w:pPr>
            <w:r>
              <w:rPr>
                <w:rFonts w:ascii="Arial" w:cs="Arial" w:eastAsia="Arial" w:hAnsi="Arial"/>
                <w:sz w:val="18"/>
                <w:szCs w:val="18"/>
                <w:color w:val="auto"/>
              </w:rPr>
              <w:t>(a)</w:t>
            </w:r>
          </w:p>
        </w:tc>
        <w:tc>
          <w:tcPr>
            <w:tcW w:w="9540" w:type="dxa"/>
            <w:vAlign w:val="bottom"/>
            <w:gridSpan w:val="3"/>
          </w:tcPr>
          <w:p>
            <w:pPr>
              <w:spacing w:after="0"/>
              <w:rPr>
                <w:sz w:val="20"/>
                <w:szCs w:val="20"/>
                <w:color w:val="auto"/>
              </w:rPr>
            </w:pPr>
            <w:r>
              <w:rPr>
                <w:rFonts w:ascii="Arial" w:cs="Arial" w:eastAsia="Arial" w:hAnsi="Arial"/>
                <w:sz w:val="18"/>
                <w:szCs w:val="18"/>
                <w:color w:val="auto"/>
              </w:rPr>
              <w:t>Name of Person Filing:</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Chickasaw Capital Management, LLC</w:t>
            </w:r>
          </w:p>
        </w:tc>
        <w:tc>
          <w:tcPr>
            <w:tcW w:w="0" w:type="dxa"/>
            <w:vAlign w:val="bottom"/>
          </w:tcPr>
          <w:p>
            <w:pPr>
              <w:spacing w:after="0"/>
              <w:rPr>
                <w:sz w:val="1"/>
                <w:szCs w:val="1"/>
                <w:color w:val="auto"/>
              </w:rPr>
            </w:pPr>
          </w:p>
        </w:tc>
      </w:tr>
      <w:tr>
        <w:trPr>
          <w:trHeight w:val="634"/>
        </w:trPr>
        <w:tc>
          <w:tcPr>
            <w:tcW w:w="108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(b)</w:t>
            </w:r>
          </w:p>
        </w:tc>
        <w:tc>
          <w:tcPr>
            <w:tcW w:w="9540" w:type="dxa"/>
            <w:vAlign w:val="bottom"/>
            <w:gridSpan w:val="3"/>
          </w:tcPr>
          <w:p>
            <w:pPr>
              <w:spacing w:after="0"/>
              <w:rPr>
                <w:sz w:val="20"/>
                <w:szCs w:val="20"/>
                <w:color w:val="auto"/>
              </w:rPr>
            </w:pPr>
            <w:r>
              <w:rPr>
                <w:rFonts w:ascii="Arial" w:cs="Arial" w:eastAsia="Arial" w:hAnsi="Arial"/>
                <w:sz w:val="18"/>
                <w:szCs w:val="18"/>
                <w:color w:val="auto"/>
              </w:rPr>
              <w:t>Address of Principal Business Offices or, if none, Residence:</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6075 Poplar Ave., Suite 720, Memphis, TN 38119</w:t>
            </w:r>
          </w:p>
        </w:tc>
        <w:tc>
          <w:tcPr>
            <w:tcW w:w="0" w:type="dxa"/>
            <w:vAlign w:val="bottom"/>
          </w:tcPr>
          <w:p>
            <w:pPr>
              <w:spacing w:after="0"/>
              <w:rPr>
                <w:sz w:val="1"/>
                <w:szCs w:val="1"/>
                <w:color w:val="auto"/>
              </w:rPr>
            </w:pPr>
          </w:p>
        </w:tc>
      </w:tr>
      <w:tr>
        <w:trPr>
          <w:trHeight w:val="634"/>
        </w:trPr>
        <w:tc>
          <w:tcPr>
            <w:tcW w:w="108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(c)</w:t>
            </w:r>
          </w:p>
        </w:tc>
        <w:tc>
          <w:tcPr>
            <w:tcW w:w="9540" w:type="dxa"/>
            <w:vAlign w:val="bottom"/>
            <w:gridSpan w:val="3"/>
          </w:tcPr>
          <w:p>
            <w:pPr>
              <w:spacing w:after="0"/>
              <w:rPr>
                <w:sz w:val="20"/>
                <w:szCs w:val="20"/>
                <w:color w:val="auto"/>
              </w:rPr>
            </w:pPr>
            <w:r>
              <w:rPr>
                <w:rFonts w:ascii="Arial" w:cs="Arial" w:eastAsia="Arial" w:hAnsi="Arial"/>
                <w:sz w:val="18"/>
                <w:szCs w:val="18"/>
                <w:color w:val="auto"/>
              </w:rPr>
              <w:t>Citizenship:</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Delaware, United States</w:t>
            </w:r>
          </w:p>
        </w:tc>
        <w:tc>
          <w:tcPr>
            <w:tcW w:w="0" w:type="dxa"/>
            <w:vAlign w:val="bottom"/>
          </w:tcPr>
          <w:p>
            <w:pPr>
              <w:spacing w:after="0"/>
              <w:rPr>
                <w:sz w:val="1"/>
                <w:szCs w:val="1"/>
                <w:color w:val="auto"/>
              </w:rPr>
            </w:pPr>
          </w:p>
        </w:tc>
      </w:tr>
      <w:tr>
        <w:trPr>
          <w:trHeight w:val="634"/>
        </w:trPr>
        <w:tc>
          <w:tcPr>
            <w:tcW w:w="108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(d)</w:t>
            </w:r>
          </w:p>
        </w:tc>
        <w:tc>
          <w:tcPr>
            <w:tcW w:w="9540" w:type="dxa"/>
            <w:vAlign w:val="bottom"/>
            <w:gridSpan w:val="3"/>
          </w:tcPr>
          <w:p>
            <w:pPr>
              <w:spacing w:after="0"/>
              <w:rPr>
                <w:sz w:val="20"/>
                <w:szCs w:val="20"/>
                <w:color w:val="auto"/>
              </w:rPr>
            </w:pPr>
            <w:r>
              <w:rPr>
                <w:rFonts w:ascii="Arial" w:cs="Arial" w:eastAsia="Arial" w:hAnsi="Arial"/>
                <w:sz w:val="18"/>
                <w:szCs w:val="18"/>
                <w:color w:val="auto"/>
              </w:rPr>
              <w:t>Title of Class of Securities:</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Class A Shares</w:t>
            </w:r>
          </w:p>
        </w:tc>
        <w:tc>
          <w:tcPr>
            <w:tcW w:w="0" w:type="dxa"/>
            <w:vAlign w:val="bottom"/>
          </w:tcPr>
          <w:p>
            <w:pPr>
              <w:spacing w:after="0"/>
              <w:rPr>
                <w:sz w:val="1"/>
                <w:szCs w:val="1"/>
                <w:color w:val="auto"/>
              </w:rPr>
            </w:pPr>
          </w:p>
        </w:tc>
      </w:tr>
      <w:tr>
        <w:trPr>
          <w:trHeight w:val="634"/>
        </w:trPr>
        <w:tc>
          <w:tcPr>
            <w:tcW w:w="108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(e)</w:t>
            </w:r>
          </w:p>
        </w:tc>
        <w:tc>
          <w:tcPr>
            <w:tcW w:w="9540" w:type="dxa"/>
            <w:vAlign w:val="bottom"/>
            <w:gridSpan w:val="3"/>
          </w:tcPr>
          <w:p>
            <w:pPr>
              <w:spacing w:after="0"/>
              <w:rPr>
                <w:sz w:val="20"/>
                <w:szCs w:val="20"/>
                <w:color w:val="auto"/>
              </w:rPr>
            </w:pPr>
            <w:r>
              <w:rPr>
                <w:rFonts w:ascii="Arial" w:cs="Arial" w:eastAsia="Arial" w:hAnsi="Arial"/>
                <w:sz w:val="18"/>
                <w:szCs w:val="18"/>
                <w:color w:val="auto"/>
              </w:rPr>
              <w:t>CUSIP Number:</w:t>
            </w:r>
          </w:p>
        </w:tc>
        <w:tc>
          <w:tcPr>
            <w:tcW w:w="0" w:type="dxa"/>
            <w:vAlign w:val="bottom"/>
          </w:tcPr>
          <w:p>
            <w:pPr>
              <w:spacing w:after="0"/>
              <w:rPr>
                <w:sz w:val="1"/>
                <w:szCs w:val="1"/>
                <w:color w:val="auto"/>
              </w:rPr>
            </w:pPr>
          </w:p>
        </w:tc>
      </w:tr>
      <w:tr>
        <w:trPr>
          <w:trHeight w:val="230"/>
        </w:trPr>
        <w:tc>
          <w:tcPr>
            <w:tcW w:w="10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9540" w:type="dxa"/>
            <w:vAlign w:val="bottom"/>
            <w:gridSpan w:val="3"/>
          </w:tcPr>
          <w:p>
            <w:pPr>
              <w:spacing w:after="0"/>
              <w:rPr>
                <w:sz w:val="20"/>
                <w:szCs w:val="20"/>
                <w:color w:val="auto"/>
              </w:rPr>
            </w:pPr>
            <w:r>
              <w:rPr>
                <w:rFonts w:ascii="Arial" w:cs="Arial" w:eastAsia="Arial" w:hAnsi="Arial"/>
                <w:sz w:val="18"/>
                <w:szCs w:val="18"/>
                <w:color w:val="auto"/>
              </w:rPr>
              <w:t>72651A207</w:t>
            </w:r>
          </w:p>
        </w:tc>
        <w:tc>
          <w:tcPr>
            <w:tcW w:w="0" w:type="dxa"/>
            <w:vAlign w:val="bottom"/>
          </w:tcPr>
          <w:p>
            <w:pPr>
              <w:spacing w:after="0"/>
              <w:rPr>
                <w:sz w:val="1"/>
                <w:szCs w:val="1"/>
                <w:color w:val="auto"/>
              </w:rPr>
            </w:pPr>
          </w:p>
        </w:tc>
      </w:tr>
      <w:tr>
        <w:trPr>
          <w:trHeight w:val="459"/>
        </w:trPr>
        <w:tc>
          <w:tcPr>
            <w:tcW w:w="1080" w:type="dxa"/>
            <w:vAlign w:val="bottom"/>
          </w:tcPr>
          <w:p>
            <w:pPr>
              <w:spacing w:after="0"/>
              <w:rPr>
                <w:sz w:val="20"/>
                <w:szCs w:val="20"/>
                <w:color w:val="auto"/>
              </w:rPr>
            </w:pPr>
            <w:r>
              <w:rPr>
                <w:rFonts w:ascii="Arial" w:cs="Arial" w:eastAsia="Arial" w:hAnsi="Arial"/>
                <w:sz w:val="18"/>
                <w:szCs w:val="18"/>
                <w:b w:val="1"/>
                <w:bCs w:val="1"/>
                <w:color w:val="auto"/>
              </w:rPr>
              <w:t>Item 3.</w:t>
            </w:r>
          </w:p>
        </w:tc>
        <w:tc>
          <w:tcPr>
            <w:tcW w:w="10160" w:type="dxa"/>
            <w:vAlign w:val="bottom"/>
            <w:gridSpan w:val="4"/>
          </w:tcPr>
          <w:p>
            <w:pPr>
              <w:ind w:left="60"/>
              <w:spacing w:after="0"/>
              <w:rPr>
                <w:sz w:val="20"/>
                <w:szCs w:val="20"/>
                <w:color w:val="auto"/>
              </w:rPr>
            </w:pPr>
            <w:r>
              <w:rPr>
                <w:rFonts w:ascii="Arial" w:cs="Arial" w:eastAsia="Arial" w:hAnsi="Arial"/>
                <w:sz w:val="18"/>
                <w:szCs w:val="18"/>
                <w:b w:val="1"/>
                <w:bCs w:val="1"/>
                <w:color w:val="auto"/>
              </w:rPr>
              <w:t xml:space="preserve">If this Statement is filed pursuant to </w:t>
            </w:r>
            <w:r>
              <w:rPr>
                <w:rFonts w:ascii="Arial" w:cs="Arial" w:eastAsia="Arial" w:hAnsi="Arial"/>
                <w:sz w:val="18"/>
                <w:szCs w:val="18"/>
                <w:color w:val="auto"/>
              </w:rPr>
              <w:t>§§</w:t>
            </w:r>
            <w:r>
              <w:rPr>
                <w:rFonts w:ascii="Arial" w:cs="Arial" w:eastAsia="Arial" w:hAnsi="Arial"/>
                <w:sz w:val="18"/>
                <w:szCs w:val="18"/>
                <w:b w:val="1"/>
                <w:bCs w:val="1"/>
                <w:color w:val="auto"/>
              </w:rPr>
              <w:t xml:space="preserve"> 240.13d-1(b) or 240.13d-2(b) or (c), check whether the person filing is a:</w:t>
            </w:r>
          </w:p>
        </w:tc>
        <w:tc>
          <w:tcPr>
            <w:tcW w:w="0" w:type="dxa"/>
            <w:vAlign w:val="bottom"/>
          </w:tcPr>
          <w:p>
            <w:pPr>
              <w:spacing w:after="0"/>
              <w:rPr>
                <w:sz w:val="1"/>
                <w:szCs w:val="1"/>
                <w:color w:val="auto"/>
              </w:rPr>
            </w:pPr>
          </w:p>
        </w:tc>
      </w:tr>
      <w:tr>
        <w:trPr>
          <w:trHeight w:val="385"/>
        </w:trPr>
        <w:tc>
          <w:tcPr>
            <w:tcW w:w="108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(a)</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Broker or dealer registered under section 15 of the Act (15 U.S.C. 78o)</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(b)</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Bank as defined in section 3(a)(6) of the Act (15 U.S.C. 78c)</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(c)</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Insurance company as defined in section 3(a)(19) of the Act (15 U.S.C. 78c)</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(d)</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Investment company registered under section 8 of the Investment Company Act of 1940 (15 U.S.C. 80a-8)</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(e)</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80" w:type="dxa"/>
            <w:vAlign w:val="bottom"/>
            <w:gridSpan w:val="2"/>
          </w:tcPr>
          <w:p>
            <w:pPr>
              <w:ind w:left="200"/>
              <w:spacing w:after="0"/>
              <w:rPr>
                <w:sz w:val="20"/>
                <w:szCs w:val="20"/>
                <w:color w:val="auto"/>
              </w:rPr>
            </w:pPr>
            <w:r>
              <w:rPr>
                <w:rFonts w:ascii="Arial" w:cs="Arial" w:eastAsia="Arial" w:hAnsi="Arial"/>
                <w:sz w:val="18"/>
                <w:szCs w:val="18"/>
                <w:color w:val="auto"/>
              </w:rPr>
              <w:t>An investment adviser in accordance with § 240.13d-1(b)(1)(ii)(E)</w:t>
            </w:r>
          </w:p>
        </w:tc>
        <w:tc>
          <w:tcPr>
            <w:tcW w:w="0" w:type="dxa"/>
            <w:vAlign w:val="bottom"/>
          </w:tcPr>
          <w:p>
            <w:pPr>
              <w:spacing w:after="0"/>
              <w:rPr>
                <w:sz w:val="1"/>
                <w:szCs w:val="1"/>
                <w:color w:val="auto"/>
              </w:rPr>
            </w:pPr>
          </w:p>
        </w:tc>
      </w:tr>
      <w:tr>
        <w:trPr>
          <w:trHeight w:val="216"/>
        </w:trPr>
        <w:tc>
          <w:tcPr>
            <w:tcW w:w="1080" w:type="dxa"/>
            <w:vAlign w:val="bottom"/>
          </w:tcPr>
          <w:p>
            <w:pPr>
              <w:spacing w:after="0"/>
              <w:rPr>
                <w:sz w:val="18"/>
                <w:szCs w:val="18"/>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(f)</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80" w:type="dxa"/>
            <w:vAlign w:val="bottom"/>
            <w:gridSpan w:val="2"/>
          </w:tcPr>
          <w:p>
            <w:pPr>
              <w:ind w:left="200"/>
              <w:spacing w:after="0" w:line="207" w:lineRule="exact"/>
              <w:rPr>
                <w:sz w:val="20"/>
                <w:szCs w:val="20"/>
                <w:color w:val="auto"/>
              </w:rPr>
            </w:pPr>
            <w:r>
              <w:rPr>
                <w:rFonts w:ascii="Arial" w:cs="Arial" w:eastAsia="Arial" w:hAnsi="Arial"/>
                <w:sz w:val="18"/>
                <w:szCs w:val="18"/>
                <w:color w:val="auto"/>
              </w:rPr>
              <w:t>An employee benefit plan or endowment fund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1(b)(1)(ii)(F)</w:t>
            </w:r>
          </w:p>
        </w:tc>
        <w:tc>
          <w:tcPr>
            <w:tcW w:w="0" w:type="dxa"/>
            <w:vAlign w:val="bottom"/>
          </w:tcPr>
          <w:p>
            <w:pPr>
              <w:spacing w:after="0"/>
              <w:rPr>
                <w:sz w:val="1"/>
                <w:szCs w:val="1"/>
                <w:color w:val="auto"/>
              </w:rPr>
            </w:pPr>
          </w:p>
        </w:tc>
      </w:tr>
      <w:tr>
        <w:trPr>
          <w:trHeight w:val="283"/>
        </w:trPr>
        <w:tc>
          <w:tcPr>
            <w:tcW w:w="1080" w:type="dxa"/>
            <w:vAlign w:val="bottom"/>
          </w:tcPr>
          <w:p>
            <w:pPr>
              <w:spacing w:after="0"/>
              <w:rPr>
                <w:sz w:val="24"/>
                <w:szCs w:val="24"/>
                <w:color w:val="auto"/>
              </w:rPr>
            </w:pPr>
          </w:p>
        </w:tc>
        <w:tc>
          <w:tcPr>
            <w:tcW w:w="620" w:type="dxa"/>
            <w:vAlign w:val="bottom"/>
          </w:tcPr>
          <w:p>
            <w:pPr>
              <w:ind w:left="60"/>
              <w:spacing w:after="0"/>
              <w:rPr>
                <w:sz w:val="20"/>
                <w:szCs w:val="20"/>
                <w:color w:val="auto"/>
              </w:rPr>
            </w:pPr>
            <w:r>
              <w:rPr>
                <w:rFonts w:ascii="Arial" w:cs="Arial" w:eastAsia="Arial" w:hAnsi="Arial"/>
                <w:sz w:val="18"/>
                <w:szCs w:val="18"/>
                <w:color w:val="auto"/>
              </w:rPr>
              <w:t>(g)</w:t>
            </w:r>
          </w:p>
        </w:tc>
        <w:tc>
          <w:tcPr>
            <w:tcW w:w="360" w:type="dxa"/>
            <w:vAlign w:val="bottom"/>
          </w:tcPr>
          <w:p>
            <w:pPr>
              <w:spacing w:after="0" w:line="181" w:lineRule="exact"/>
              <w:rPr>
                <w:sz w:val="20"/>
                <w:szCs w:val="20"/>
                <w:color w:val="auto"/>
              </w:rPr>
            </w:pPr>
            <w:r>
              <w:rPr>
                <w:rFonts w:ascii="MS PGothic" w:cs="MS PGothic" w:eastAsia="MS PGothic" w:hAnsi="MS PGothic"/>
                <w:sz w:val="18"/>
                <w:szCs w:val="18"/>
                <w:color w:val="auto"/>
              </w:rPr>
              <w:t>☐</w:t>
            </w:r>
          </w:p>
        </w:tc>
        <w:tc>
          <w:tcPr>
            <w:tcW w:w="9180" w:type="dxa"/>
            <w:vAlign w:val="bottom"/>
            <w:gridSpan w:val="2"/>
          </w:tcPr>
          <w:p>
            <w:pPr>
              <w:ind w:left="200"/>
              <w:spacing w:after="0" w:line="207" w:lineRule="exact"/>
              <w:rPr>
                <w:sz w:val="20"/>
                <w:szCs w:val="20"/>
                <w:color w:val="auto"/>
              </w:rPr>
            </w:pPr>
            <w:r>
              <w:rPr>
                <w:rFonts w:ascii="Arial" w:cs="Arial" w:eastAsia="Arial" w:hAnsi="Arial"/>
                <w:sz w:val="18"/>
                <w:szCs w:val="18"/>
                <w:color w:val="auto"/>
              </w:rPr>
              <w:t>A parent holding company or control person in accordance with § 240.13d</w:t>
            </w:r>
            <w:r>
              <w:rPr>
                <w:rFonts w:ascii="MS PGothic" w:cs="MS PGothic" w:eastAsia="MS PGothic" w:hAnsi="MS PGothic"/>
                <w:sz w:val="18"/>
                <w:szCs w:val="18"/>
                <w:color w:val="auto"/>
              </w:rPr>
              <w:t>‑</w:t>
            </w:r>
            <w:r>
              <w:rPr>
                <w:rFonts w:ascii="Arial" w:cs="Arial" w:eastAsia="Arial" w:hAnsi="Arial"/>
                <w:sz w:val="18"/>
                <w:szCs w:val="18"/>
                <w:color w:val="auto"/>
              </w:rPr>
              <w:t>1(b)(ii)(G)</w:t>
            </w:r>
          </w:p>
        </w:tc>
        <w:tc>
          <w:tcPr>
            <w:tcW w:w="0" w:type="dxa"/>
            <w:vAlign w:val="bottom"/>
          </w:tcPr>
          <w:p>
            <w:pPr>
              <w:spacing w:after="0"/>
              <w:rPr>
                <w:sz w:val="1"/>
                <w:szCs w:val="1"/>
                <w:color w:val="auto"/>
              </w:rPr>
            </w:pPr>
          </w:p>
        </w:tc>
      </w:tr>
      <w:tr>
        <w:trPr>
          <w:trHeight w:val="439"/>
        </w:trPr>
        <w:tc>
          <w:tcPr>
            <w:tcW w:w="10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520" w:type="dxa"/>
            <w:vAlign w:val="bottom"/>
          </w:tcPr>
          <w:p>
            <w:pPr>
              <w:ind w:left="3420"/>
              <w:spacing w:after="0"/>
              <w:rPr>
                <w:sz w:val="20"/>
                <w:szCs w:val="20"/>
                <w:color w:val="auto"/>
              </w:rPr>
            </w:pPr>
            <w:r>
              <w:rPr>
                <w:rFonts w:ascii="Arial" w:cs="Arial" w:eastAsia="Arial" w:hAnsi="Arial"/>
                <w:sz w:val="18"/>
                <w:szCs w:val="18"/>
                <w:color w:val="auto"/>
              </w:rPr>
              <w:t>- 3 -</w:t>
            </w:r>
          </w:p>
        </w:tc>
        <w:tc>
          <w:tcPr>
            <w:tcW w:w="16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1080" w:type="dxa"/>
            <w:vAlign w:val="bottom"/>
            <w:tcBorders>
              <w:bottom w:val="single" w:sz="8" w:color="auto"/>
            </w:tcBorders>
          </w:tcPr>
          <w:p>
            <w:pPr>
              <w:spacing w:after="0"/>
              <w:rPr>
                <w:sz w:val="10"/>
                <w:szCs w:val="10"/>
                <w:color w:val="auto"/>
              </w:rPr>
            </w:pPr>
          </w:p>
        </w:tc>
        <w:tc>
          <w:tcPr>
            <w:tcW w:w="620" w:type="dxa"/>
            <w:vAlign w:val="bottom"/>
            <w:tcBorders>
              <w:bottom w:val="single" w:sz="8" w:color="auto"/>
            </w:tcBorders>
          </w:tcPr>
          <w:p>
            <w:pPr>
              <w:spacing w:after="0"/>
              <w:rPr>
                <w:sz w:val="10"/>
                <w:szCs w:val="10"/>
                <w:color w:val="auto"/>
              </w:rPr>
            </w:pPr>
          </w:p>
        </w:tc>
        <w:tc>
          <w:tcPr>
            <w:tcW w:w="360" w:type="dxa"/>
            <w:vAlign w:val="bottom"/>
            <w:tcBorders>
              <w:bottom w:val="single" w:sz="8" w:color="auto"/>
            </w:tcBorders>
          </w:tcPr>
          <w:p>
            <w:pPr>
              <w:spacing w:after="0"/>
              <w:rPr>
                <w:sz w:val="10"/>
                <w:szCs w:val="10"/>
                <w:color w:val="auto"/>
              </w:rPr>
            </w:pPr>
          </w:p>
        </w:tc>
        <w:tc>
          <w:tcPr>
            <w:tcW w:w="7520" w:type="dxa"/>
            <w:vAlign w:val="bottom"/>
            <w:tcBorders>
              <w:bottom w:val="single" w:sz="8" w:color="auto"/>
            </w:tcBorders>
          </w:tcPr>
          <w:p>
            <w:pPr>
              <w:spacing w:after="0"/>
              <w:rPr>
                <w:sz w:val="10"/>
                <w:szCs w:val="10"/>
                <w:color w:val="auto"/>
              </w:rPr>
            </w:pPr>
          </w:p>
        </w:tc>
        <w:tc>
          <w:tcPr>
            <w:tcW w:w="16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818" w:right="339" w:bottom="1440" w:gutter="0" w:footer="0" w:header="0"/>
        </w:sectPr>
      </w:pPr>
    </w:p>
    <w:bookmarkStart w:id="3" w:name="page4"/>
    <w:bookmarkEnd w:id="3"/>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7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CUSIP No.</w:t>
            </w:r>
          </w:p>
        </w:tc>
        <w:tc>
          <w:tcPr>
            <w:tcW w:w="7880" w:type="dxa"/>
            <w:vAlign w:val="bottom"/>
            <w:tcBorders>
              <w:right w:val="single" w:sz="8" w:color="auto"/>
            </w:tcBorders>
          </w:tcPr>
          <w:p>
            <w:pPr>
              <w:spacing w:after="0"/>
              <w:rPr>
                <w:sz w:val="18"/>
                <w:szCs w:val="18"/>
                <w:color w:val="auto"/>
              </w:rPr>
            </w:pPr>
          </w:p>
        </w:tc>
        <w:tc>
          <w:tcPr>
            <w:tcW w:w="16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w w:val="98"/>
              </w:rPr>
              <w:t>Page 4 of 6 Pages</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72651A207</w:t>
            </w:r>
          </w:p>
        </w:tc>
        <w:tc>
          <w:tcPr>
            <w:tcW w:w="78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880" w:type="dxa"/>
            <w:vAlign w:val="bottom"/>
            <w:tcBorders>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66" w:lineRule="exact"/>
        <w:rPr>
          <w:sz w:val="20"/>
          <w:szCs w:val="20"/>
          <w:color w:val="auto"/>
        </w:rPr>
      </w:pPr>
    </w:p>
    <w:p>
      <w:pPr>
        <w:ind w:left="1700" w:hanging="558"/>
        <w:spacing w:after="0" w:line="207" w:lineRule="exact"/>
        <w:tabs>
          <w:tab w:leader="none" w:pos="1700" w:val="left"/>
        </w:tabs>
        <w:numPr>
          <w:ilvl w:val="0"/>
          <w:numId w:val="12"/>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savings association as defined in Section 3(b) of the Federal Deposit Insurance Act (12 U.S.C. 1813)</w:t>
      </w:r>
    </w:p>
    <w:p>
      <w:pPr>
        <w:spacing w:after="0" w:line="51" w:lineRule="exact"/>
        <w:rPr>
          <w:sz w:val="20"/>
          <w:szCs w:val="20"/>
          <w:color w:val="auto"/>
        </w:rPr>
      </w:pPr>
    </w:p>
    <w:tbl>
      <w:tblPr>
        <w:tblLayout w:type="fixed"/>
        <w:tblInd w:w="1140" w:type="dxa"/>
        <w:tblCellMar>
          <w:top w:w="0" w:type="dxa"/>
          <w:left w:w="0" w:type="dxa"/>
          <w:bottom w:w="0" w:type="dxa"/>
          <w:right w:w="0" w:type="dxa"/>
        </w:tblCellMar>
      </w:tblPr>
      <w:tr>
        <w:trPr>
          <w:trHeight w:val="207"/>
        </w:trPr>
        <w:tc>
          <w:tcPr>
            <w:tcW w:w="380" w:type="dxa"/>
            <w:vAlign w:val="bottom"/>
            <w:vMerge w:val="restart"/>
          </w:tcPr>
          <w:p>
            <w:pPr>
              <w:spacing w:after="0"/>
              <w:rPr>
                <w:sz w:val="20"/>
                <w:szCs w:val="20"/>
                <w:color w:val="auto"/>
              </w:rPr>
            </w:pPr>
            <w:r>
              <w:rPr>
                <w:rFonts w:ascii="Arial" w:cs="Arial" w:eastAsia="Arial" w:hAnsi="Arial"/>
                <w:sz w:val="18"/>
                <w:szCs w:val="18"/>
                <w:color w:val="auto"/>
              </w:rPr>
              <w:t>(i)</w:t>
            </w:r>
          </w:p>
        </w:tc>
        <w:tc>
          <w:tcPr>
            <w:tcW w:w="540" w:type="dxa"/>
            <w:vAlign w:val="bottom"/>
            <w:vMerge w:val="restart"/>
          </w:tcPr>
          <w:p>
            <w:pPr>
              <w:ind w:left="180"/>
              <w:spacing w:after="0" w:line="181" w:lineRule="exact"/>
              <w:rPr>
                <w:sz w:val="20"/>
                <w:szCs w:val="20"/>
                <w:color w:val="auto"/>
              </w:rPr>
            </w:pPr>
            <w:r>
              <w:rPr>
                <w:rFonts w:ascii="MS PGothic" w:cs="MS PGothic" w:eastAsia="MS PGothic" w:hAnsi="MS PGothic"/>
                <w:sz w:val="18"/>
                <w:szCs w:val="18"/>
                <w:color w:val="auto"/>
              </w:rPr>
              <w:t>☐</w:t>
            </w:r>
          </w:p>
        </w:tc>
        <w:tc>
          <w:tcPr>
            <w:tcW w:w="9160" w:type="dxa"/>
            <w:vAlign w:val="bottom"/>
          </w:tcPr>
          <w:p>
            <w:pPr>
              <w:ind w:left="200"/>
              <w:spacing w:after="0"/>
              <w:rPr>
                <w:sz w:val="20"/>
                <w:szCs w:val="20"/>
                <w:color w:val="auto"/>
              </w:rPr>
            </w:pPr>
            <w:r>
              <w:rPr>
                <w:rFonts w:ascii="Arial" w:cs="Arial" w:eastAsia="Arial" w:hAnsi="Arial"/>
                <w:sz w:val="18"/>
                <w:szCs w:val="18"/>
                <w:color w:val="auto"/>
                <w:w w:val="96"/>
              </w:rPr>
              <w:t>A church plan that is excluded from the definition of an investment company under section 3(c)(14) of the Investment</w:t>
            </w:r>
          </w:p>
        </w:tc>
        <w:tc>
          <w:tcPr>
            <w:tcW w:w="0" w:type="dxa"/>
            <w:vAlign w:val="bottom"/>
          </w:tcPr>
          <w:p>
            <w:pPr>
              <w:spacing w:after="0"/>
              <w:rPr>
                <w:sz w:val="1"/>
                <w:szCs w:val="1"/>
                <w:color w:val="auto"/>
              </w:rPr>
            </w:pPr>
          </w:p>
        </w:tc>
      </w:tr>
      <w:tr>
        <w:trPr>
          <w:trHeight w:val="142"/>
        </w:trPr>
        <w:tc>
          <w:tcPr>
            <w:tcW w:w="38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9160" w:type="dxa"/>
            <w:vAlign w:val="bottom"/>
            <w:vMerge w:val="restart"/>
          </w:tcPr>
          <w:p>
            <w:pPr>
              <w:ind w:left="200"/>
              <w:spacing w:after="0"/>
              <w:rPr>
                <w:sz w:val="20"/>
                <w:szCs w:val="20"/>
                <w:color w:val="auto"/>
              </w:rPr>
            </w:pPr>
            <w:r>
              <w:rPr>
                <w:rFonts w:ascii="Arial" w:cs="Arial" w:eastAsia="Arial" w:hAnsi="Arial"/>
                <w:sz w:val="18"/>
                <w:szCs w:val="18"/>
                <w:color w:val="auto"/>
              </w:rPr>
              <w:t>Company Act of 1940 (15 U.S.C. 80a-3)</w:t>
            </w:r>
          </w:p>
        </w:tc>
        <w:tc>
          <w:tcPr>
            <w:tcW w:w="0" w:type="dxa"/>
            <w:vAlign w:val="bottom"/>
          </w:tcPr>
          <w:p>
            <w:pPr>
              <w:spacing w:after="0"/>
              <w:rPr>
                <w:sz w:val="1"/>
                <w:szCs w:val="1"/>
                <w:color w:val="auto"/>
              </w:rPr>
            </w:pPr>
          </w:p>
        </w:tc>
      </w:tr>
      <w:tr>
        <w:trPr>
          <w:trHeight w:val="83"/>
        </w:trPr>
        <w:tc>
          <w:tcPr>
            <w:tcW w:w="380" w:type="dxa"/>
            <w:vAlign w:val="bottom"/>
          </w:tcPr>
          <w:p>
            <w:pPr>
              <w:spacing w:after="0"/>
              <w:rPr>
                <w:sz w:val="7"/>
                <w:szCs w:val="7"/>
                <w:color w:val="auto"/>
              </w:rPr>
            </w:pPr>
          </w:p>
        </w:tc>
        <w:tc>
          <w:tcPr>
            <w:tcW w:w="540" w:type="dxa"/>
            <w:vAlign w:val="bottom"/>
          </w:tcPr>
          <w:p>
            <w:pPr>
              <w:spacing w:after="0"/>
              <w:rPr>
                <w:sz w:val="7"/>
                <w:szCs w:val="7"/>
                <w:color w:val="auto"/>
              </w:rPr>
            </w:pPr>
          </w:p>
        </w:tc>
        <w:tc>
          <w:tcPr>
            <w:tcW w:w="916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bl>
    <w:p>
      <w:pPr>
        <w:ind w:left="1700" w:hanging="558"/>
        <w:spacing w:after="0" w:line="207" w:lineRule="exact"/>
        <w:tabs>
          <w:tab w:leader="none" w:pos="17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A non-U.S. institution in accordance with § 240.13d-1(b)(1)(ii)(J)</w:t>
      </w:r>
    </w:p>
    <w:p>
      <w:pPr>
        <w:spacing w:after="0" w:line="15" w:lineRule="exact"/>
        <w:rPr>
          <w:rFonts w:ascii="Arial" w:cs="Arial" w:eastAsia="Arial" w:hAnsi="Arial"/>
          <w:sz w:val="18"/>
          <w:szCs w:val="18"/>
          <w:color w:val="auto"/>
        </w:rPr>
      </w:pPr>
    </w:p>
    <w:p>
      <w:pPr>
        <w:ind w:left="1700" w:hanging="558"/>
        <w:spacing w:after="0" w:line="207" w:lineRule="exact"/>
        <w:tabs>
          <w:tab w:leader="none" w:pos="1700" w:val="left"/>
        </w:tabs>
        <w:numPr>
          <w:ilvl w:val="0"/>
          <w:numId w:val="13"/>
        </w:numPr>
        <w:rPr>
          <w:rFonts w:ascii="Arial" w:cs="Arial" w:eastAsia="Arial" w:hAnsi="Arial"/>
          <w:sz w:val="18"/>
          <w:szCs w:val="18"/>
          <w:color w:val="auto"/>
        </w:rPr>
      </w:pPr>
      <w:r>
        <w:rPr>
          <w:rFonts w:ascii="MS PGothic" w:cs="MS PGothic" w:eastAsia="MS PGothic" w:hAnsi="MS PGothic"/>
          <w:sz w:val="18"/>
          <w:szCs w:val="18"/>
          <w:color w:val="auto"/>
        </w:rPr>
        <w:t>☐</w:t>
      </w:r>
      <w:r>
        <w:rPr>
          <w:rFonts w:ascii="Arial" w:cs="Arial" w:eastAsia="Arial" w:hAnsi="Arial"/>
          <w:sz w:val="16"/>
          <w:szCs w:val="16"/>
          <w:color w:val="auto"/>
        </w:rPr>
        <w:t>Group, in accordance with § 240.13d</w:t>
      </w:r>
      <w:r>
        <w:rPr>
          <w:rFonts w:ascii="MS PGothic" w:cs="MS PGothic" w:eastAsia="MS PGothic" w:hAnsi="MS PGothic"/>
          <w:sz w:val="16"/>
          <w:szCs w:val="16"/>
          <w:color w:val="auto"/>
        </w:rPr>
        <w:t>‑</w:t>
      </w:r>
      <w:r>
        <w:rPr>
          <w:rFonts w:ascii="Arial" w:cs="Arial" w:eastAsia="Arial" w:hAnsi="Arial"/>
          <w:sz w:val="16"/>
          <w:szCs w:val="16"/>
          <w:color w:val="auto"/>
        </w:rPr>
        <w:t>1(b)(1)(ii)(K)</w:t>
      </w:r>
    </w:p>
    <w:p>
      <w:pPr>
        <w:spacing w:after="0" w:line="209"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If filing as a non-U.S. institution in accordance with § 240.13d-1(b)(1)(ii)(J), please specify the type of institution:</w:t>
      </w:r>
    </w:p>
    <w:p>
      <w:pPr>
        <w:spacing w:after="0" w:line="23" w:lineRule="exact"/>
        <w:rPr>
          <w:sz w:val="20"/>
          <w:szCs w:val="20"/>
          <w:color w:val="auto"/>
        </w:rPr>
      </w:pPr>
    </w:p>
    <w:p>
      <w:pPr>
        <w:ind w:left="2260"/>
        <w:spacing w:after="0"/>
        <w:rPr>
          <w:sz w:val="20"/>
          <w:szCs w:val="20"/>
          <w:color w:val="auto"/>
        </w:rPr>
      </w:pPr>
      <w:r>
        <w:rPr>
          <w:rFonts w:ascii="Arial" w:cs="Arial" w:eastAsia="Arial" w:hAnsi="Arial"/>
          <w:sz w:val="18"/>
          <w:szCs w:val="18"/>
          <w:color w:val="auto"/>
        </w:rPr>
        <w:t>_______________</w:t>
      </w:r>
    </w:p>
    <w:p>
      <w:pPr>
        <w:spacing w:after="0" w:line="200" w:lineRule="exact"/>
        <w:rPr>
          <w:sz w:val="20"/>
          <w:szCs w:val="20"/>
          <w:color w:val="auto"/>
        </w:rPr>
      </w:pPr>
    </w:p>
    <w:p>
      <w:pPr>
        <w:spacing w:after="0" w:line="223"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Ownership.</w:t>
      </w:r>
    </w:p>
    <w:p>
      <w:pPr>
        <w:spacing w:after="0" w:line="229" w:lineRule="exact"/>
        <w:rPr>
          <w:sz w:val="20"/>
          <w:szCs w:val="20"/>
          <w:color w:val="auto"/>
        </w:rPr>
      </w:pPr>
    </w:p>
    <w:p>
      <w:pPr>
        <w:ind w:left="1140"/>
        <w:spacing w:after="0"/>
        <w:rPr>
          <w:sz w:val="20"/>
          <w:szCs w:val="20"/>
          <w:color w:val="auto"/>
        </w:rPr>
      </w:pPr>
      <w:r>
        <w:rPr>
          <w:rFonts w:ascii="Arial" w:cs="Arial" w:eastAsia="Arial" w:hAnsi="Arial"/>
          <w:sz w:val="18"/>
          <w:szCs w:val="18"/>
          <w:color w:val="auto"/>
        </w:rPr>
        <w:t>The information in items 1 and 5-11 on the cover pages of this Schedule 13G is hereby incorporated by reference.</w:t>
      </w:r>
    </w:p>
    <w:p>
      <w:pPr>
        <w:spacing w:after="0" w:line="225" w:lineRule="exact"/>
        <w:rPr>
          <w:sz w:val="20"/>
          <w:szCs w:val="20"/>
          <w:color w:val="auto"/>
        </w:rPr>
      </w:pPr>
    </w:p>
    <w:p>
      <w:pPr>
        <w:jc w:val="both"/>
        <w:ind w:left="1140"/>
        <w:spacing w:after="0" w:line="254" w:lineRule="auto"/>
        <w:rPr>
          <w:sz w:val="20"/>
          <w:szCs w:val="20"/>
          <w:color w:val="auto"/>
        </w:rPr>
      </w:pPr>
      <w:r>
        <w:rPr>
          <w:rFonts w:ascii="Arial" w:cs="Arial" w:eastAsia="Arial" w:hAnsi="Arial"/>
          <w:sz w:val="18"/>
          <w:szCs w:val="18"/>
          <w:color w:val="auto"/>
        </w:rPr>
        <w:t>Chickasaw Capital Management, LLC is a registered investment adviser which furnishes investment advice to individual clients by exercising trading authority over securities held in accounts on behalf of such clients (collectively, the “portfolios”). In its role as an investment adviser to the portfolios, Chickasaw Capital Management, LLC has sole dispositive power over the portfolios and, as a result, may be deemed to be the beneficial owner of the securities of the Issuer held by such portfolios. However, Chickasaw Capital Management, LLC does not have the right to receive any dividends from, or the proceeds from the sale of, the securities held in such portfolios and disclaims any ownership associated with such rights. In addition, the filing of this Schedule 13G shall not be construed as an admission that Chickasaw Capital Management, LLC is the beneficial owner of any securities covered by this Schedule 13G for any other purposes than Section 13(d) of the Securities Exchange Act of 1934.</w:t>
      </w:r>
    </w:p>
    <w:p>
      <w:pPr>
        <w:spacing w:after="0" w:line="200" w:lineRule="exact"/>
        <w:rPr>
          <w:sz w:val="20"/>
          <w:szCs w:val="20"/>
          <w:color w:val="auto"/>
        </w:rPr>
      </w:pPr>
    </w:p>
    <w:p>
      <w:pPr>
        <w:spacing w:after="0" w:line="204" w:lineRule="exact"/>
        <w:rPr>
          <w:sz w:val="20"/>
          <w:szCs w:val="20"/>
          <w:color w:val="auto"/>
        </w:rPr>
      </w:pPr>
    </w:p>
    <w:p>
      <w:pPr>
        <w:spacing w:after="0"/>
        <w:tabs>
          <w:tab w:leader="none" w:pos="1120" w:val="left"/>
        </w:tabs>
        <w:rPr>
          <w:sz w:val="20"/>
          <w:szCs w:val="20"/>
          <w:color w:val="auto"/>
        </w:rPr>
      </w:pPr>
      <w:r>
        <w:rPr>
          <w:rFonts w:ascii="Arial" w:cs="Arial" w:eastAsia="Arial" w:hAnsi="Arial"/>
          <w:sz w:val="18"/>
          <w:szCs w:val="18"/>
          <w:b w:val="1"/>
          <w:bCs w:val="1"/>
          <w:color w:val="auto"/>
        </w:rPr>
        <w:t>Item 5.</w:t>
      </w:r>
      <w:r>
        <w:rPr>
          <w:sz w:val="20"/>
          <w:szCs w:val="20"/>
          <w:color w:val="auto"/>
        </w:rPr>
        <w:tab/>
      </w:r>
      <w:r>
        <w:rPr>
          <w:rFonts w:ascii="Arial" w:cs="Arial" w:eastAsia="Arial" w:hAnsi="Arial"/>
          <w:sz w:val="15"/>
          <w:szCs w:val="15"/>
          <w:b w:val="1"/>
          <w:bCs w:val="1"/>
          <w:color w:val="auto"/>
        </w:rPr>
        <w:t>Ownership of 5 Percent or Less of a Class.</w:t>
      </w:r>
    </w:p>
    <w:p>
      <w:pPr>
        <w:spacing w:after="0" w:line="229" w:lineRule="exact"/>
        <w:rPr>
          <w:sz w:val="20"/>
          <w:szCs w:val="20"/>
          <w:color w:val="auto"/>
        </w:rPr>
      </w:pPr>
    </w:p>
    <w:p>
      <w:pPr>
        <w:jc w:val="both"/>
        <w:ind w:left="1140"/>
        <w:spacing w:after="0" w:line="233" w:lineRule="exact"/>
        <w:rPr>
          <w:sz w:val="20"/>
          <w:szCs w:val="20"/>
          <w:color w:val="auto"/>
        </w:rPr>
      </w:pPr>
      <w:r>
        <w:rPr>
          <w:rFonts w:ascii="Arial" w:cs="Arial" w:eastAsia="Arial" w:hAnsi="Arial"/>
          <w:sz w:val="18"/>
          <w:szCs w:val="18"/>
          <w:color w:val="auto"/>
        </w:rPr>
        <w:t xml:space="preserve">If this statement is being filed to report the fact that as of the date hereof the reporting person has ceased to be the beneficial owner of more than 5 percent of the class of securities, check the following </w:t>
      </w:r>
      <w:r>
        <w:rPr>
          <w:rFonts w:ascii="MS PGothic" w:cs="MS PGothic" w:eastAsia="MS PGothic" w:hAnsi="MS PGothic"/>
          <w:sz w:val="18"/>
          <w:szCs w:val="18"/>
          <w:color w:val="auto"/>
        </w:rPr>
        <w:t>☒</w:t>
      </w:r>
      <w:r>
        <w:rPr>
          <w:rFonts w:ascii="Arial" w:cs="Arial" w:eastAsia="Arial" w:hAnsi="Arial"/>
          <w:sz w:val="18"/>
          <w:szCs w:val="18"/>
          <w:color w:val="auto"/>
        </w:rPr>
        <w:t>.</w:t>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575" w:right="339" w:bottom="1440" w:gutter="0" w:footer="0" w:header="0"/>
        </w:sectPr>
      </w:pPr>
    </w:p>
    <w:bookmarkStart w:id="4" w:name="page5"/>
    <w:bookmarkEnd w:id="4"/>
    <w:tbl>
      <w:tblPr>
        <w:tblLayout w:type="fixed"/>
        <w:tblInd w:w="10" w:type="dxa"/>
        <w:tblCellMar>
          <w:top w:w="0" w:type="dxa"/>
          <w:left w:w="0" w:type="dxa"/>
          <w:bottom w:w="0" w:type="dxa"/>
          <w:right w:w="0" w:type="dxa"/>
        </w:tblCellMar>
      </w:tblPr>
      <w:tr>
        <w:trPr>
          <w:trHeight w:val="218"/>
        </w:trPr>
        <w:tc>
          <w:tcPr>
            <w:tcW w:w="17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CUSIP No.</w:t>
            </w:r>
          </w:p>
        </w:tc>
        <w:tc>
          <w:tcPr>
            <w:tcW w:w="7880" w:type="dxa"/>
            <w:vAlign w:val="bottom"/>
            <w:tcBorders>
              <w:right w:val="single" w:sz="8" w:color="auto"/>
            </w:tcBorders>
          </w:tcPr>
          <w:p>
            <w:pPr>
              <w:spacing w:after="0"/>
              <w:rPr>
                <w:sz w:val="18"/>
                <w:szCs w:val="18"/>
                <w:color w:val="auto"/>
              </w:rPr>
            </w:pPr>
          </w:p>
        </w:tc>
        <w:tc>
          <w:tcPr>
            <w:tcW w:w="16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w w:val="98"/>
              </w:rPr>
              <w:t>Page 5 of 6 Pages</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72651A207</w:t>
            </w:r>
          </w:p>
        </w:tc>
        <w:tc>
          <w:tcPr>
            <w:tcW w:w="78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880" w:type="dxa"/>
            <w:vAlign w:val="bottom"/>
            <w:tcBorders>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8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Ownership of More than 5 Percent on Behalf of Another Person.</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4"/>
              </w:rPr>
              <w:t>Each advisory client of Chickasaw Capital Management, LLC who owns securities of the Issuer in their portfolio has the right to receive</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dividends from, or the proceeds from the sale of, such securities held in that client’s portfolio.</w:t>
            </w:r>
          </w:p>
        </w:tc>
        <w:tc>
          <w:tcPr>
            <w:tcW w:w="0" w:type="dxa"/>
            <w:vAlign w:val="bottom"/>
          </w:tcPr>
          <w:p>
            <w:pPr>
              <w:spacing w:after="0"/>
              <w:rPr>
                <w:sz w:val="1"/>
                <w:szCs w:val="1"/>
                <w:color w:val="auto"/>
              </w:rPr>
            </w:pPr>
          </w:p>
        </w:tc>
      </w:tr>
      <w:tr>
        <w:trPr>
          <w:trHeight w:val="630"/>
        </w:trPr>
        <w:tc>
          <w:tcPr>
            <w:tcW w:w="880" w:type="dxa"/>
            <w:vAlign w:val="bottom"/>
            <w:vMerge w:val="restart"/>
          </w:tcPr>
          <w:p>
            <w:pPr>
              <w:spacing w:after="0"/>
              <w:rPr>
                <w:sz w:val="20"/>
                <w:szCs w:val="20"/>
                <w:color w:val="auto"/>
              </w:rPr>
            </w:pPr>
            <w:r>
              <w:rPr>
                <w:rFonts w:ascii="Arial" w:cs="Arial" w:eastAsia="Arial" w:hAnsi="Arial"/>
                <w:sz w:val="18"/>
                <w:szCs w:val="18"/>
                <w:b w:val="1"/>
                <w:bCs w:val="1"/>
                <w:color w:val="auto"/>
              </w:rPr>
              <w:t>Item 7.</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w w:val="97"/>
              </w:rPr>
              <w:t>Identification and Classification of the Subsidiary Which Acquired the Security Being Reported on by the Parent Holding</w:t>
            </w:r>
          </w:p>
        </w:tc>
        <w:tc>
          <w:tcPr>
            <w:tcW w:w="0" w:type="dxa"/>
            <w:vAlign w:val="bottom"/>
          </w:tcPr>
          <w:p>
            <w:pPr>
              <w:spacing w:after="0"/>
              <w:rPr>
                <w:sz w:val="1"/>
                <w:szCs w:val="1"/>
                <w:color w:val="auto"/>
              </w:rPr>
            </w:pPr>
          </w:p>
        </w:tc>
      </w:tr>
      <w:tr>
        <w:trPr>
          <w:trHeight w:val="126"/>
        </w:trPr>
        <w:tc>
          <w:tcPr>
            <w:tcW w:w="880" w:type="dxa"/>
            <w:vAlign w:val="bottom"/>
            <w:vMerge w:val="continue"/>
          </w:tcPr>
          <w:p>
            <w:pPr>
              <w:spacing w:after="0"/>
              <w:rPr>
                <w:sz w:val="10"/>
                <w:szCs w:val="10"/>
                <w:color w:val="auto"/>
              </w:rPr>
            </w:pPr>
          </w:p>
        </w:tc>
        <w:tc>
          <w:tcPr>
            <w:tcW w:w="10360" w:type="dxa"/>
            <w:vAlign w:val="bottom"/>
            <w:vMerge w:val="restart"/>
          </w:tcPr>
          <w:p>
            <w:pPr>
              <w:ind w:left="260"/>
              <w:spacing w:after="0"/>
              <w:rPr>
                <w:sz w:val="20"/>
                <w:szCs w:val="20"/>
                <w:color w:val="auto"/>
              </w:rPr>
            </w:pPr>
            <w:r>
              <w:rPr>
                <w:rFonts w:ascii="Arial" w:cs="Arial" w:eastAsia="Arial" w:hAnsi="Arial"/>
                <w:sz w:val="18"/>
                <w:szCs w:val="18"/>
                <w:b w:val="1"/>
                <w:bCs w:val="1"/>
                <w:color w:val="auto"/>
              </w:rPr>
              <w:t>Company or Control Person.</w:t>
            </w:r>
          </w:p>
        </w:tc>
        <w:tc>
          <w:tcPr>
            <w:tcW w:w="0" w:type="dxa"/>
            <w:vAlign w:val="bottom"/>
          </w:tcPr>
          <w:p>
            <w:pPr>
              <w:spacing w:after="0"/>
              <w:rPr>
                <w:sz w:val="1"/>
                <w:szCs w:val="1"/>
                <w:color w:val="auto"/>
              </w:rPr>
            </w:pPr>
          </w:p>
        </w:tc>
      </w:tr>
      <w:tr>
        <w:trPr>
          <w:trHeight w:val="108"/>
        </w:trPr>
        <w:tc>
          <w:tcPr>
            <w:tcW w:w="880" w:type="dxa"/>
            <w:vAlign w:val="bottom"/>
          </w:tcPr>
          <w:p>
            <w:pPr>
              <w:spacing w:after="0"/>
              <w:rPr>
                <w:sz w:val="9"/>
                <w:szCs w:val="9"/>
                <w:color w:val="auto"/>
              </w:rPr>
            </w:pPr>
          </w:p>
        </w:tc>
        <w:tc>
          <w:tcPr>
            <w:tcW w:w="103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8.</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Identification and Classification of Members of the Group.</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9.</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Notice of Dissolution of Group.</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648"/>
        </w:trPr>
        <w:tc>
          <w:tcPr>
            <w:tcW w:w="880" w:type="dxa"/>
            <w:vAlign w:val="bottom"/>
          </w:tcPr>
          <w:p>
            <w:pPr>
              <w:spacing w:after="0"/>
              <w:rPr>
                <w:sz w:val="20"/>
                <w:szCs w:val="20"/>
                <w:color w:val="auto"/>
              </w:rPr>
            </w:pPr>
            <w:r>
              <w:rPr>
                <w:rFonts w:ascii="Arial" w:cs="Arial" w:eastAsia="Arial" w:hAnsi="Arial"/>
                <w:sz w:val="18"/>
                <w:szCs w:val="18"/>
                <w:b w:val="1"/>
                <w:bCs w:val="1"/>
                <w:color w:val="auto"/>
              </w:rPr>
              <w:t>Item 10.</w:t>
            </w:r>
          </w:p>
        </w:tc>
        <w:tc>
          <w:tcPr>
            <w:tcW w:w="10360" w:type="dxa"/>
            <w:vAlign w:val="bottom"/>
          </w:tcPr>
          <w:p>
            <w:pPr>
              <w:ind w:left="260"/>
              <w:spacing w:after="0"/>
              <w:rPr>
                <w:sz w:val="20"/>
                <w:szCs w:val="20"/>
                <w:color w:val="auto"/>
              </w:rPr>
            </w:pPr>
            <w:r>
              <w:rPr>
                <w:rFonts w:ascii="Arial" w:cs="Arial" w:eastAsia="Arial" w:hAnsi="Arial"/>
                <w:sz w:val="18"/>
                <w:szCs w:val="18"/>
                <w:b w:val="1"/>
                <w:bCs w:val="1"/>
                <w:color w:val="auto"/>
              </w:rPr>
              <w:t>Certifications.</w:t>
            </w:r>
          </w:p>
        </w:tc>
        <w:tc>
          <w:tcPr>
            <w:tcW w:w="0" w:type="dxa"/>
            <w:vAlign w:val="bottom"/>
          </w:tcPr>
          <w:p>
            <w:pPr>
              <w:spacing w:after="0"/>
              <w:rPr>
                <w:sz w:val="1"/>
                <w:szCs w:val="1"/>
                <w:color w:val="auto"/>
              </w:rPr>
            </w:pPr>
          </w:p>
        </w:tc>
      </w:tr>
      <w:tr>
        <w:trPr>
          <w:trHeight w:val="418"/>
        </w:trPr>
        <w:tc>
          <w:tcPr>
            <w:tcW w:w="880" w:type="dxa"/>
            <w:vAlign w:val="bottom"/>
          </w:tcPr>
          <w:p>
            <w:pPr>
              <w:spacing w:after="0"/>
              <w:rPr>
                <w:sz w:val="24"/>
                <w:szCs w:val="24"/>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3"/>
              </w:rPr>
              <w:t>By signing below I certify that, to the best of my knowledge and belief, the securities referred to above were acquired and are held in the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4"/>
              </w:rPr>
              <w:t>ordinary course of business and were not acquired and are not held for the purpose of or with the effect of changing or influencing the</w:t>
            </w:r>
          </w:p>
        </w:tc>
        <w:tc>
          <w:tcPr>
            <w:tcW w:w="0" w:type="dxa"/>
            <w:vAlign w:val="bottom"/>
          </w:tcPr>
          <w:p>
            <w:pPr>
              <w:spacing w:after="0"/>
              <w:rPr>
                <w:sz w:val="1"/>
                <w:szCs w:val="1"/>
                <w:color w:val="auto"/>
              </w:rPr>
            </w:pPr>
          </w:p>
        </w:tc>
      </w:tr>
      <w:tr>
        <w:trPr>
          <w:trHeight w:val="216"/>
        </w:trPr>
        <w:tc>
          <w:tcPr>
            <w:tcW w:w="880" w:type="dxa"/>
            <w:vAlign w:val="bottom"/>
          </w:tcPr>
          <w:p>
            <w:pPr>
              <w:spacing w:after="0"/>
              <w:rPr>
                <w:sz w:val="18"/>
                <w:szCs w:val="18"/>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w w:val="91"/>
              </w:rPr>
              <w:t>control of the issuer of the securities and were not acquired and are not held in connection with or as a participant in any transaction having</w:t>
            </w:r>
          </w:p>
        </w:tc>
        <w:tc>
          <w:tcPr>
            <w:tcW w:w="0" w:type="dxa"/>
            <w:vAlign w:val="bottom"/>
          </w:tcPr>
          <w:p>
            <w:pPr>
              <w:spacing w:after="0"/>
              <w:rPr>
                <w:sz w:val="1"/>
                <w:szCs w:val="1"/>
                <w:color w:val="auto"/>
              </w:rPr>
            </w:pPr>
          </w:p>
        </w:tc>
      </w:tr>
      <w:tr>
        <w:trPr>
          <w:trHeight w:val="230"/>
        </w:trPr>
        <w:tc>
          <w:tcPr>
            <w:tcW w:w="880" w:type="dxa"/>
            <w:vAlign w:val="bottom"/>
          </w:tcPr>
          <w:p>
            <w:pPr>
              <w:spacing w:after="0"/>
              <w:rPr>
                <w:sz w:val="20"/>
                <w:szCs w:val="20"/>
                <w:color w:val="auto"/>
              </w:rPr>
            </w:pPr>
          </w:p>
        </w:tc>
        <w:tc>
          <w:tcPr>
            <w:tcW w:w="10360" w:type="dxa"/>
            <w:vAlign w:val="bottom"/>
          </w:tcPr>
          <w:p>
            <w:pPr>
              <w:ind w:left="260"/>
              <w:spacing w:after="0"/>
              <w:rPr>
                <w:sz w:val="20"/>
                <w:szCs w:val="20"/>
                <w:color w:val="auto"/>
              </w:rPr>
            </w:pPr>
            <w:r>
              <w:rPr>
                <w:rFonts w:ascii="Arial" w:cs="Arial" w:eastAsia="Arial" w:hAnsi="Arial"/>
                <w:sz w:val="18"/>
                <w:szCs w:val="18"/>
                <w:color w:val="auto"/>
              </w:rPr>
              <w:t>that purpose or effect, other than activities solely in connection with a nomination under § 240.14a-11.</w:t>
            </w:r>
          </w:p>
        </w:tc>
        <w:tc>
          <w:tcPr>
            <w:tcW w:w="0" w:type="dxa"/>
            <w:vAlign w:val="bottom"/>
          </w:tcPr>
          <w:p>
            <w:pPr>
              <w:spacing w:after="0"/>
              <w:rPr>
                <w:sz w:val="1"/>
                <w:szCs w:val="1"/>
                <w:color w:val="auto"/>
              </w:rPr>
            </w:pPr>
          </w:p>
        </w:tc>
      </w:tr>
      <w:tr>
        <w:trPr>
          <w:trHeight w:val="432"/>
        </w:trPr>
        <w:tc>
          <w:tcPr>
            <w:tcW w:w="880" w:type="dxa"/>
            <w:vAlign w:val="bottom"/>
          </w:tcPr>
          <w:p>
            <w:pPr>
              <w:spacing w:after="0"/>
              <w:rPr>
                <w:sz w:val="24"/>
                <w:szCs w:val="24"/>
                <w:color w:val="auto"/>
              </w:rPr>
            </w:pPr>
          </w:p>
        </w:tc>
        <w:tc>
          <w:tcPr>
            <w:tcW w:w="10360" w:type="dxa"/>
            <w:vAlign w:val="bottom"/>
          </w:tcPr>
          <w:p>
            <w:pPr>
              <w:ind w:left="4600"/>
              <w:spacing w:after="0"/>
              <w:rPr>
                <w:sz w:val="20"/>
                <w:szCs w:val="20"/>
                <w:color w:val="auto"/>
              </w:rPr>
            </w:pPr>
            <w:r>
              <w:rPr>
                <w:rFonts w:ascii="Arial" w:cs="Arial" w:eastAsia="Arial" w:hAnsi="Arial"/>
                <w:sz w:val="18"/>
                <w:szCs w:val="18"/>
                <w:color w:val="auto"/>
              </w:rPr>
              <w:t>- 5 -</w:t>
            </w:r>
          </w:p>
        </w:tc>
        <w:tc>
          <w:tcPr>
            <w:tcW w:w="0" w:type="dxa"/>
            <w:vAlign w:val="bottom"/>
          </w:tcPr>
          <w:p>
            <w:pPr>
              <w:spacing w:after="0"/>
              <w:rPr>
                <w:sz w:val="1"/>
                <w:szCs w:val="1"/>
                <w:color w:val="auto"/>
              </w:rPr>
            </w:pPr>
          </w:p>
        </w:tc>
      </w:tr>
      <w:tr>
        <w:trPr>
          <w:trHeight w:val="115"/>
        </w:trPr>
        <w:tc>
          <w:tcPr>
            <w:tcW w:w="880" w:type="dxa"/>
            <w:vAlign w:val="bottom"/>
            <w:tcBorders>
              <w:bottom w:val="single" w:sz="8" w:color="auto"/>
            </w:tcBorders>
          </w:tcPr>
          <w:p>
            <w:pPr>
              <w:spacing w:after="0"/>
              <w:rPr>
                <w:sz w:val="10"/>
                <w:szCs w:val="10"/>
                <w:color w:val="auto"/>
              </w:rPr>
            </w:pPr>
          </w:p>
        </w:tc>
        <w:tc>
          <w:tcPr>
            <w:tcW w:w="10360" w:type="dxa"/>
            <w:vAlign w:val="bottom"/>
            <w:tcBorders>
              <w:bottom w:val="single" w:sz="8" w:color="auto"/>
            </w:tcBorders>
          </w:tcPr>
          <w:p>
            <w:pPr>
              <w:spacing w:after="0"/>
              <w:rPr>
                <w:sz w:val="10"/>
                <w:szCs w:val="10"/>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575" w:right="339" w:bottom="1440" w:gutter="0" w:footer="0" w:header="0"/>
        </w:sectPr>
      </w:pPr>
    </w:p>
    <w:bookmarkStart w:id="5" w:name="page6"/>
    <w:bookmarkEnd w:id="5"/>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18"/>
        </w:trPr>
        <w:tc>
          <w:tcPr>
            <w:tcW w:w="1700" w:type="dxa"/>
            <w:vAlign w:val="bottom"/>
            <w:tcBorders>
              <w:top w:val="single" w:sz="8" w:color="auto"/>
              <w:left w:val="single" w:sz="8" w:color="auto"/>
              <w:right w:val="single" w:sz="8" w:color="auto"/>
            </w:tcBorders>
          </w:tcPr>
          <w:p>
            <w:pPr>
              <w:ind w:left="180"/>
              <w:spacing w:after="0"/>
              <w:rPr>
                <w:sz w:val="20"/>
                <w:szCs w:val="20"/>
                <w:color w:val="auto"/>
              </w:rPr>
            </w:pPr>
            <w:r>
              <w:rPr>
                <w:rFonts w:ascii="Arial" w:cs="Arial" w:eastAsia="Arial" w:hAnsi="Arial"/>
                <w:sz w:val="18"/>
                <w:szCs w:val="18"/>
                <w:color w:val="auto"/>
              </w:rPr>
              <w:t>CUSIP No.</w:t>
            </w:r>
          </w:p>
        </w:tc>
        <w:tc>
          <w:tcPr>
            <w:tcW w:w="7880" w:type="dxa"/>
            <w:vAlign w:val="bottom"/>
            <w:tcBorders>
              <w:right w:val="single" w:sz="8" w:color="auto"/>
            </w:tcBorders>
          </w:tcPr>
          <w:p>
            <w:pPr>
              <w:spacing w:after="0"/>
              <w:rPr>
                <w:sz w:val="18"/>
                <w:szCs w:val="18"/>
                <w:color w:val="auto"/>
              </w:rPr>
            </w:pPr>
          </w:p>
        </w:tc>
        <w:tc>
          <w:tcPr>
            <w:tcW w:w="1660" w:type="dxa"/>
            <w:vAlign w:val="bottom"/>
            <w:tcBorders>
              <w:top w:val="single" w:sz="8" w:color="auto"/>
              <w:right w:val="single" w:sz="8" w:color="auto"/>
            </w:tcBorders>
            <w:vMerge w:val="restart"/>
          </w:tcPr>
          <w:p>
            <w:pPr>
              <w:ind w:left="160"/>
              <w:spacing w:after="0"/>
              <w:rPr>
                <w:sz w:val="20"/>
                <w:szCs w:val="20"/>
                <w:color w:val="auto"/>
              </w:rPr>
            </w:pPr>
            <w:r>
              <w:rPr>
                <w:rFonts w:ascii="Arial" w:cs="Arial" w:eastAsia="Arial" w:hAnsi="Arial"/>
                <w:sz w:val="18"/>
                <w:szCs w:val="18"/>
                <w:color w:val="auto"/>
                <w:w w:val="98"/>
              </w:rPr>
              <w:t>Page 6 of 6 Pages</w:t>
            </w:r>
          </w:p>
        </w:tc>
        <w:tc>
          <w:tcPr>
            <w:tcW w:w="0" w:type="dxa"/>
            <w:vAlign w:val="bottom"/>
          </w:tcPr>
          <w:p>
            <w:pPr>
              <w:spacing w:after="0"/>
              <w:rPr>
                <w:sz w:val="1"/>
                <w:szCs w:val="1"/>
                <w:color w:val="auto"/>
              </w:rPr>
            </w:pPr>
          </w:p>
        </w:tc>
      </w:tr>
      <w:tr>
        <w:trPr>
          <w:trHeight w:val="122"/>
        </w:trPr>
        <w:tc>
          <w:tcPr>
            <w:tcW w:w="1700" w:type="dxa"/>
            <w:vAlign w:val="bottom"/>
            <w:tcBorders>
              <w:left w:val="single" w:sz="8" w:color="auto"/>
              <w:right w:val="single" w:sz="8" w:color="auto"/>
            </w:tcBorders>
            <w:vMerge w:val="restart"/>
          </w:tcPr>
          <w:p>
            <w:pPr>
              <w:ind w:left="180"/>
              <w:spacing w:after="0"/>
              <w:rPr>
                <w:sz w:val="20"/>
                <w:szCs w:val="20"/>
                <w:color w:val="auto"/>
              </w:rPr>
            </w:pPr>
            <w:r>
              <w:rPr>
                <w:rFonts w:ascii="Arial" w:cs="Arial" w:eastAsia="Arial" w:hAnsi="Arial"/>
                <w:sz w:val="18"/>
                <w:szCs w:val="18"/>
                <w:color w:val="auto"/>
              </w:rPr>
              <w:t>72651A207</w:t>
            </w:r>
          </w:p>
        </w:tc>
        <w:tc>
          <w:tcPr>
            <w:tcW w:w="7880" w:type="dxa"/>
            <w:vAlign w:val="bottom"/>
            <w:tcBorders>
              <w:right w:val="single" w:sz="8" w:color="auto"/>
            </w:tcBorders>
          </w:tcPr>
          <w:p>
            <w:pPr>
              <w:spacing w:after="0"/>
              <w:rPr>
                <w:sz w:val="10"/>
                <w:szCs w:val="10"/>
                <w:color w:val="auto"/>
              </w:rPr>
            </w:pPr>
          </w:p>
        </w:tc>
        <w:tc>
          <w:tcPr>
            <w:tcW w:w="1660" w:type="dxa"/>
            <w:vAlign w:val="bottom"/>
            <w:tcBorders>
              <w:right w:val="single" w:sz="8" w:color="auto"/>
            </w:tcBorders>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05"/>
        </w:trPr>
        <w:tc>
          <w:tcPr>
            <w:tcW w:w="1700" w:type="dxa"/>
            <w:vAlign w:val="bottom"/>
            <w:tcBorders>
              <w:left w:val="single" w:sz="8" w:color="auto"/>
              <w:bottom w:val="single" w:sz="8" w:color="auto"/>
              <w:right w:val="single" w:sz="8" w:color="auto"/>
            </w:tcBorders>
            <w:vMerge w:val="continue"/>
          </w:tcPr>
          <w:p>
            <w:pPr>
              <w:spacing w:after="0"/>
              <w:rPr>
                <w:sz w:val="9"/>
                <w:szCs w:val="9"/>
                <w:color w:val="auto"/>
              </w:rPr>
            </w:pPr>
          </w:p>
        </w:tc>
        <w:tc>
          <w:tcPr>
            <w:tcW w:w="7880" w:type="dxa"/>
            <w:vAlign w:val="bottom"/>
            <w:tcBorders>
              <w:right w:val="single" w:sz="8" w:color="auto"/>
            </w:tcBorders>
          </w:tcPr>
          <w:p>
            <w:pPr>
              <w:spacing w:after="0"/>
              <w:rPr>
                <w:sz w:val="9"/>
                <w:szCs w:val="9"/>
                <w:color w:val="auto"/>
              </w:rPr>
            </w:pPr>
          </w:p>
        </w:tc>
        <w:tc>
          <w:tcPr>
            <w:tcW w:w="1660" w:type="dxa"/>
            <w:vAlign w:val="bottom"/>
            <w:tcBorders>
              <w:bottom w:val="single" w:sz="8" w:color="auto"/>
              <w:right w:val="single" w:sz="8" w:color="auto"/>
            </w:tcBorders>
          </w:tcPr>
          <w:p>
            <w:pPr>
              <w:spacing w:after="0"/>
              <w:rPr>
                <w:sz w:val="9"/>
                <w:szCs w:val="9"/>
                <w:color w:val="auto"/>
              </w:rPr>
            </w:pPr>
          </w:p>
        </w:tc>
        <w:tc>
          <w:tcPr>
            <w:tcW w:w="0" w:type="dxa"/>
            <w:vAlign w:val="bottom"/>
          </w:tcPr>
          <w:p>
            <w:pPr>
              <w:spacing w:after="0"/>
              <w:rPr>
                <w:sz w:val="1"/>
                <w:szCs w:val="1"/>
                <w:color w:val="auto"/>
              </w:rPr>
            </w:pPr>
          </w:p>
        </w:tc>
      </w:tr>
    </w:tbl>
    <w:p>
      <w:pPr>
        <w:spacing w:after="0" w:line="19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spacing w:after="0"/>
        <w:rPr>
          <w:sz w:val="20"/>
          <w:szCs w:val="20"/>
          <w:color w:val="auto"/>
        </w:rPr>
      </w:pPr>
      <w:r>
        <w:rPr>
          <w:rFonts w:ascii="Arial" w:cs="Arial" w:eastAsia="Arial" w:hAnsi="Arial"/>
          <w:sz w:val="16"/>
          <w:szCs w:val="16"/>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Chickasaw Capital Management, LLC</w:t>
      </w:r>
    </w:p>
    <w:p>
      <w:pPr>
        <w:spacing w:after="0" w:line="225"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February 4,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Date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 Andrew E. Garrett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Signature</w:t>
      </w:r>
    </w:p>
    <w:p>
      <w:pPr>
        <w:spacing w:after="0" w:line="224"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Andrew E. Garrett,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Name/Title</w:t>
      </w: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- 6 -</w:t>
      </w:r>
    </w:p>
    <w:sectPr>
      <w:pgSz w:w="11900" w:h="16838" w:orient="portrait"/>
      <w:cols w:equalWidth="0" w:num="1">
        <w:col w:w="11240"/>
      </w:cols>
      <w:pgMar w:left="320" w:top="57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B71EFB"/>
    <w:multiLevelType w:val="hybridMultilevel"/>
    <w:lvl w:ilvl="0">
      <w:lvlJc w:val="left"/>
      <w:lvlText w:val="☒"/>
      <w:numFmt w:val="bullet"/>
      <w:start w:val="1"/>
    </w:lvl>
  </w:abstractNum>
  <w:abstractNum w:abstractNumId="1">
    <w:nsid w:val="79E2A9E3"/>
    <w:multiLevelType w:val="hybridMultilevel"/>
    <w:lvl w:ilvl="0">
      <w:lvlJc w:val="left"/>
      <w:lvlText w:val="1"/>
      <w:numFmt w:val="bullet"/>
      <w:start w:val="1"/>
    </w:lvl>
  </w:abstractNum>
  <w:abstractNum w:abstractNumId="2">
    <w:nsid w:val="7545E146"/>
    <w:multiLevelType w:val="hybridMultilevel"/>
    <w:lvl w:ilvl="0">
      <w:lvlJc w:val="left"/>
      <w:lvlText w:val="2"/>
      <w:numFmt w:val="bullet"/>
      <w:start w:val="1"/>
    </w:lvl>
  </w:abstractNum>
  <w:abstractNum w:abstractNumId="3">
    <w:nsid w:val="515F007C"/>
    <w:multiLevelType w:val="hybridMultilevel"/>
    <w:lvl w:ilvl="0">
      <w:lvlJc w:val="left"/>
      <w:lvlText w:val="3"/>
      <w:numFmt w:val="bullet"/>
      <w:start w:val="1"/>
    </w:lvl>
  </w:abstractNum>
  <w:abstractNum w:abstractNumId="4">
    <w:nsid w:val="5BD062C2"/>
    <w:multiLevelType w:val="hybridMultilevel"/>
    <w:lvl w:ilvl="0">
      <w:lvlJc w:val="left"/>
      <w:lvlText w:val="4"/>
      <w:numFmt w:val="bullet"/>
      <w:start w:val="1"/>
    </w:lvl>
  </w:abstractNum>
  <w:abstractNum w:abstractNumId="5">
    <w:nsid w:val="12200854"/>
    <w:multiLevelType w:val="hybridMultilevel"/>
    <w:lvl w:ilvl="0">
      <w:lvlJc w:val="left"/>
      <w:lvlText w:val="5"/>
      <w:numFmt w:val="bullet"/>
      <w:start w:val="1"/>
    </w:lvl>
  </w:abstractNum>
  <w:abstractNum w:abstractNumId="6">
    <w:nsid w:val="4DB127F8"/>
    <w:multiLevelType w:val="hybridMultilevel"/>
    <w:lvl w:ilvl="0">
      <w:lvlJc w:val="left"/>
      <w:lvlText w:val="6"/>
      <w:numFmt w:val="bullet"/>
      <w:start w:val="1"/>
    </w:lvl>
  </w:abstractNum>
  <w:abstractNum w:abstractNumId="7">
    <w:nsid w:val="216231B"/>
    <w:multiLevelType w:val="hybridMultilevel"/>
    <w:lvl w:ilvl="0">
      <w:lvlJc w:val="left"/>
      <w:lvlText w:val="7"/>
      <w:numFmt w:val="bullet"/>
      <w:start w:val="1"/>
    </w:lvl>
  </w:abstractNum>
  <w:abstractNum w:abstractNumId="8">
    <w:nsid w:val="1F16E9E8"/>
    <w:multiLevelType w:val="hybridMultilevel"/>
    <w:lvl w:ilvl="0">
      <w:lvlJc w:val="left"/>
      <w:lvlText w:val="8"/>
      <w:numFmt w:val="bullet"/>
      <w:start w:val="1"/>
    </w:lvl>
  </w:abstractNum>
  <w:abstractNum w:abstractNumId="9">
    <w:nsid w:val="1190CDE7"/>
    <w:multiLevelType w:val="hybridMultilevel"/>
    <w:lvl w:ilvl="0">
      <w:lvlJc w:val="left"/>
      <w:lvlText w:val="9"/>
      <w:numFmt w:val="bullet"/>
      <w:start w:val="1"/>
    </w:lvl>
  </w:abstractNum>
  <w:abstractNum w:abstractNumId="10">
    <w:nsid w:val="66EF438D"/>
    <w:multiLevelType w:val="hybridMultilevel"/>
    <w:lvl w:ilvl="0">
      <w:lvlJc w:val="left"/>
      <w:lvlText w:val="%1"/>
      <w:numFmt w:val="decimal"/>
      <w:start w:val="11"/>
    </w:lvl>
    <w:lvl w:ilvl="1">
      <w:lvlJc w:val="left"/>
      <w:lvlText w:val="**"/>
      <w:numFmt w:val="bullet"/>
      <w:start w:val="1"/>
    </w:lvl>
  </w:abstractNum>
  <w:abstractNum w:abstractNumId="11">
    <w:nsid w:val="140E0F76"/>
    <w:multiLevelType w:val="hybridMultilevel"/>
    <w:lvl w:ilvl="0">
      <w:lvlJc w:val="left"/>
      <w:lvlText w:val="(%1)"/>
      <w:numFmt w:val="lowerLetter"/>
      <w:start w:val="8"/>
    </w:lvl>
  </w:abstractNum>
  <w:abstractNum w:abstractNumId="12">
    <w:nsid w:val="3352255A"/>
    <w:multiLevelType w:val="hybridMultilevel"/>
    <w:lvl w:ilvl="0">
      <w:lvlJc w:val="left"/>
      <w:lvlText w:val="(%1)"/>
      <w:numFmt w:val="lowerLetter"/>
      <w:start w:val="10"/>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2022-02-04T15:10:10Z</dcterms:created>
  <dcterms:modified xsi:type="dcterms:W3CDTF">2022-02-04T15:10:10Z</dcterms:modified>
</cp:coreProperties>
</file>