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-593725</wp:posOffset>
            </wp:positionV>
            <wp:extent cx="8255" cy="594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36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-601980</wp:posOffset>
            </wp:positionV>
            <wp:extent cx="8255" cy="602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-577850</wp:posOffset>
            </wp:positionV>
            <wp:extent cx="1268730" cy="55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543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26035</wp:posOffset>
            </wp:positionV>
            <wp:extent cx="6971030" cy="1581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581785"/>
                    </a:xfrm>
                    <a:prstGeom prst="rect">
                      <a:avLst/>
                    </a:prstGeom>
                    <a:noFill/>
                  </pic:spPr>
                </pic:pic>
              </a:graphicData>
            </a:graphic>
          </wp:anchor>
        </w:drawing>
      </w:r>
    </w:p>
    <w:p>
      <w:pPr>
        <w:spacing w:after="0" w:line="85" w:lineRule="exact"/>
        <w:rPr>
          <w:sz w:val="24"/>
          <w:szCs w:val="24"/>
          <w:color w:val="auto"/>
        </w:rPr>
      </w:pPr>
    </w:p>
    <w:p>
      <w:pPr>
        <w:sectPr>
          <w:pgSz w:w="11900" w:h="16838" w:orient="portrait"/>
          <w:cols w:equalWidth="0" w:num="2">
            <w:col w:w="2220" w:space="400"/>
            <w:col w:w="8460"/>
          </w:cols>
          <w:pgMar w:left="460" w:top="219"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KAFU Holdings (QP), L.P.</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1800 AVENUE OF THE STARS, 3RD FLOOR</w:t>
      </w:r>
    </w:p>
    <w:p>
      <w:pPr>
        <w:spacing w:after="0" w:line="343"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rPr>
              <w:t>LOS ANGELES</w:t>
            </w:r>
          </w:p>
        </w:tc>
        <w:tc>
          <w:tcPr>
            <w:tcW w:w="860" w:type="dxa"/>
            <w:vAlign w:val="bottom"/>
          </w:tcPr>
          <w:p>
            <w:pPr>
              <w:ind w:left="60"/>
              <w:spacing w:after="0"/>
              <w:rPr>
                <w:sz w:val="20"/>
                <w:szCs w:val="20"/>
                <w:color w:val="auto"/>
              </w:rPr>
            </w:pPr>
            <w:r>
              <w:rPr>
                <w:rFonts w:ascii="Arial" w:cs="Arial" w:eastAsia="Arial" w:hAnsi="Arial"/>
                <w:sz w:val="16"/>
                <w:szCs w:val="16"/>
                <w:color w:val="0000FF"/>
              </w:rPr>
              <w:t>CA</w:t>
            </w:r>
          </w:p>
        </w:tc>
        <w:tc>
          <w:tcPr>
            <w:tcW w:w="1620" w:type="dxa"/>
            <w:vAlign w:val="bottom"/>
          </w:tcPr>
          <w:p>
            <w:pPr>
              <w:ind w:left="420"/>
              <w:spacing w:after="0"/>
              <w:rPr>
                <w:sz w:val="20"/>
                <w:szCs w:val="20"/>
                <w:color w:val="auto"/>
              </w:rPr>
            </w:pPr>
            <w:r>
              <w:rPr>
                <w:rFonts w:ascii="Arial" w:cs="Arial" w:eastAsia="Arial" w:hAnsi="Arial"/>
                <w:sz w:val="16"/>
                <w:szCs w:val="16"/>
                <w:color w:val="0000FF"/>
              </w:rPr>
              <w:t>90067</w:t>
            </w:r>
          </w:p>
        </w:tc>
      </w:tr>
      <w:tr>
        <w:trPr>
          <w:trHeight w:val="147"/>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5"/>
        </w:trPr>
        <w:tc>
          <w:tcPr>
            <w:tcW w:w="3840" w:type="dxa"/>
            <w:vAlign w:val="bottom"/>
          </w:tcPr>
          <w:p>
            <w:pPr>
              <w:ind w:left="60"/>
              <w:spacing w:after="0" w:line="135"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PLAINS ALL AMERICAN PIPELINE LP</w:t>
              </w:r>
              <w:r>
                <w:rPr>
                  <w:rFonts w:ascii="Arial" w:cs="Arial" w:eastAsia="Arial" w:hAnsi="Arial"/>
                  <w:sz w:val="15"/>
                  <w:szCs w:val="15"/>
                  <w:color w:val="0000EE"/>
                </w:rPr>
                <w:t xml:space="preserve"> </w:t>
              </w:r>
            </w:hyperlink>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3840" w:type="dxa"/>
            <w:vAlign w:val="bottom"/>
            <w:vMerge w:val="restart"/>
          </w:tcPr>
          <w:p>
            <w:pPr>
              <w:ind w:left="60"/>
              <w:spacing w:after="0" w:line="203" w:lineRule="exact"/>
              <w:rPr>
                <w:sz w:val="20"/>
                <w:szCs w:val="20"/>
                <w:color w:val="auto"/>
              </w:rPr>
            </w:pPr>
            <w:r>
              <w:rPr>
                <w:rFonts w:ascii="Arial" w:cs="Arial" w:eastAsia="Arial" w:hAnsi="Arial"/>
                <w:sz w:val="16"/>
                <w:szCs w:val="16"/>
                <w:color w:val="0000FF"/>
              </w:rPr>
              <w:t xml:space="preserve">PAA </w:t>
            </w:r>
            <w:r>
              <w:rPr>
                <w:rFonts w:ascii="Arial" w:cs="Arial" w:eastAsia="Arial" w:hAnsi="Arial"/>
                <w:sz w:val="20"/>
                <w:szCs w:val="20"/>
                <w:color w:val="000000"/>
              </w:rPr>
              <w:t>]</w:t>
            </w:r>
          </w:p>
        </w:tc>
        <w:tc>
          <w:tcPr>
            <w:tcW w:w="16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3840" w:type="dxa"/>
            <w:vAlign w:val="bottom"/>
            <w:vMerge w:val="continue"/>
          </w:tcPr>
          <w:p>
            <w:pPr>
              <w:spacing w:after="0"/>
              <w:rPr>
                <w:sz w:val="14"/>
                <w:szCs w:val="14"/>
                <w:color w:val="auto"/>
              </w:rPr>
            </w:pPr>
          </w:p>
        </w:tc>
        <w:tc>
          <w:tcPr>
            <w:tcW w:w="480" w:type="dxa"/>
            <w:vAlign w:val="bottom"/>
          </w:tcPr>
          <w:p>
            <w:pPr>
              <w:ind w:left="260"/>
              <w:spacing w:after="0" w:line="165" w:lineRule="exact"/>
              <w:rPr>
                <w:sz w:val="20"/>
                <w:szCs w:val="20"/>
                <w:color w:val="auto"/>
              </w:rPr>
            </w:pPr>
            <w:r>
              <w:rPr>
                <w:rFonts w:ascii="Arial" w:cs="Arial" w:eastAsia="Arial" w:hAnsi="Arial"/>
                <w:sz w:val="16"/>
                <w:szCs w:val="16"/>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14"/>
                <w:szCs w:val="14"/>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38"/>
        </w:trPr>
        <w:tc>
          <w:tcPr>
            <w:tcW w:w="3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3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60"/>
              <w:spacing w:after="0"/>
              <w:rPr>
                <w:sz w:val="20"/>
                <w:szCs w:val="20"/>
                <w:color w:val="auto"/>
              </w:rPr>
            </w:pPr>
            <w:r>
              <w:rPr>
                <w:rFonts w:ascii="Arial" w:cs="Arial" w:eastAsia="Arial" w:hAnsi="Arial"/>
                <w:sz w:val="16"/>
                <w:szCs w:val="16"/>
                <w:color w:val="0000FF"/>
              </w:rPr>
              <w:t>X</w:t>
            </w:r>
          </w:p>
        </w:tc>
        <w:tc>
          <w:tcPr>
            <w:tcW w:w="118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7"/>
        </w:trPr>
        <w:tc>
          <w:tcPr>
            <w:tcW w:w="384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4"/>
                <w:szCs w:val="4"/>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6"/>
        </w:trPr>
        <w:tc>
          <w:tcPr>
            <w:tcW w:w="3840" w:type="dxa"/>
            <w:vAlign w:val="bottom"/>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8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620" w:type="dxa"/>
            <w:vAlign w:val="bottom"/>
            <w:gridSpan w:val="2"/>
            <w:vMerge w:val="restart"/>
          </w:tcPr>
          <w:p>
            <w:pPr>
              <w:ind w:left="760"/>
              <w:spacing w:after="0"/>
              <w:rPr>
                <w:sz w:val="20"/>
                <w:szCs w:val="20"/>
                <w:color w:val="auto"/>
              </w:rPr>
            </w:pPr>
            <w:r>
              <w:rPr>
                <w:rFonts w:ascii="Arial" w:cs="Arial" w:eastAsia="Arial" w:hAnsi="Arial"/>
                <w:sz w:val="16"/>
                <w:szCs w:val="16"/>
                <w:color w:val="0000FF"/>
                <w:w w:val="92"/>
              </w:rPr>
              <w:t>See remarks</w:t>
            </w: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840" w:type="dxa"/>
            <w:vAlign w:val="bottom"/>
            <w:vMerge w:val="restart"/>
          </w:tcPr>
          <w:p>
            <w:pPr>
              <w:ind w:left="60"/>
              <w:spacing w:after="0"/>
              <w:rPr>
                <w:sz w:val="20"/>
                <w:szCs w:val="20"/>
                <w:color w:val="auto"/>
              </w:rPr>
            </w:pPr>
            <w:r>
              <w:rPr>
                <w:rFonts w:ascii="Arial" w:cs="Arial" w:eastAsia="Arial" w:hAnsi="Arial"/>
                <w:sz w:val="16"/>
                <w:szCs w:val="16"/>
                <w:color w:val="0000FF"/>
              </w:rPr>
              <w:t>03/31/2020</w:t>
            </w:r>
          </w:p>
        </w:tc>
        <w:tc>
          <w:tcPr>
            <w:tcW w:w="48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8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84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8" w:lineRule="exact"/>
        <w:rPr>
          <w:sz w:val="24"/>
          <w:szCs w:val="24"/>
          <w:color w:val="auto"/>
        </w:rPr>
      </w:pPr>
    </w:p>
    <w:tbl>
      <w:tblPr>
        <w:tblLayout w:type="fixed"/>
        <w:tblInd w:w="4100"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230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2300" w:type="dxa"/>
            <w:vAlign w:val="bottom"/>
          </w:tcPr>
          <w:p>
            <w:pPr>
              <w:ind w:left="120"/>
              <w:spacing w:after="0"/>
              <w:rPr>
                <w:sz w:val="20"/>
                <w:szCs w:val="20"/>
                <w:color w:val="auto"/>
              </w:rPr>
            </w:pPr>
            <w:r>
              <w:rPr>
                <w:rFonts w:ascii="Arial" w:cs="Arial" w:eastAsia="Arial" w:hAnsi="Arial"/>
                <w:sz w:val="13"/>
                <w:szCs w:val="13"/>
                <w:color w:val="auto"/>
                <w:w w:val="95"/>
              </w:rPr>
              <w:t>Form filed by More than One Reporting</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23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136525</wp:posOffset>
            </wp:positionV>
            <wp:extent cx="6971030" cy="1534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1534160"/>
                    </a:xfrm>
                    <a:prstGeom prst="rect">
                      <a:avLst/>
                    </a:prstGeom>
                    <a:noFill/>
                  </pic:spPr>
                </pic:pic>
              </a:graphicData>
            </a:graphic>
          </wp:anchor>
        </w:drawing>
      </w:r>
    </w:p>
    <w:p>
      <w:pPr>
        <w:spacing w:after="0" w:line="273"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1240" w:type="dxa"/>
            <w:vAlign w:val="bottom"/>
            <w:gridSpan w:val="2"/>
          </w:tcPr>
          <w:p>
            <w:pPr>
              <w:ind w:left="34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ind w:left="560"/>
              <w:spacing w:after="0" w:line="123" w:lineRule="exact"/>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08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20"/>
              <w:spacing w:after="0" w:line="123" w:lineRule="exact"/>
              <w:rPr>
                <w:sz w:val="20"/>
                <w:szCs w:val="20"/>
                <w:color w:val="auto"/>
              </w:rPr>
            </w:pPr>
            <w:r>
              <w:rPr>
                <w:rFonts w:ascii="Arial" w:cs="Arial" w:eastAsia="Arial" w:hAnsi="Arial"/>
                <w:sz w:val="11"/>
                <w:szCs w:val="11"/>
                <w:b w:val="1"/>
                <w:bCs w:val="1"/>
                <w:color w:val="auto"/>
              </w:rPr>
              <w:t>Disposed Of (D) (Instr. 3, 4 and</w:t>
            </w:r>
          </w:p>
        </w:tc>
        <w:tc>
          <w:tcPr>
            <w:tcW w:w="8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Securities</w:t>
            </w:r>
          </w:p>
        </w:tc>
        <w:tc>
          <w:tcPr>
            <w:tcW w:w="1240" w:type="dxa"/>
            <w:vAlign w:val="bottom"/>
            <w:gridSpan w:val="2"/>
          </w:tcPr>
          <w:p>
            <w:pPr>
              <w:ind w:left="340"/>
              <w:spacing w:after="0" w:line="123"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40" w:type="dxa"/>
            <w:vAlign w:val="bottom"/>
            <w:gridSpan w:val="2"/>
          </w:tcPr>
          <w:p>
            <w:pPr>
              <w:ind w:left="5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gridSpan w:val="3"/>
          </w:tcPr>
          <w:p>
            <w:pPr>
              <w:ind w:left="80"/>
              <w:spacing w:after="0"/>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1240" w:type="dxa"/>
            <w:vAlign w:val="bottom"/>
            <w:gridSpan w:val="2"/>
          </w:tcPr>
          <w:p>
            <w:pPr>
              <w:ind w:left="340"/>
              <w:spacing w:after="0"/>
              <w:rPr>
                <w:sz w:val="20"/>
                <w:szCs w:val="20"/>
                <w:color w:val="auto"/>
              </w:rPr>
            </w:pPr>
            <w:r>
              <w:rPr>
                <w:rFonts w:ascii="Arial" w:cs="Arial" w:eastAsia="Arial" w:hAnsi="Arial"/>
                <w:sz w:val="11"/>
                <w:szCs w:val="11"/>
                <w:b w:val="1"/>
                <w:bCs w:val="1"/>
                <w:color w:val="auto"/>
              </w:rPr>
              <w:t>(D) or Indirect</w:t>
            </w:r>
          </w:p>
        </w:tc>
        <w:tc>
          <w:tcPr>
            <w:tcW w:w="11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Owned Following   (I) (Instr. 4)</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640" w:type="dxa"/>
            <w:vAlign w:val="bottom"/>
            <w:gridSpan w:val="3"/>
          </w:tcPr>
          <w:p>
            <w:pPr>
              <w:ind w:left="20"/>
              <w:spacing w:after="0"/>
              <w:rPr>
                <w:sz w:val="20"/>
                <w:szCs w:val="20"/>
                <w:color w:val="auto"/>
              </w:rPr>
            </w:pPr>
            <w:r>
              <w:rPr>
                <w:rFonts w:ascii="Arial" w:cs="Arial" w:eastAsia="Arial" w:hAnsi="Arial"/>
                <w:sz w:val="11"/>
                <w:szCs w:val="11"/>
                <w:b w:val="1"/>
                <w:bCs w:val="1"/>
                <w:color w:val="auto"/>
              </w:rPr>
              <w:t>Transaction(s)</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Pr>
          <w:p>
            <w:pPr>
              <w:spacing w:after="0"/>
              <w:rPr>
                <w:sz w:val="21"/>
                <w:szCs w:val="21"/>
                <w:color w:val="auto"/>
              </w:rPr>
            </w:pPr>
          </w:p>
        </w:tc>
        <w:tc>
          <w:tcPr>
            <w:tcW w:w="1540" w:type="dxa"/>
            <w:vAlign w:val="bottom"/>
            <w:gridSpan w:val="2"/>
            <w:vMerge w:val="restart"/>
          </w:tcPr>
          <w:p>
            <w:pPr>
              <w:ind w:left="660"/>
              <w:spacing w:after="0"/>
              <w:rPr>
                <w:sz w:val="20"/>
                <w:szCs w:val="20"/>
                <w:color w:val="auto"/>
              </w:rPr>
            </w:pPr>
            <w:r>
              <w:rPr>
                <w:rFonts w:ascii="Arial" w:cs="Arial" w:eastAsia="Arial" w:hAnsi="Arial"/>
                <w:sz w:val="16"/>
                <w:szCs w:val="16"/>
                <w:color w:val="0000FF"/>
              </w:rPr>
              <w:t>03/31/2020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740" w:type="dxa"/>
            <w:vAlign w:val="bottom"/>
            <w:vMerge w:val="restart"/>
          </w:tcPr>
          <w:p>
            <w:pPr>
              <w:jc w:val="center"/>
              <w:spacing w:after="0"/>
              <w:rPr>
                <w:sz w:val="20"/>
                <w:szCs w:val="20"/>
                <w:color w:val="auto"/>
              </w:rPr>
            </w:pPr>
            <w:r>
              <w:rPr>
                <w:rFonts w:ascii="Arial" w:cs="Arial" w:eastAsia="Arial" w:hAnsi="Arial"/>
                <w:sz w:val="16"/>
                <w:szCs w:val="16"/>
                <w:color w:val="0000FF"/>
                <w:w w:val="89"/>
              </w:rPr>
              <w:t>61,962</w:t>
            </w:r>
          </w:p>
        </w:tc>
        <w:tc>
          <w:tcPr>
            <w:tcW w:w="560" w:type="dxa"/>
            <w:vAlign w:val="bottom"/>
            <w:vMerge w:val="restart"/>
          </w:tcPr>
          <w:p>
            <w:pPr>
              <w:ind w:left="200"/>
              <w:spacing w:after="0"/>
              <w:rPr>
                <w:sz w:val="20"/>
                <w:szCs w:val="20"/>
                <w:color w:val="auto"/>
              </w:rPr>
            </w:pPr>
            <w:r>
              <w:rPr>
                <w:rFonts w:ascii="Arial" w:cs="Arial" w:eastAsia="Arial" w:hAnsi="Arial"/>
                <w:sz w:val="16"/>
                <w:szCs w:val="16"/>
                <w:color w:val="0000FF"/>
              </w:rPr>
              <w:t>A</w:t>
            </w:r>
          </w:p>
        </w:tc>
        <w:tc>
          <w:tcPr>
            <w:tcW w:w="540" w:type="dxa"/>
            <w:vAlign w:val="bottom"/>
            <w:vMerge w:val="restart"/>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800" w:type="dxa"/>
            <w:vAlign w:val="bottom"/>
            <w:gridSpan w:val="2"/>
            <w:vMerge w:val="restart"/>
          </w:tcPr>
          <w:p>
            <w:pPr>
              <w:jc w:val="right"/>
              <w:ind w:right="3"/>
              <w:spacing w:after="0"/>
              <w:rPr>
                <w:sz w:val="20"/>
                <w:szCs w:val="20"/>
                <w:color w:val="auto"/>
              </w:rPr>
            </w:pPr>
            <w:r>
              <w:rPr>
                <w:rFonts w:ascii="Arial" w:cs="Arial" w:eastAsia="Arial" w:hAnsi="Arial"/>
                <w:sz w:val="16"/>
                <w:szCs w:val="16"/>
                <w:color w:val="0000FF"/>
              </w:rPr>
              <w:t>61,962</w:t>
            </w:r>
          </w:p>
        </w:tc>
        <w:tc>
          <w:tcPr>
            <w:tcW w:w="840" w:type="dxa"/>
            <w:vAlign w:val="bottom"/>
            <w:vMerge w:val="restart"/>
          </w:tcPr>
          <w:p>
            <w:pPr>
              <w:ind w:left="720"/>
              <w:spacing w:after="0"/>
              <w:rPr>
                <w:sz w:val="20"/>
                <w:szCs w:val="20"/>
                <w:color w:val="auto"/>
              </w:rPr>
            </w:pPr>
            <w:r>
              <w:rPr>
                <w:rFonts w:ascii="Arial" w:cs="Arial" w:eastAsia="Arial" w:hAnsi="Arial"/>
                <w:sz w:val="16"/>
                <w:szCs w:val="16"/>
                <w:color w:val="0000FF"/>
              </w:rPr>
              <w:t>I</w:t>
            </w:r>
          </w:p>
        </w:tc>
        <w:tc>
          <w:tcPr>
            <w:tcW w:w="4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0000FF"/>
                <w:w w:val="98"/>
              </w:rPr>
              <w:t>See</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gridSpan w:val="5"/>
            <w:vMerge w:val="restart"/>
          </w:tcPr>
          <w:p>
            <w:pPr>
              <w:ind w:left="20"/>
              <w:spacing w:after="0"/>
              <w:rPr>
                <w:sz w:val="20"/>
                <w:szCs w:val="20"/>
                <w:color w:val="auto"/>
              </w:rPr>
            </w:pPr>
            <w:r>
              <w:rPr>
                <w:rFonts w:ascii="Arial" w:cs="Arial" w:eastAsia="Arial" w:hAnsi="Arial"/>
                <w:sz w:val="16"/>
                <w:szCs w:val="16"/>
                <w:color w:val="0000FF"/>
                <w:w w:val="97"/>
              </w:rPr>
              <w:t>footnotes</w:t>
            </w:r>
            <w:r>
              <w:rPr>
                <w:rFonts w:ascii="Arial" w:cs="Arial" w:eastAsia="Arial" w:hAnsi="Arial"/>
                <w:sz w:val="21"/>
                <w:szCs w:val="21"/>
                <w:color w:val="008000"/>
                <w:w w:val="97"/>
                <w:vertAlign w:val="superscript"/>
              </w:rPr>
              <w:t>(1)(2)(3)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6"/>
                <w:szCs w:val="16"/>
                <w:color w:val="0000FF"/>
              </w:rPr>
              <w:t>Common Stock</w:t>
            </w:r>
          </w:p>
        </w:tc>
        <w:tc>
          <w:tcPr>
            <w:tcW w:w="1060" w:type="dxa"/>
            <w:vAlign w:val="bottom"/>
            <w:tcBorders>
              <w:top w:val="single" w:sz="8" w:color="2C2C2C"/>
            </w:tcBorders>
          </w:tcPr>
          <w:p>
            <w:pPr>
              <w:spacing w:after="0"/>
              <w:rPr>
                <w:sz w:val="21"/>
                <w:szCs w:val="21"/>
                <w:color w:val="auto"/>
              </w:rPr>
            </w:pPr>
          </w:p>
        </w:tc>
        <w:tc>
          <w:tcPr>
            <w:tcW w:w="1540" w:type="dxa"/>
            <w:vAlign w:val="bottom"/>
            <w:tcBorders>
              <w:top w:val="single" w:sz="8" w:color="2C2C2C"/>
            </w:tcBorders>
            <w:gridSpan w:val="2"/>
            <w:vMerge w:val="restart"/>
          </w:tcPr>
          <w:p>
            <w:pPr>
              <w:ind w:left="660"/>
              <w:spacing w:after="0"/>
              <w:rPr>
                <w:sz w:val="20"/>
                <w:szCs w:val="20"/>
                <w:color w:val="auto"/>
              </w:rPr>
            </w:pPr>
            <w:r>
              <w:rPr>
                <w:rFonts w:ascii="Arial" w:cs="Arial" w:eastAsia="Arial" w:hAnsi="Arial"/>
                <w:sz w:val="16"/>
                <w:szCs w:val="16"/>
                <w:color w:val="0000FF"/>
              </w:rPr>
              <w:t>03/31/2020</w:t>
            </w:r>
          </w:p>
        </w:tc>
        <w:tc>
          <w:tcPr>
            <w:tcW w:w="1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6"/>
                <w:szCs w:val="16"/>
                <w:color w:val="0000FF"/>
                <w:w w:val="89"/>
              </w:rPr>
              <w:t>61,962</w:t>
            </w:r>
          </w:p>
        </w:tc>
        <w:tc>
          <w:tcPr>
            <w:tcW w:w="5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6"/>
                <w:szCs w:val="16"/>
                <w:color w:val="0000FF"/>
              </w:rPr>
              <w:t>D</w:t>
            </w:r>
          </w:p>
        </w:tc>
        <w:tc>
          <w:tcPr>
            <w:tcW w:w="5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gridSpan w:val="2"/>
            <w:vMerge w:val="restart"/>
          </w:tcPr>
          <w:p>
            <w:pPr>
              <w:jc w:val="right"/>
              <w:ind w:right="183"/>
              <w:spacing w:after="0"/>
              <w:rPr>
                <w:sz w:val="20"/>
                <w:szCs w:val="20"/>
                <w:color w:val="auto"/>
              </w:rPr>
            </w:pPr>
            <w:r>
              <w:rPr>
                <w:rFonts w:ascii="Arial" w:cs="Arial" w:eastAsia="Arial" w:hAnsi="Arial"/>
                <w:sz w:val="16"/>
                <w:szCs w:val="16"/>
                <w:color w:val="0000FF"/>
              </w:rPr>
              <w:t>0</w:t>
            </w:r>
          </w:p>
        </w:tc>
        <w:tc>
          <w:tcPr>
            <w:tcW w:w="840" w:type="dxa"/>
            <w:vAlign w:val="bottom"/>
            <w:tcBorders>
              <w:top w:val="single" w:sz="8" w:color="2C2C2C"/>
            </w:tcBorders>
            <w:vMerge w:val="restart"/>
          </w:tcPr>
          <w:p>
            <w:pPr>
              <w:ind w:left="720"/>
              <w:spacing w:after="0"/>
              <w:rPr>
                <w:sz w:val="20"/>
                <w:szCs w:val="20"/>
                <w:color w:val="auto"/>
              </w:rPr>
            </w:pPr>
            <w:r>
              <w:rPr>
                <w:rFonts w:ascii="Arial" w:cs="Arial" w:eastAsia="Arial" w:hAnsi="Arial"/>
                <w:sz w:val="16"/>
                <w:szCs w:val="16"/>
                <w:color w:val="0000FF"/>
              </w:rPr>
              <w:t>I</w:t>
            </w:r>
          </w:p>
        </w:tc>
        <w:tc>
          <w:tcPr>
            <w:tcW w:w="4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ind w:left="20"/>
              <w:spacing w:after="0"/>
              <w:rPr>
                <w:sz w:val="20"/>
                <w:szCs w:val="20"/>
                <w:color w:val="auto"/>
              </w:rPr>
            </w:pPr>
            <w:r>
              <w:rPr>
                <w:rFonts w:ascii="Arial" w:cs="Arial" w:eastAsia="Arial" w:hAnsi="Arial"/>
                <w:sz w:val="16"/>
                <w:szCs w:val="16"/>
                <w:color w:val="0000FF"/>
                <w:w w:val="98"/>
              </w:rPr>
              <w:t>See</w:t>
            </w:r>
          </w:p>
        </w:tc>
        <w:tc>
          <w:tcPr>
            <w:tcW w:w="74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gridSpan w:val="5"/>
            <w:vMerge w:val="restart"/>
          </w:tcPr>
          <w:p>
            <w:pPr>
              <w:ind w:left="20"/>
              <w:spacing w:after="0"/>
              <w:rPr>
                <w:sz w:val="20"/>
                <w:szCs w:val="20"/>
                <w:color w:val="auto"/>
              </w:rPr>
            </w:pPr>
            <w:r>
              <w:rPr>
                <w:rFonts w:ascii="Arial" w:cs="Arial" w:eastAsia="Arial" w:hAnsi="Arial"/>
                <w:sz w:val="16"/>
                <w:szCs w:val="16"/>
                <w:color w:val="0000FF"/>
                <w:w w:val="97"/>
              </w:rPr>
              <w:t>footnotes</w:t>
            </w:r>
            <w:r>
              <w:rPr>
                <w:rFonts w:ascii="Arial" w:cs="Arial" w:eastAsia="Arial" w:hAnsi="Arial"/>
                <w:sz w:val="21"/>
                <w:szCs w:val="21"/>
                <w:color w:val="008000"/>
                <w:w w:val="97"/>
                <w:vertAlign w:val="superscript"/>
              </w:rPr>
              <w:t>(1)(2)(3)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0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300" w:type="dxa"/>
            <w:vAlign w:val="bottom"/>
            <w:gridSpan w:val="11"/>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 Date</w:t>
            </w: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Direct (D)</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Acquired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or Indirect</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w w:val="99"/>
              </w:rPr>
              <w:t>of (D) (Instr.</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20"/>
                <w:szCs w:val="20"/>
                <w:color w:val="auto"/>
              </w:rPr>
            </w:pPr>
            <w:r>
              <w:rPr>
                <w:rFonts w:ascii="Arial" w:cs="Arial" w:eastAsia="Arial" w:hAnsi="Arial"/>
                <w:sz w:val="11"/>
                <w:szCs w:val="11"/>
                <w:b w:val="1"/>
                <w:bCs w:val="1"/>
                <w:color w:val="auto"/>
              </w:rPr>
              <w:t>Transaction(s)</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58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gridSpan w:val="3"/>
          </w:tcPr>
          <w:p>
            <w:pPr>
              <w:ind w:left="60"/>
              <w:spacing w:after="0"/>
              <w:rPr>
                <w:sz w:val="20"/>
                <w:szCs w:val="20"/>
                <w:color w:val="auto"/>
              </w:rPr>
            </w:pPr>
            <w:r>
              <w:rPr>
                <w:rFonts w:ascii="Arial" w:cs="Arial" w:eastAsia="Arial" w:hAnsi="Arial"/>
                <w:sz w:val="11"/>
                <w:szCs w:val="11"/>
                <w:b w:val="1"/>
                <w:bCs w:val="1"/>
                <w:color w:val="auto"/>
              </w:rPr>
              <w:t>V</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tcPr>
          <w:p>
            <w:pPr>
              <w:ind w:left="60"/>
              <w:spacing w:after="0" w:line="123" w:lineRule="exact"/>
              <w:rPr>
                <w:sz w:val="20"/>
                <w:szCs w:val="20"/>
                <w:color w:val="auto"/>
              </w:rPr>
            </w:pPr>
            <w:r>
              <w:rPr>
                <w:rFonts w:ascii="Arial" w:cs="Arial" w:eastAsia="Arial" w:hAnsi="Arial"/>
                <w:sz w:val="13"/>
                <w:szCs w:val="13"/>
                <w:color w:val="0000FF"/>
                <w:w w:val="90"/>
              </w:rPr>
              <w:t>Shares/Class</w:t>
            </w:r>
          </w:p>
        </w:tc>
        <w:tc>
          <w:tcPr>
            <w:tcW w:w="70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vMerge w:val="restart"/>
          </w:tcPr>
          <w:p>
            <w:pPr>
              <w:ind w:left="300"/>
              <w:spacing w:after="0"/>
              <w:rPr>
                <w:sz w:val="20"/>
                <w:szCs w:val="20"/>
                <w:color w:val="auto"/>
              </w:rPr>
            </w:pPr>
            <w:r>
              <w:rPr>
                <w:rFonts w:ascii="Arial" w:cs="Arial" w:eastAsia="Arial" w:hAnsi="Arial"/>
                <w:sz w:val="13"/>
                <w:szCs w:val="13"/>
                <w:color w:val="0000FF"/>
              </w:rPr>
              <w:t>03/31/2020</w:t>
            </w:r>
          </w:p>
        </w:tc>
        <w:tc>
          <w:tcPr>
            <w:tcW w:w="1120" w:type="dxa"/>
            <w:vAlign w:val="bottom"/>
          </w:tcPr>
          <w:p>
            <w:pPr>
              <w:spacing w:after="0"/>
              <w:rPr>
                <w:sz w:val="10"/>
                <w:szCs w:val="10"/>
                <w:color w:val="auto"/>
              </w:rPr>
            </w:pPr>
          </w:p>
        </w:tc>
        <w:tc>
          <w:tcPr>
            <w:tcW w:w="4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w w:val="80"/>
              </w:rPr>
              <w:t>61,962</w:t>
            </w:r>
          </w:p>
        </w:tc>
        <w:tc>
          <w:tcPr>
            <w:tcW w:w="800" w:type="dxa"/>
            <w:vAlign w:val="bottom"/>
          </w:tcPr>
          <w:p>
            <w:pPr>
              <w:ind w:left="340"/>
              <w:spacing w:after="0" w:line="123" w:lineRule="exact"/>
              <w:rPr>
                <w:sz w:val="20"/>
                <w:szCs w:val="20"/>
                <w:color w:val="auto"/>
              </w:rPr>
            </w:pPr>
            <w:r>
              <w:rPr>
                <w:rFonts w:ascii="Arial" w:cs="Arial" w:eastAsia="Arial" w:hAnsi="Arial"/>
                <w:sz w:val="11"/>
                <w:szCs w:val="11"/>
                <w:color w:val="008000"/>
              </w:rPr>
              <w:t>(1)(2)</w:t>
            </w:r>
          </w:p>
        </w:tc>
        <w:tc>
          <w:tcPr>
            <w:tcW w:w="740" w:type="dxa"/>
            <w:vAlign w:val="bottom"/>
          </w:tcPr>
          <w:p>
            <w:pPr>
              <w:jc w:val="center"/>
              <w:spacing w:after="0" w:line="123" w:lineRule="exact"/>
              <w:rPr>
                <w:sz w:val="20"/>
                <w:szCs w:val="20"/>
                <w:color w:val="auto"/>
              </w:rPr>
            </w:pPr>
            <w:r>
              <w:rPr>
                <w:rFonts w:ascii="Arial" w:cs="Arial" w:eastAsia="Arial" w:hAnsi="Arial"/>
                <w:sz w:val="11"/>
                <w:szCs w:val="11"/>
                <w:color w:val="008000"/>
                <w:w w:val="96"/>
              </w:rPr>
              <w:t>(1)(2)</w:t>
            </w:r>
          </w:p>
        </w:tc>
        <w:tc>
          <w:tcPr>
            <w:tcW w:w="560" w:type="dxa"/>
            <w:vAlign w:val="bottom"/>
          </w:tcPr>
          <w:p>
            <w:pPr>
              <w:ind w:left="60"/>
              <w:spacing w:after="0" w:line="123" w:lineRule="exact"/>
              <w:rPr>
                <w:sz w:val="20"/>
                <w:szCs w:val="20"/>
                <w:color w:val="auto"/>
              </w:rPr>
            </w:pPr>
            <w:r>
              <w:rPr>
                <w:rFonts w:ascii="Arial" w:cs="Arial" w:eastAsia="Arial" w:hAnsi="Arial"/>
                <w:sz w:val="13"/>
                <w:szCs w:val="13"/>
                <w:color w:val="0000FF"/>
                <w:w w:val="90"/>
              </w:rPr>
              <w:t>Common</w:t>
            </w:r>
          </w:p>
        </w:tc>
        <w:tc>
          <w:tcPr>
            <w:tcW w:w="580" w:type="dxa"/>
            <w:vAlign w:val="bottom"/>
            <w:gridSpan w:val="2"/>
            <w:vMerge w:val="restart"/>
          </w:tcPr>
          <w:p>
            <w:pPr>
              <w:ind w:left="100"/>
              <w:spacing w:after="0"/>
              <w:rPr>
                <w:sz w:val="20"/>
                <w:szCs w:val="20"/>
                <w:color w:val="auto"/>
              </w:rPr>
            </w:pPr>
            <w:r>
              <w:rPr>
                <w:rFonts w:ascii="Arial" w:cs="Arial" w:eastAsia="Arial" w:hAnsi="Arial"/>
                <w:sz w:val="16"/>
                <w:szCs w:val="16"/>
                <w:color w:val="0000FF"/>
                <w:w w:val="93"/>
              </w:rPr>
              <w:t>61,962</w:t>
            </w:r>
          </w:p>
        </w:tc>
        <w:tc>
          <w:tcPr>
            <w:tcW w:w="800" w:type="dxa"/>
            <w:vAlign w:val="bottom"/>
            <w:gridSpan w:val="2"/>
            <w:vMerge w:val="restart"/>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vMerge w:val="restart"/>
          </w:tcPr>
          <w:p>
            <w:pPr>
              <w:ind w:left="100"/>
              <w:spacing w:after="0"/>
              <w:rPr>
                <w:sz w:val="20"/>
                <w:szCs w:val="20"/>
                <w:color w:val="auto"/>
              </w:rPr>
            </w:pPr>
            <w:r>
              <w:rPr>
                <w:rFonts w:ascii="Arial" w:cs="Arial" w:eastAsia="Arial" w:hAnsi="Arial"/>
                <w:sz w:val="13"/>
                <w:szCs w:val="13"/>
                <w:color w:val="0000FF"/>
              </w:rPr>
              <w:t>15,964,345</w:t>
            </w:r>
          </w:p>
        </w:tc>
        <w:tc>
          <w:tcPr>
            <w:tcW w:w="40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A Units/GP</w:t>
            </w:r>
          </w:p>
        </w:tc>
        <w:tc>
          <w:tcPr>
            <w:tcW w:w="7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0000FF"/>
              </w:rPr>
              <w:t>Units</w:t>
            </w:r>
          </w:p>
        </w:tc>
        <w:tc>
          <w:tcPr>
            <w:tcW w:w="58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4"/>
          </w:tcPr>
          <w:p>
            <w:pPr>
              <w:ind w:left="60"/>
              <w:spacing w:after="0" w:line="156" w:lineRule="exact"/>
              <w:rPr>
                <w:sz w:val="20"/>
                <w:szCs w:val="20"/>
                <w:color w:val="auto"/>
              </w:rPr>
            </w:pPr>
            <w:r>
              <w:rPr>
                <w:rFonts w:ascii="Arial" w:cs="Arial" w:eastAsia="Arial" w:hAnsi="Arial"/>
                <w:sz w:val="11"/>
                <w:szCs w:val="11"/>
                <w:color w:val="0000FF"/>
              </w:rPr>
              <w:t>footnotes</w:t>
            </w:r>
            <w:r>
              <w:rPr>
                <w:rFonts w:ascii="Arial" w:cs="Arial" w:eastAsia="Arial" w:hAnsi="Arial"/>
                <w:sz w:val="18"/>
                <w:szCs w:val="18"/>
                <w:color w:val="008000"/>
                <w:vertAlign w:val="superscript"/>
              </w:rPr>
              <w:t>(1)(2)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4"/>
          </w:tcPr>
          <w:p>
            <w:pPr>
              <w:ind w:left="60"/>
              <w:spacing w:after="0" w:line="230"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2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3"/>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KAFU Holdings (QP), L.P.</w:t>
              </w:r>
            </w:hyperlink>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36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80" w:type="dxa"/>
            <w:vAlign w:val="bottom"/>
            <w:gridSpan w:val="4"/>
          </w:tcPr>
          <w:p>
            <w:pPr>
              <w:ind w:left="20"/>
              <w:spacing w:after="0"/>
              <w:rPr>
                <w:sz w:val="20"/>
                <w:szCs w:val="20"/>
                <w:color w:val="auto"/>
              </w:rPr>
            </w:pPr>
            <w:r>
              <w:rPr>
                <w:rFonts w:ascii="Arial" w:cs="Arial" w:eastAsia="Arial" w:hAnsi="Arial"/>
                <w:sz w:val="16"/>
                <w:szCs w:val="16"/>
                <w:color w:val="0000FF"/>
              </w:rPr>
              <w:t>1800 AVENUE OF THE STARS, 3RD FLOOR</w:t>
            </w: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color w:val="0000FF"/>
              </w:rPr>
              <w:t>LOS ANGELES</w:t>
            </w:r>
          </w:p>
        </w:tc>
        <w:tc>
          <w:tcPr>
            <w:tcW w:w="1060" w:type="dxa"/>
            <w:vAlign w:val="bottom"/>
          </w:tcPr>
          <w:p>
            <w:pPr>
              <w:ind w:left="20"/>
              <w:spacing w:after="0"/>
              <w:rPr>
                <w:sz w:val="20"/>
                <w:szCs w:val="20"/>
                <w:color w:val="auto"/>
              </w:rPr>
            </w:pPr>
            <w:r>
              <w:rPr>
                <w:rFonts w:ascii="Arial" w:cs="Arial" w:eastAsia="Arial" w:hAnsi="Arial"/>
                <w:sz w:val="16"/>
                <w:szCs w:val="16"/>
                <w:color w:val="0000FF"/>
              </w:rPr>
              <w:t>CA</w:t>
            </w:r>
          </w:p>
        </w:tc>
        <w:tc>
          <w:tcPr>
            <w:tcW w:w="1120" w:type="dxa"/>
            <w:vAlign w:val="bottom"/>
          </w:tcPr>
          <w:p>
            <w:pPr>
              <w:ind w:left="360"/>
              <w:spacing w:after="0"/>
              <w:rPr>
                <w:sz w:val="20"/>
                <w:szCs w:val="20"/>
                <w:color w:val="auto"/>
              </w:rPr>
            </w:pPr>
            <w:r>
              <w:rPr>
                <w:rFonts w:ascii="Arial" w:cs="Arial" w:eastAsia="Arial" w:hAnsi="Arial"/>
                <w:sz w:val="16"/>
                <w:szCs w:val="16"/>
                <w:color w:val="0000FF"/>
              </w:rPr>
              <w:t>90067</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36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20" w:type="dxa"/>
            <w:vAlign w:val="bottom"/>
            <w:gridSpan w:val="8"/>
          </w:tcPr>
          <w:p>
            <w:pPr>
              <w:ind w:left="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KAYNE ANDERSON CAPITAL ADVISORS LP</w:t>
              </w:r>
            </w:hyperlink>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36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3"/>
          </w:tcPr>
          <w:p>
            <w:pPr>
              <w:ind w:left="20"/>
              <w:spacing w:after="0"/>
              <w:rPr>
                <w:sz w:val="20"/>
                <w:szCs w:val="20"/>
                <w:color w:val="auto"/>
              </w:rPr>
            </w:pPr>
            <w:r>
              <w:rPr>
                <w:rFonts w:ascii="Arial" w:cs="Arial" w:eastAsia="Arial" w:hAnsi="Arial"/>
                <w:sz w:val="16"/>
                <w:szCs w:val="16"/>
                <w:color w:val="0000FF"/>
              </w:rPr>
              <w:t>1800 AVENUE OF THE STARS</w:t>
            </w: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color w:val="0000FF"/>
              </w:rPr>
              <w:t>3RD FLOOR</w:t>
            </w: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color w:val="0000FF"/>
              </w:rPr>
              <w:t>LOS ANGELES</w:t>
            </w:r>
          </w:p>
        </w:tc>
        <w:tc>
          <w:tcPr>
            <w:tcW w:w="1060" w:type="dxa"/>
            <w:vAlign w:val="bottom"/>
          </w:tcPr>
          <w:p>
            <w:pPr>
              <w:ind w:left="20"/>
              <w:spacing w:after="0"/>
              <w:rPr>
                <w:sz w:val="20"/>
                <w:szCs w:val="20"/>
                <w:color w:val="auto"/>
              </w:rPr>
            </w:pPr>
            <w:r>
              <w:rPr>
                <w:rFonts w:ascii="Arial" w:cs="Arial" w:eastAsia="Arial" w:hAnsi="Arial"/>
                <w:sz w:val="16"/>
                <w:szCs w:val="16"/>
                <w:color w:val="0000FF"/>
              </w:rPr>
              <w:t>CA</w:t>
            </w:r>
          </w:p>
        </w:tc>
        <w:tc>
          <w:tcPr>
            <w:tcW w:w="1120" w:type="dxa"/>
            <w:vAlign w:val="bottom"/>
          </w:tcPr>
          <w:p>
            <w:pPr>
              <w:ind w:left="360"/>
              <w:spacing w:after="0"/>
              <w:rPr>
                <w:sz w:val="20"/>
                <w:szCs w:val="20"/>
                <w:color w:val="auto"/>
              </w:rPr>
            </w:pPr>
            <w:r>
              <w:rPr>
                <w:rFonts w:ascii="Arial" w:cs="Arial" w:eastAsia="Arial" w:hAnsi="Arial"/>
                <w:sz w:val="16"/>
                <w:szCs w:val="16"/>
                <w:color w:val="0000FF"/>
              </w:rPr>
              <w:t>90067</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36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-5267960</wp:posOffset>
            </wp:positionV>
            <wp:extent cx="7035165" cy="53327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5165" cy="5332730"/>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right="220" w:hanging="1"/>
        <w:spacing w:after="0" w:line="231"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Eighth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The Redemption Right does not expire. On March 31, 2020, KAFU Holdings (QP), L.P. exercised the Redemption Right with respect to an aggregate 61,962 Class A Units.</w:t>
      </w:r>
    </w:p>
    <w:p>
      <w:pPr>
        <w:spacing w:after="0" w:line="31" w:lineRule="exact"/>
        <w:rPr>
          <w:rFonts w:ascii="Arial" w:cs="Arial" w:eastAsia="Arial" w:hAnsi="Arial"/>
          <w:sz w:val="13"/>
          <w:szCs w:val="13"/>
          <w:color w:val="008000"/>
        </w:rPr>
      </w:pPr>
    </w:p>
    <w:p>
      <w:pPr>
        <w:ind w:left="40" w:right="380" w:hanging="1"/>
        <w:spacing w:after="0" w:line="241" w:lineRule="auto"/>
        <w:tabs>
          <w:tab w:leader="none" w:pos="16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KAFU Holdings (QP), L.P. ("KAFU") owns an equivalent number of Class A Units, Class B Shares and GP Units. KACALP is the manager of the general partner of KAFU and may be deemed to beneficially own the Class A Units, Class B Shares and GP Units held by KAFU.</w:t>
      </w:r>
    </w:p>
    <w:p>
      <w:pPr>
        <w:spacing w:after="0" w:line="28" w:lineRule="exact"/>
        <w:rPr>
          <w:rFonts w:ascii="Arial" w:cs="Arial" w:eastAsia="Arial" w:hAnsi="Arial"/>
          <w:sz w:val="13"/>
          <w:szCs w:val="13"/>
          <w:color w:val="008000"/>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transactions involve an in-kind distribution to redeeming limited partners of KAFU Holdings (QP), L.P.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
        <w:spacing w:after="0"/>
        <w:rPr>
          <w:sz w:val="20"/>
          <w:szCs w:val="20"/>
          <w:color w:val="auto"/>
        </w:rPr>
      </w:pPr>
      <w:r>
        <w:rPr>
          <w:rFonts w:ascii="Arial" w:cs="Arial" w:eastAsia="Arial" w:hAnsi="Arial"/>
          <w:sz w:val="16"/>
          <w:szCs w:val="16"/>
          <w:b w:val="1"/>
          <w:bCs w:val="1"/>
          <w:color w:val="auto"/>
        </w:rPr>
        <w:t>Remarks:</w:t>
      </w:r>
    </w:p>
    <w:p>
      <w:pPr>
        <w:spacing w:after="0" w:line="64" w:lineRule="exact"/>
        <w:rPr>
          <w:sz w:val="20"/>
          <w:szCs w:val="20"/>
          <w:color w:val="auto"/>
        </w:rPr>
      </w:pPr>
    </w:p>
    <w:p>
      <w:pPr>
        <w:ind w:left="1"/>
        <w:spacing w:after="0" w:line="234" w:lineRule="auto"/>
        <w:rPr>
          <w:sz w:val="20"/>
          <w:szCs w:val="20"/>
          <w:color w:val="auto"/>
        </w:rPr>
      </w:pPr>
      <w:r>
        <w:rPr>
          <w:rFonts w:ascii="Arial" w:cs="Arial" w:eastAsia="Arial" w:hAnsi="Arial"/>
          <w:sz w:val="13"/>
          <w:szCs w:val="13"/>
          <w:color w:val="008000"/>
        </w:rPr>
        <w:t>Bob Sinnott is a director of the managing general partner of the Issuer. Based on the relationship of Mr. Sinnott and the Reporting Persons, the Reporting Persons may be deemed directors by deputization of the Issuer. KAFU Holdings (QP), L.P., is referred to herein as the "Reporting Persons". The filing of this Statement shall not be construed as an admission that any Reporting Person is, for purposes of Section 13(d) of the Exchange Act, as amended, the beneficial owner of any security.</w:t>
      </w:r>
    </w:p>
    <w:p>
      <w:pPr>
        <w:spacing w:after="0" w:line="45"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1200" w:type="dxa"/>
            <w:vAlign w:val="bottom"/>
          </w:tcPr>
          <w:p>
            <w:pPr>
              <w:spacing w:after="0"/>
              <w:rPr>
                <w:sz w:val="20"/>
                <w:szCs w:val="20"/>
                <w:color w:val="auto"/>
              </w:rPr>
            </w:pPr>
            <w:r>
              <w:rPr>
                <w:rFonts w:ascii="Arial" w:cs="Arial" w:eastAsia="Arial" w:hAnsi="Arial"/>
                <w:sz w:val="16"/>
                <w:szCs w:val="16"/>
                <w:color w:val="0000FF"/>
                <w:w w:val="95"/>
              </w:rPr>
              <w:t>/s/ Michael O'Neil</w:t>
            </w:r>
          </w:p>
        </w:tc>
        <w:tc>
          <w:tcPr>
            <w:tcW w:w="80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Arial" w:cs="Arial" w:eastAsia="Arial" w:hAnsi="Arial"/>
                <w:sz w:val="16"/>
                <w:szCs w:val="16"/>
                <w:color w:val="0000FF"/>
                <w:w w:val="89"/>
              </w:rPr>
              <w:t>04/02/2020</w:t>
            </w:r>
          </w:p>
        </w:tc>
      </w:tr>
      <w:tr>
        <w:trPr>
          <w:trHeight w:val="20"/>
        </w:trPr>
        <w:tc>
          <w:tcPr>
            <w:tcW w:w="1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7"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460" w:hanging="1"/>
        <w:spacing w:after="0" w:line="326"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1"/>
      </w:cols>
      <w:pgMar w:left="499" w:top="122"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638385" TargetMode="External"/><Relationship Id="rId14" Type="http://schemas.openxmlformats.org/officeDocument/2006/relationships/hyperlink" Target="http://www.sec.gov/cgi-bin/browse-edgar?action=getcompany&amp;CIK=0001070423" TargetMode="External"/><Relationship Id="rId16"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2020-04-02T16:08:03Z</dcterms:created>
  <dcterms:modified xsi:type="dcterms:W3CDTF">2020-04-02T16:08:03Z</dcterms:modified>
</cp:coreProperties>
</file>