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-240030</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80" w:type="dxa"/>
            <w:vAlign w:val="bottom"/>
            <w:vMerge w:val="restart"/>
          </w:tcPr>
          <w:p>
            <w:pPr>
              <w:jc w:val="center"/>
              <w:ind w:right="235"/>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4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90"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25400</wp:posOffset>
            </wp:positionV>
            <wp:extent cx="7324725" cy="4886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8869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00" w:space="420"/>
            <w:col w:w="8800"/>
          </w:cols>
          <w:pgMar w:left="240" w:top="217" w:right="139"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Herbold Chris</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333 CLAY STREET, SUITE 1600</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20" w:type="dxa"/>
            <w:vAlign w:val="bottom"/>
            <w:gridSpan w:val="2"/>
          </w:tcPr>
          <w:p>
            <w:pPr>
              <w:spacing w:after="0" w:line="21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PLAINS ALL AMERICAN PIPELINE LP </w:t>
              </w:r>
            </w:hyperlink>
            <w:r>
              <w:rPr>
                <w:rFonts w:ascii="Times New Roman" w:cs="Times New Roman" w:eastAsia="Times New Roman" w:hAnsi="Times New Roman"/>
                <w:sz w:val="21"/>
                <w:szCs w:val="21"/>
                <w:color w:val="000000"/>
              </w:rPr>
              <w:t>[</w:t>
            </w:r>
          </w:p>
        </w:tc>
        <w:tc>
          <w:tcPr>
            <w:tcW w:w="19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36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PAA </w:t>
            </w:r>
            <w:r>
              <w:rPr>
                <w:rFonts w:ascii="Times New Roman" w:cs="Times New Roman" w:eastAsia="Times New Roman" w:hAnsi="Times New Roman"/>
                <w:sz w:val="20"/>
                <w:szCs w:val="20"/>
                <w:color w:val="000000"/>
              </w:rPr>
              <w:t>]</w:t>
            </w:r>
          </w:p>
        </w:tc>
        <w:tc>
          <w:tcPr>
            <w:tcW w:w="280" w:type="dxa"/>
            <w:vAlign w:val="bottom"/>
            <w:vMerge w:val="restart"/>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54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36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20"/>
              <w:spacing w:after="0" w:line="148" w:lineRule="exact"/>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2"/>
        </w:trPr>
        <w:tc>
          <w:tcPr>
            <w:tcW w:w="6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9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VP-Acctg &amp; Chief Acctg Officer</w:t>
            </w:r>
          </w:p>
        </w:tc>
        <w:tc>
          <w:tcPr>
            <w:tcW w:w="0" w:type="dxa"/>
            <w:vAlign w:val="bottom"/>
          </w:tcPr>
          <w:p>
            <w:pPr>
              <w:spacing w:after="0"/>
              <w:rPr>
                <w:sz w:val="1"/>
                <w:szCs w:val="1"/>
                <w:color w:val="auto"/>
              </w:rPr>
            </w:pPr>
          </w:p>
        </w:tc>
      </w:tr>
      <w:tr>
        <w:trPr>
          <w:trHeight w:val="117"/>
        </w:trPr>
        <w:tc>
          <w:tcPr>
            <w:tcW w:w="3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11/15/2016</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7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44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3" w:lineRule="exact"/>
        <w:rPr>
          <w:sz w:val="24"/>
          <w:szCs w:val="24"/>
          <w:color w:val="auto"/>
        </w:rPr>
      </w:pPr>
    </w:p>
    <w:p>
      <w:pPr>
        <w:ind w:left="426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1"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920" w:space="80"/>
            <w:col w:w="7520"/>
          </w:cols>
          <w:pgMar w:left="240" w:top="217"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900" w:type="dxa"/>
            <w:vAlign w:val="bottom"/>
          </w:tcPr>
          <w:p>
            <w:pPr>
              <w:ind w:left="8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in</w:t>
            </w:r>
          </w:p>
        </w:tc>
        <w:tc>
          <w:tcPr>
            <w:tcW w:w="80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0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11/15/2016</w:t>
            </w:r>
          </w:p>
        </w:tc>
        <w:tc>
          <w:tcPr>
            <w:tcW w:w="1100" w:type="dxa"/>
            <w:vAlign w:val="bottom"/>
          </w:tcPr>
          <w:p>
            <w:pPr>
              <w:spacing w:after="0"/>
              <w:rPr>
                <w:sz w:val="18"/>
                <w:szCs w:val="18"/>
                <w:color w:val="auto"/>
              </w:rPr>
            </w:pPr>
          </w:p>
        </w:tc>
        <w:tc>
          <w:tcPr>
            <w:tcW w:w="820" w:type="dxa"/>
            <w:vAlign w:val="bottom"/>
          </w:tcPr>
          <w:p>
            <w:pPr>
              <w:ind w:left="60"/>
              <w:spacing w:after="0" w:line="21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(1)(2)</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0000FF"/>
              </w:rPr>
              <w:t>146,817</w:t>
            </w:r>
          </w:p>
        </w:tc>
        <w:tc>
          <w:tcPr>
            <w:tcW w:w="240" w:type="dxa"/>
            <w:vAlign w:val="bottom"/>
          </w:tcPr>
          <w:p>
            <w:pPr>
              <w:spacing w:after="0"/>
              <w:rPr>
                <w:sz w:val="18"/>
                <w:szCs w:val="18"/>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7"/>
              </w:rPr>
              <w:t>138,202</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0000FF"/>
              </w:rPr>
              <w:t>146,817</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800" w:type="dxa"/>
            <w:vAlign w:val="bottom"/>
          </w:tcPr>
          <w:p>
            <w:pPr>
              <w:ind w:left="60"/>
              <w:spacing w:after="0" w:line="79" w:lineRule="exact"/>
              <w:rPr>
                <w:sz w:val="20"/>
                <w:szCs w:val="20"/>
                <w:color w:val="auto"/>
              </w:rPr>
            </w:pPr>
            <w:r>
              <w:rPr>
                <w:rFonts w:ascii="Times New Roman" w:cs="Times New Roman" w:eastAsia="Times New Roman" w:hAnsi="Times New Roman"/>
                <w:sz w:val="9"/>
                <w:szCs w:val="9"/>
                <w:color w:val="0000FF"/>
              </w:rPr>
              <w:t>Plains AAP,</w:t>
            </w: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ind w:left="180"/>
              <w:spacing w:after="0" w:line="79" w:lineRule="exact"/>
              <w:rPr>
                <w:sz w:val="20"/>
                <w:szCs w:val="20"/>
                <w:color w:val="auto"/>
              </w:rPr>
            </w:pPr>
            <w:r>
              <w:rPr>
                <w:rFonts w:ascii="Times New Roman" w:cs="Times New Roman" w:eastAsia="Times New Roman" w:hAnsi="Times New Roman"/>
                <w:sz w:val="9"/>
                <w:szCs w:val="9"/>
                <w:color w:val="0000FF"/>
              </w:rPr>
              <w:t>Units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L.P.</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6"/>
        </w:trPr>
        <w:tc>
          <w:tcPr>
            <w:tcW w:w="8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Shares/Class</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vMerge w:val="restart"/>
          </w:tcPr>
          <w:p>
            <w:pPr>
              <w:ind w:left="60"/>
              <w:spacing w:after="0" w:line="21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(4)(5)</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8,200</w:t>
            </w:r>
          </w:p>
        </w:tc>
        <w:tc>
          <w:tcPr>
            <w:tcW w:w="720" w:type="dxa"/>
            <w:vAlign w:val="bottom"/>
          </w:tcPr>
          <w:p>
            <w:pPr>
              <w:spacing w:after="0"/>
              <w:rPr>
                <w:sz w:val="5"/>
                <w:szCs w:val="5"/>
                <w:color w:val="auto"/>
              </w:rPr>
            </w:pPr>
          </w:p>
        </w:tc>
        <w:tc>
          <w:tcPr>
            <w:tcW w:w="940" w:type="dxa"/>
            <w:vAlign w:val="bottom"/>
            <w:vMerge w:val="restart"/>
          </w:tcPr>
          <w:p>
            <w:pPr>
              <w:jc w:val="center"/>
              <w:ind w:right="121"/>
              <w:spacing w:after="0" w:line="210" w:lineRule="exact"/>
              <w:rPr>
                <w:sz w:val="20"/>
                <w:szCs w:val="20"/>
                <w:color w:val="auto"/>
              </w:rPr>
            </w:pPr>
            <w:r>
              <w:rPr>
                <w:rFonts w:ascii="Times New Roman" w:cs="Times New Roman" w:eastAsia="Times New Roman" w:hAnsi="Times New Roman"/>
                <w:sz w:val="24"/>
                <w:szCs w:val="24"/>
                <w:color w:val="0000FF"/>
                <w:vertAlign w:val="subscript"/>
              </w:rPr>
              <w:t>8,200</w:t>
            </w:r>
            <w:r>
              <w:rPr>
                <w:rFonts w:ascii="Times New Roman" w:cs="Times New Roman" w:eastAsia="Times New Roman" w:hAnsi="Times New Roman"/>
                <w:sz w:val="10"/>
                <w:szCs w:val="10"/>
                <w:color w:val="008000"/>
              </w:rPr>
              <w:t>(4)(5)</w:t>
            </w: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00" w:type="dxa"/>
            <w:vAlign w:val="bottom"/>
            <w:vMerge w:val="continue"/>
          </w:tcPr>
          <w:p>
            <w:pPr>
              <w:spacing w:after="0"/>
              <w:rPr>
                <w:sz w:val="6"/>
                <w:szCs w:val="6"/>
                <w:color w:val="auto"/>
              </w:rPr>
            </w:pPr>
          </w:p>
        </w:tc>
        <w:tc>
          <w:tcPr>
            <w:tcW w:w="800" w:type="dxa"/>
            <w:vAlign w:val="bottom"/>
            <w:vMerge w:val="restart"/>
          </w:tcPr>
          <w:p>
            <w:pPr>
              <w:ind w:left="3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00" w:type="dxa"/>
            <w:vAlign w:val="bottom"/>
            <w:vMerge w:val="restart"/>
          </w:tcPr>
          <w:p>
            <w:pPr>
              <w:jc w:val="right"/>
              <w:ind w:right="198"/>
              <w:spacing w:after="0" w:line="144" w:lineRule="exact"/>
              <w:rPr>
                <w:sz w:val="20"/>
                <w:szCs w:val="20"/>
                <w:color w:val="auto"/>
              </w:rPr>
            </w:pPr>
            <w:r>
              <w:rPr>
                <w:rFonts w:ascii="Times New Roman" w:cs="Times New Roman" w:eastAsia="Times New Roman" w:hAnsi="Times New Roman"/>
                <w:sz w:val="13"/>
                <w:szCs w:val="13"/>
                <w:color w:val="0000FF"/>
              </w:rPr>
              <w:t>11/15/2016</w:t>
            </w:r>
          </w:p>
        </w:tc>
        <w:tc>
          <w:tcPr>
            <w:tcW w:w="1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40" w:type="dxa"/>
            <w:vAlign w:val="bottom"/>
            <w:vMerge w:val="restart"/>
          </w:tcPr>
          <w:p>
            <w:pPr>
              <w:jc w:val="right"/>
              <w:ind w:right="140"/>
              <w:spacing w:after="0" w:line="144" w:lineRule="exact"/>
              <w:rPr>
                <w:sz w:val="20"/>
                <w:szCs w:val="20"/>
                <w:color w:val="auto"/>
              </w:rPr>
            </w:pPr>
            <w:r>
              <w:rPr>
                <w:rFonts w:ascii="Times New Roman" w:cs="Times New Roman" w:eastAsia="Times New Roman" w:hAnsi="Times New Roman"/>
                <w:sz w:val="13"/>
                <w:szCs w:val="13"/>
                <w:color w:val="0000FF"/>
              </w:rPr>
              <w:t>8,200</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vMerge w:val="restart"/>
          </w:tcPr>
          <w:p>
            <w:pPr>
              <w:ind w:left="3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continue"/>
          </w:tcPr>
          <w:p>
            <w:pPr>
              <w:spacing w:after="0"/>
              <w:rPr>
                <w:sz w:val="6"/>
                <w:szCs w:val="6"/>
                <w:color w:val="auto"/>
              </w:rPr>
            </w:pPr>
          </w:p>
        </w:tc>
        <w:tc>
          <w:tcPr>
            <w:tcW w:w="74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I</w:t>
            </w:r>
          </w:p>
        </w:tc>
        <w:tc>
          <w:tcPr>
            <w:tcW w:w="7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66"/>
        </w:trPr>
        <w:tc>
          <w:tcPr>
            <w:tcW w:w="8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A Units/GP</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(4)(5)</w:t>
            </w:r>
          </w:p>
        </w:tc>
        <w:tc>
          <w:tcPr>
            <w:tcW w:w="0" w:type="dxa"/>
            <w:vAlign w:val="bottom"/>
          </w:tcPr>
          <w:p>
            <w:pPr>
              <w:spacing w:after="0"/>
              <w:rPr>
                <w:sz w:val="1"/>
                <w:szCs w:val="1"/>
                <w:color w:val="auto"/>
              </w:rPr>
            </w:pPr>
          </w:p>
        </w:tc>
      </w:tr>
      <w:tr>
        <w:trPr>
          <w:trHeight w:val="92"/>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80" w:firstLine="4"/>
        <w:spacing w:after="0" w:line="248"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("PAGP"), at a conversion ratio of approximately 0.941 Class A Units and Class B shares for each Class B Unit.</w:t>
      </w:r>
    </w:p>
    <w:p>
      <w:pPr>
        <w:spacing w:after="0" w:line="21" w:lineRule="exact"/>
        <w:rPr>
          <w:rFonts w:ascii="Times New Roman" w:cs="Times New Roman" w:eastAsia="Times New Roman" w:hAnsi="Times New Roman"/>
          <w:sz w:val="13"/>
          <w:szCs w:val="13"/>
          <w:color w:val="008000"/>
        </w:rPr>
      </w:pPr>
    </w:p>
    <w:p>
      <w:pPr>
        <w:ind w:left="40" w:right="200" w:firstLine="4"/>
        <w:spacing w:after="0"/>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limited partnership agreement of AAP was amended and restated on November 15, 2016 to provide that, among other things, each limited partner of AAP holding Class A Units, including the Reporting Person following conversion, will have the right, subject to certain limitations, to redeem its Class A Units for common units ("Common Units") of Plains All American Pipeline, L.P. (the "Issuer") on a one-for-one basis, by delivering such Class A Units to Plains AAP along with the associated Class B Shares and GP Units (the "GP Units") in PAA GP Holdings LLC (if applicable), to PAGP (the "Redemption Right"). Pursuant to the limited partnership agreement of AAP, prior to November 15, 2017, the Reporting Person may not exercise his Redemption Right if such exercise would result in the redemption (taken together with any previous redemptions by the Reporting Person) of more than 78% of the Class A Units held by the Reporting Person as of November 15, 2016.</w:t>
      </w:r>
    </w:p>
    <w:p>
      <w:pPr>
        <w:spacing w:after="0" w:line="2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AAP, the Redemption Right does not expire.</w:t>
      </w:r>
    </w:p>
    <w:p>
      <w:pPr>
        <w:spacing w:after="0" w:line="47" w:lineRule="exact"/>
        <w:rPr>
          <w:rFonts w:ascii="Times New Roman" w:cs="Times New Roman" w:eastAsia="Times New Roman" w:hAnsi="Times New Roman"/>
          <w:sz w:val="13"/>
          <w:szCs w:val="13"/>
          <w:color w:val="008000"/>
        </w:rPr>
      </w:pPr>
    </w:p>
    <w:p>
      <w:pPr>
        <w:jc w:val="both"/>
        <w:ind w:left="40" w:right="360" w:firstLine="4"/>
        <w:spacing w:after="0" w:line="248"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PAA Management, L.P. ("PAA Management") is also a limited partner of AAP and may from time to time exercise the Redemption Right with respect to its Class A Units. The Reporting Person is a member of PAA Management LLC, the general partner of PAA Management, and a limited partner of PAA Management. Therefore he may be deemed to be a beneficial owner of the interests held by PAA Management. The Reporting Person disclaims beneficial ownership of the securities held by PAA Management, except to the extent of his pecuniary interest therein.</w:t>
      </w:r>
    </w:p>
    <w:p>
      <w:pPr>
        <w:spacing w:after="0" w:line="21" w:lineRule="exact"/>
        <w:rPr>
          <w:rFonts w:ascii="Times New Roman" w:cs="Times New Roman" w:eastAsia="Times New Roman" w:hAnsi="Times New Roman"/>
          <w:sz w:val="13"/>
          <w:szCs w:val="13"/>
          <w:color w:val="008000"/>
        </w:rPr>
      </w:pPr>
    </w:p>
    <w:p>
      <w:pPr>
        <w:ind w:left="40" w:right="200" w:firstLine="4"/>
        <w:spacing w:after="0" w:line="248" w:lineRule="auto"/>
        <w:tabs>
          <w:tab w:leader="none" w:pos="17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AAP, prior to November 15, 2017, PAA Management may not exercise its Redemption Right with respect to Class A Units attributable to the interest of the Reporting Person if such exercise would result in the redemption (taken together with any previous redemptions attributable to the interest of the Reporting Person) of more than 78% of the Class A Units attributable to the Reporting Person through PAA Management as of November 15, 2016.</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w w:val="99"/>
              </w:rPr>
              <w:t>/s/ Chris Herbold</w:t>
            </w:r>
          </w:p>
        </w:tc>
        <w:tc>
          <w:tcPr>
            <w:tcW w:w="920" w:type="dxa"/>
            <w:vAlign w:val="bottom"/>
          </w:tcPr>
          <w:p>
            <w:pPr>
              <w:spacing w:after="0"/>
              <w:rPr>
                <w:sz w:val="17"/>
                <w:szCs w:val="17"/>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w w:val="95"/>
              </w:rPr>
              <w:t>11/17/2016</w:t>
            </w:r>
          </w:p>
        </w:tc>
      </w:tr>
      <w:tr>
        <w:trPr>
          <w:trHeight w:val="20"/>
        </w:trPr>
        <w:tc>
          <w:tcPr>
            <w:tcW w:w="1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792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2020-01-19T09:38:57Z</dcterms:created>
  <dcterms:modified xsi:type="dcterms:W3CDTF">2020-01-19T09:38:57Z</dcterms:modified>
</cp:coreProperties>
</file>