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Herbold Chris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Sr. VP and Chief Acctg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08/14/2019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22,000</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79,564</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8,657</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70,907</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73,907</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1,181</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72,726</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23,337</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21.38</w:t>
            </w:r>
            <w:r>
              <w:rPr>
                <w:rFonts w:ascii="Times;serif" w:hAnsi="Times;serif"/>
                <w:color w:val="008000"/>
                <w:position w:val="7"/>
                <w:sz w:val="16"/>
                <w:sz w:val="20"/>
                <w:highlight w:val="white"/>
              </w:rPr>
              <w:t>(5)</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49,389</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524" w:type="dxa"/>
        <w:jc w:val="left"/>
        <w:tblInd w:w="0" w:type="dxa"/>
        <w:tblCellMar>
          <w:top w:w="60" w:type="dxa"/>
          <w:left w:w="60" w:type="dxa"/>
          <w:bottom w:w="60" w:type="dxa"/>
          <w:right w:w="60" w:type="dxa"/>
        </w:tblCellMar>
      </w:tblPr>
      <w:tblGrid>
        <w:gridCol w:w="87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08/15/2019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25,150</w:t>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25,150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25,150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price in column 4 is a weighted average price. The units were sold in multiple transactions at prices ranging from $21.37 to $21.415. Reporting Person undertakes to provide to the SEC staff, the Issuer or any unitholder of the Issuer, upon request, full information regarding the number of units sold at each separate price.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Chris Herbold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97929"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811</Words>
  <CharactersWithSpaces>4945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