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327503d8k.htm"/>
      <w:bookmarkStart w:id="1" w:name="ksd327503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8"/>
        </w:rPr>
      </w:pPr>
      <w:r>
        <w:rPr>
          <w:rFonts w:ascii="Times New Roman" w:hAnsi="Times New Roman"/>
          <w:b/>
          <w:sz w:val="28"/>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April 1, 2012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1"/>
        <w:gridCol w:w="3267"/>
        <w:gridCol w:w="100"/>
        <w:gridCol w:w="3268"/>
      </w:tblGrid>
      <w:tr>
        <w:trPr/>
        <w:tc>
          <w:tcPr>
            <w:tcW w:w="346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8"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1-14569</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76-0582150</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(Commission</w:t>
            </w:r>
          </w:p>
          <w:p>
            <w:pPr>
              <w:pStyle w:val="TableContents"/>
              <w:spacing w:before="0" w:after="15"/>
              <w:jc w:val="center"/>
              <w:rPr>
                <w:rFonts w:ascii="Times New Roman" w:hAnsi="Times New Roman"/>
                <w:b/>
                <w:sz w:val="14"/>
              </w:rPr>
            </w:pPr>
            <w:r>
              <w:rPr>
                <w:rFonts w:ascii="Times New Roman" w:hAnsi="Times New Roman"/>
                <w:b/>
                <w:sz w:val="14"/>
              </w:rPr>
              <w:t>File Number)</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180" w:after="0"/>
        <w:jc w:val="center"/>
        <w:rPr>
          <w:rFonts w:ascii="Times New Roman" w:hAnsi="Times New Roman"/>
          <w:b/>
          <w:sz w:val="20"/>
        </w:rPr>
      </w:pPr>
      <w:r>
        <w:rPr>
          <w:rFonts w:ascii="Times New Roman" w:hAnsi="Times New Roman"/>
          <w:b/>
          <w:sz w:val="20"/>
        </w:rPr>
        <w:t xml:space="preserve">333 Clay Street, Suite 1600, Houston, Texas 77002 </w:t>
      </w:r>
    </w:p>
    <w:p>
      <w:pPr>
        <w:pStyle w:val="TextBody"/>
        <w:spacing w:before="0" w:after="0"/>
        <w:jc w:val="center"/>
        <w:rPr>
          <w:rFonts w:ascii="Times New Roman" w:hAnsi="Times New Roman"/>
          <w:b/>
          <w:sz w:val="14"/>
        </w:rPr>
      </w:pPr>
      <w:r>
        <w:rPr>
          <w:rFonts w:ascii="Times New Roman" w:hAnsi="Times New Roman"/>
          <w:b/>
          <w:sz w:val="14"/>
        </w:rPr>
        <w:t xml:space="preserve">(Address of principal executive offices) (Zip Code) </w:t>
      </w:r>
    </w:p>
    <w:p>
      <w:pPr>
        <w:pStyle w:val="TextBody"/>
        <w:spacing w:before="180" w:after="0"/>
        <w:jc w:val="center"/>
        <w:rPr>
          <w:rFonts w:ascii="Times New Roman" w:hAnsi="Times New Roman"/>
          <w:b/>
          <w:sz w:val="20"/>
        </w:rPr>
      </w:pPr>
      <w:r>
        <w:rPr>
          <w:rFonts w:ascii="Times New Roman" w:hAnsi="Times New Roman"/>
          <w:b/>
          <w:sz w:val="20"/>
        </w:rPr>
        <w:t xml:space="preserve">Registrants telephone number, including area code: 713-646-4100 </w:t>
      </w:r>
    </w:p>
    <w:p>
      <w:pPr>
        <w:pStyle w:val="TextBody"/>
        <w:spacing w:before="0" w:after="0"/>
        <w:jc w:val="center"/>
        <w:rPr>
          <w:rFonts w:ascii="Times New Roman" w:hAnsi="Times New Roman"/>
          <w:b/>
          <w:sz w:val="14"/>
        </w:rPr>
      </w:pPr>
      <w:r>
        <w:rPr>
          <w:rFonts w:ascii="Times New Roman" w:hAnsi="Times New Roman"/>
          <w:b/>
          <w:sz w:val="14"/>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TextBody"/>
        <w:spacing w:before="0" w:after="0"/>
        <w:rPr>
          <w:rFonts w:ascii="Times New Roman" w:hAnsi="Times New Roman"/>
          <w:b/>
          <w:sz w:val="20"/>
        </w:rPr>
      </w:pPr>
      <w:r>
        <w:rPr>
          <w:rFonts w:ascii="Times New Roman" w:hAnsi="Times New Roman"/>
          <w:b/>
          <w:sz w:val="20"/>
        </w:rPr>
        <w:t xml:space="preserve">Item 2.01. Completion of Acquisition or Disposition of Assets </w:t>
      </w:r>
    </w:p>
    <w:p>
      <w:pPr>
        <w:pStyle w:val="TextBody"/>
        <w:spacing w:before="90" w:after="0"/>
        <w:rPr>
          <w:rFonts w:ascii="Times New Roman" w:hAnsi="Times New Roman"/>
          <w:sz w:val="20"/>
        </w:rPr>
      </w:pPr>
      <w:r>
        <w:rPr>
          <w:rFonts w:ascii="Times New Roman" w:hAnsi="Times New Roman"/>
          <w:sz w:val="20"/>
        </w:rPr>
        <w:t xml:space="preserve">Effective April 1, 2012, pursuant to the terms of a Share Purchase Agreement, dated as of December 1, 2011 (the Purchase Agreement) between Plains Midstream Canada ULC (the Purchaser), a wholly owned subsidiary of Plains All American Pipeline, L.P. (the Partnership or PAA), and Amoco Canada International Holdings B.V. (Seller), an indirect wholly owned subsidiary of BP Corporation North America Inc. (BP North America), Purchaser completed its acquisition of all of the outstanding shares of BP Canada Energy Company, a wholly owned subsidiary of Seller (the Acquisition). Including a $50 million deposit paid by Purchaser upon signing of the Purchase Agreement, plus 2% interest from October 1, 2011 (the Effective Date), the total consideration paid by Purchaser consisted of a cash payment of approximately $1.7 billion, which amount is subject to adjustment following closing for (i) working capital as of the Effective Date, and (ii) cash flow from the Effective Date through closing. </w:t>
      </w:r>
    </w:p>
    <w:p>
      <w:pPr>
        <w:pStyle w:val="TextBody"/>
        <w:spacing w:before="180" w:after="0"/>
        <w:rPr>
          <w:rFonts w:ascii="Times New Roman" w:hAnsi="Times New Roman"/>
          <w:sz w:val="20"/>
        </w:rPr>
      </w:pPr>
      <w:r>
        <w:rPr>
          <w:rFonts w:ascii="Times New Roman" w:hAnsi="Times New Roman"/>
          <w:sz w:val="20"/>
        </w:rPr>
        <w:t xml:space="preserve">As a result of the Acquisition, the Purchaser has become the indirect owner of all of BP North Americas Canadian-based natural gas liquids (NGL) business and certain of BP North Americas NGL assets located in the upper-Midwest United States. The acquired assets include varying ownership interests and contractual rights relating to approximately 2,600 miles of NGL pipelines, approximately 20 million barrels of NGL storage capacity, seven fractionation plants with an aggregate net capacity of approximately 232,000 barrels per day, four straddle plants and two field gas processing plants with an aggregate net capacity of approximately 6 Bcf per day, and long-term and seasonal NGL inventories of approximately 10 million barrels (as of October 1, 2011). The acquired business also includes various supply contracts at other field gas processing plants and a supply contract relating to a third-party owned straddle plant with throughput capacity of 2.5 Bcf per day, shipping arrangements on third-party NGL pipelines and long-term leases on 720 rail cars used to move product among various locations. Collectively, these assets and activities provide access to approximately 140,000 to 150,000 barrels per day of NGL supply that are transported through an integrated network to fractionation facilities and markets in Western and Eastern Canada and in the U.S. </w:t>
      </w:r>
    </w:p>
    <w:p>
      <w:pPr>
        <w:pStyle w:val="TextBody"/>
        <w:spacing w:before="180" w:after="0"/>
        <w:rPr>
          <w:rFonts w:ascii="Times New Roman" w:hAnsi="Times New Roman"/>
          <w:sz w:val="20"/>
        </w:rPr>
      </w:pPr>
      <w:r>
        <w:rPr>
          <w:rFonts w:ascii="Times New Roman" w:hAnsi="Times New Roman"/>
          <w:sz w:val="20"/>
        </w:rPr>
        <w:t xml:space="preserve">The Purchaser and an affiliate of BP North America have also entered into an Integrated Supply and Trading Agreement, pursuant to which an affiliate of BP North America will, for a period of two years following the closing of the Acquisition, continue to provide sourcing services for gas supply to feed certain of the straddle plants acquired as a result of the Acquisition. </w:t>
      </w:r>
    </w:p>
    <w:p>
      <w:pPr>
        <w:pStyle w:val="TextBody"/>
        <w:spacing w:before="180" w:after="0"/>
        <w:rPr>
          <w:rFonts w:ascii="Times New Roman" w:hAnsi="Times New Roman"/>
          <w:sz w:val="20"/>
        </w:rPr>
      </w:pPr>
      <w:r>
        <w:rPr>
          <w:rFonts w:ascii="Times New Roman" w:hAnsi="Times New Roman"/>
          <w:sz w:val="20"/>
        </w:rPr>
        <w:t xml:space="preserve">The foregoing description of the Purchase Agreement does not purport to be complete and is qualified in its entirety by reference to the Purchase Agreement, which is filed as Exhibit 2.1 hereto and incorporated into this report by reference. </w:t>
      </w:r>
    </w:p>
    <w:p>
      <w:pPr>
        <w:pStyle w:val="TextBody"/>
        <w:spacing w:before="270" w:after="0"/>
        <w:rPr>
          <w:rFonts w:ascii="Times New Roman" w:hAnsi="Times New Roman"/>
          <w:b/>
          <w:sz w:val="20"/>
        </w:rPr>
      </w:pPr>
      <w:r>
        <w:rPr>
          <w:rFonts w:ascii="Times New Roman" w:hAnsi="Times New Roman"/>
          <w:b/>
          <w:sz w:val="20"/>
        </w:rPr>
        <w:t xml:space="preserve">Item 5.03 Amendment to Articles of Incorporation or Bylaws; Change in Fiscal Year </w:t>
      </w:r>
    </w:p>
    <w:p>
      <w:pPr>
        <w:pStyle w:val="TextBody"/>
        <w:spacing w:before="90" w:after="0"/>
        <w:rPr>
          <w:rFonts w:ascii="Times New Roman" w:hAnsi="Times New Roman"/>
          <w:sz w:val="20"/>
        </w:rPr>
      </w:pPr>
      <w:r>
        <w:rPr>
          <w:rFonts w:ascii="Times New Roman" w:hAnsi="Times New Roman"/>
          <w:sz w:val="20"/>
        </w:rPr>
        <w:t xml:space="preserve">In connection with the Acquisition, effective on April 1, 2012, PAAs General Partner amended the Third Amended and Restated Agreement of Limited Partnership (the Partnership Agreement) of the Partnership by executing Amendment No. 7 thereto (the Amendment), a copy of which is filed as Exhibit 3.1 hereto and incorporated into this report by reference. </w:t>
      </w:r>
    </w:p>
    <w:p>
      <w:pPr>
        <w:pStyle w:val="TextBody"/>
        <w:spacing w:before="180" w:after="0"/>
        <w:rPr>
          <w:rFonts w:ascii="Times New Roman" w:hAnsi="Times New Roman"/>
          <w:sz w:val="20"/>
        </w:rPr>
      </w:pPr>
      <w:r>
        <w:rPr>
          <w:rFonts w:ascii="Times New Roman" w:hAnsi="Times New Roman"/>
          <w:sz w:val="20"/>
        </w:rPr>
        <w:t xml:space="preserve">Pursuant to the terms of the Amendment, the amounts payable pursuant to the Incentive Distribution Rights of the Partnership under the Partnership Agreement shall be adjusted commencing with the payment date of the first Partnership quarterly distribution declared and paid after April 1, 2012 (the IDR Reduction Date). The Amendment provides for the adjustment of the Incentive Distribution Rights as follows: (i) for the quarterly distribution paid on the IDR Reduction Date and the seven quarterly distributions declared and paid following the IDR Reduction Date, any distributions with respect to the Incentive Distribution Rights shall be reduced by $3,750,000 per quarter, and (ii) thereafter, such distributions shall be reduced by $2,500,000 per quarter. In no event will the foregoing reductions (i) cause future incentive distributions to be reduced below the amount of incentive distributions paid with respect to the quarter ended September 30, 2011, or (ii) cumulate in the event that (x) any portion of such reductions are not given effect by virtue of the limitation described in the immediately preceding clause (i), or (y) no distributions are made with respect to a quarter.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b/>
          <w:sz w:val="20"/>
        </w:rPr>
      </w:pPr>
      <w:r>
        <w:rPr>
          <w:rFonts w:ascii="Times New Roman" w:hAnsi="Times New Roman"/>
          <w:b/>
          <w:sz w:val="20"/>
        </w:rPr>
        <w:t xml:space="preserve">Item 9.01. Financial Statements and Exhibits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(a)</w:t>
            </w:r>
          </w:p>
        </w:tc>
        <w:tc>
          <w:tcPr>
            <w:tcW w:w="9798"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 xml:space="preserve">Financial Statements of Businesses Acquired. </w:t>
            </w:r>
          </w:p>
        </w:tc>
      </w:tr>
    </w:tbl>
    <w:p>
      <w:pPr>
        <w:pStyle w:val="TextBody"/>
        <w:spacing w:before="90" w:after="0"/>
        <w:rPr>
          <w:rFonts w:ascii="Times New Roman" w:hAnsi="Times New Roman"/>
          <w:sz w:val="20"/>
        </w:rPr>
      </w:pPr>
      <w:r>
        <w:rPr>
          <w:rFonts w:ascii="Times New Roman" w:hAnsi="Times New Roman"/>
          <w:sz w:val="20"/>
        </w:rPr>
        <w:t xml:space="preserve">Financial statements of the acquired business are not included in this Form 8-K report. Such financial statements will be filed within 71 calendar days after the date of filing of this Form 8-K report.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(b)</w:t>
            </w:r>
          </w:p>
        </w:tc>
        <w:tc>
          <w:tcPr>
            <w:tcW w:w="9798"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 xml:space="preserve">Pro Forma Financial Information. </w:t>
            </w:r>
          </w:p>
        </w:tc>
      </w:tr>
    </w:tbl>
    <w:p>
      <w:pPr>
        <w:pStyle w:val="TextBody"/>
        <w:spacing w:before="90" w:after="0"/>
        <w:rPr>
          <w:rFonts w:ascii="Times New Roman" w:hAnsi="Times New Roman"/>
          <w:sz w:val="20"/>
        </w:rPr>
      </w:pPr>
      <w:r>
        <w:rPr>
          <w:rFonts w:ascii="Times New Roman" w:hAnsi="Times New Roman"/>
          <w:sz w:val="20"/>
        </w:rPr>
        <w:t xml:space="preserve">Pro forma financial information relative to the acquired business is not included in this Form 8-K report. Such pro forma financial information will be filed within 71 calendar days after the date of filing of this Form 8-K report.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(d)</w:t>
            </w:r>
          </w:p>
        </w:tc>
        <w:tc>
          <w:tcPr>
            <w:tcW w:w="9797" w:type="dxa"/>
            <w:tcBorders/>
            <w:shd w:fill="auto" w:val="clear"/>
          </w:tcPr>
          <w:p>
            <w:pPr>
              <w:pStyle w:val="TableContents"/>
              <w:spacing w:before="0" w:after="283"/>
              <w:jc w:val="left"/>
              <w:rPr>
                <w:rFonts w:ascii="Times New Roman" w:hAnsi="Times New Roman"/>
                <w:i/>
                <w:sz w:val="20"/>
              </w:rPr>
            </w:pPr>
            <w:r>
              <w:rPr>
                <w:rFonts w:ascii="Times New Roman" w:hAnsi="Times New Roman"/>
                <w:i/>
                <w:sz w:val="20"/>
              </w:rPr>
              <w:t xml:space="preserve">Exhibits.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129"/>
        <w:gridCol w:w="306"/>
        <w:gridCol w:w="8770"/>
      </w:tblGrid>
      <w:tr>
        <w:trPr/>
        <w:tc>
          <w:tcPr>
            <w:tcW w:w="112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bottom"/>
          </w:tcPr>
          <w:p>
            <w:pPr>
              <w:pStyle w:val="TableContents"/>
              <w:spacing w:before="0" w:after="283"/>
              <w:rPr>
                <w:sz w:val="4"/>
                <w:szCs w:val="4"/>
              </w:rPr>
            </w:pPr>
            <w:r>
              <w:rPr>
                <w:sz w:val="4"/>
                <w:szCs w:val="4"/>
              </w:rPr>
            </w:r>
          </w:p>
        </w:tc>
        <w:tc>
          <w:tcPr>
            <w:tcW w:w="8770"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1129" w:type="dxa"/>
            <w:tcBorders/>
            <w:shd w:fill="auto" w:val="clear"/>
            <w:vAlign w:val="center"/>
          </w:tcPr>
          <w:p>
            <w:pPr>
              <w:pStyle w:val="TableContents"/>
              <w:spacing w:before="0" w:after="283"/>
              <w:rPr>
                <w:sz w:val="4"/>
                <w:szCs w:val="4"/>
              </w:rPr>
            </w:pPr>
            <w:r>
              <w:rPr>
                <w:sz w:val="4"/>
                <w:szCs w:val="4"/>
              </w:rPr>
            </w:r>
          </w:p>
        </w:tc>
        <w:tc>
          <w:tcPr>
            <w:tcW w:w="9076" w:type="dxa"/>
            <w:gridSpan w:val="2"/>
            <w:tcBorders/>
            <w:shd w:fill="auto" w:val="clear"/>
            <w:vAlign w:val="center"/>
          </w:tcPr>
          <w:p>
            <w:pPr>
              <w:pStyle w:val="TableContents"/>
              <w:spacing w:before="0" w:after="283"/>
              <w:rPr>
                <w:sz w:val="4"/>
                <w:szCs w:val="4"/>
              </w:rPr>
            </w:pPr>
            <w:r>
              <w:rPr>
                <w:sz w:val="4"/>
                <w:szCs w:val="4"/>
              </w:rPr>
            </w:r>
          </w:p>
        </w:tc>
      </w:tr>
      <w:tr>
        <w:trPr/>
        <w:tc>
          <w:tcPr>
            <w:tcW w:w="1129" w:type="dxa"/>
            <w:tcBorders/>
            <w:shd w:fill="auto" w:val="clear"/>
          </w:tcPr>
          <w:p>
            <w:pPr>
              <w:pStyle w:val="TableContents"/>
              <w:spacing w:before="0" w:after="283"/>
              <w:rPr>
                <w:rFonts w:ascii="Times New Roman" w:hAnsi="Times New Roman"/>
                <w:sz w:val="20"/>
              </w:rPr>
            </w:pPr>
            <w:r>
              <w:rPr>
                <w:rFonts w:ascii="Times New Roman" w:hAnsi="Times New Roman"/>
                <w:sz w:val="20"/>
              </w:rPr>
              <w:t>Exhibit 2.1 </w:t>
            </w:r>
          </w:p>
        </w:tc>
        <w:tc>
          <w:tcPr>
            <w:tcW w:w="306" w:type="dxa"/>
            <w:tcBorders/>
            <w:shd w:fill="auto" w:val="clear"/>
            <w:vAlign w:val="bottom"/>
          </w:tcPr>
          <w:p>
            <w:pPr>
              <w:pStyle w:val="TableContents"/>
              <w:spacing w:before="0" w:after="283"/>
              <w:rPr/>
            </w:pPr>
            <w:r>
              <w:rPr/>
              <w:t>  </w:t>
            </w:r>
          </w:p>
        </w:tc>
        <w:tc>
          <w:tcPr>
            <w:tcW w:w="877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Share Purchase Agreement dated December 1, 2011 by and among Amoco Canada International Holdings B.V. and Plains Midstream Canada ULC (incorporated by reference to Exhibit 2.1 to the Annual Report on Form 10-K for the year ended December 31, 2011 filed on February 28, 2012).</w:t>
            </w:r>
          </w:p>
        </w:tc>
      </w:tr>
      <w:tr>
        <w:trPr>
          <w:trHeight w:val="120" w:hRule="atLeast"/>
        </w:trPr>
        <w:tc>
          <w:tcPr>
            <w:tcW w:w="1129" w:type="dxa"/>
            <w:tcBorders/>
            <w:shd w:fill="auto" w:val="clear"/>
            <w:vAlign w:val="center"/>
          </w:tcPr>
          <w:p>
            <w:pPr>
              <w:pStyle w:val="TableContents"/>
              <w:spacing w:before="0" w:after="283"/>
              <w:rPr>
                <w:sz w:val="4"/>
                <w:szCs w:val="4"/>
              </w:rPr>
            </w:pPr>
            <w:r>
              <w:rPr>
                <w:sz w:val="4"/>
                <w:szCs w:val="4"/>
              </w:rPr>
            </w:r>
          </w:p>
        </w:tc>
        <w:tc>
          <w:tcPr>
            <w:tcW w:w="9076" w:type="dxa"/>
            <w:gridSpan w:val="2"/>
            <w:tcBorders/>
            <w:shd w:fill="auto" w:val="clear"/>
            <w:vAlign w:val="center"/>
          </w:tcPr>
          <w:p>
            <w:pPr>
              <w:pStyle w:val="TableContents"/>
              <w:spacing w:before="0" w:after="283"/>
              <w:rPr>
                <w:sz w:val="4"/>
                <w:szCs w:val="4"/>
              </w:rPr>
            </w:pPr>
            <w:r>
              <w:rPr>
                <w:sz w:val="4"/>
                <w:szCs w:val="4"/>
              </w:rPr>
            </w:r>
          </w:p>
        </w:tc>
      </w:tr>
      <w:tr>
        <w:trPr/>
        <w:tc>
          <w:tcPr>
            <w:tcW w:w="1129" w:type="dxa"/>
            <w:tcBorders/>
            <w:shd w:fill="auto" w:val="clear"/>
          </w:tcPr>
          <w:p>
            <w:pPr>
              <w:pStyle w:val="TableContents"/>
              <w:spacing w:before="0" w:after="283"/>
              <w:rPr>
                <w:rFonts w:ascii="Times New Roman" w:hAnsi="Times New Roman"/>
                <w:sz w:val="20"/>
              </w:rPr>
            </w:pPr>
            <w:r>
              <w:rPr>
                <w:rFonts w:ascii="Times New Roman" w:hAnsi="Times New Roman"/>
                <w:sz w:val="20"/>
              </w:rPr>
              <w:t>Exhibit 3.1 </w:t>
            </w:r>
          </w:p>
        </w:tc>
        <w:tc>
          <w:tcPr>
            <w:tcW w:w="306" w:type="dxa"/>
            <w:tcBorders/>
            <w:shd w:fill="auto" w:val="clear"/>
            <w:vAlign w:val="bottom"/>
          </w:tcPr>
          <w:p>
            <w:pPr>
              <w:pStyle w:val="TableContents"/>
              <w:spacing w:before="0" w:after="283"/>
              <w:rPr/>
            </w:pPr>
            <w:r>
              <w:rPr/>
              <w:t>  </w:t>
            </w:r>
          </w:p>
        </w:tc>
        <w:tc>
          <w:tcPr>
            <w:tcW w:w="877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Amendment No. 7 dated April 1, 2012 to the Third Amended and Restated Agreement of Limited Partnership of Plains All American Pipeline, L.P.</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708"/>
        <w:gridCol w:w="110"/>
        <w:gridCol w:w="493"/>
        <w:gridCol w:w="110"/>
        <w:gridCol w:w="4784"/>
      </w:tblGrid>
      <w:tr>
        <w:trPr/>
        <w:tc>
          <w:tcPr>
            <w:tcW w:w="470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sz w:val="4"/>
                <w:szCs w:val="4"/>
              </w:rPr>
            </w:pPr>
            <w:r>
              <w:rPr>
                <w:sz w:val="4"/>
                <w:szCs w:val="4"/>
              </w:rPr>
            </w:r>
          </w:p>
        </w:tc>
        <w:tc>
          <w:tcPr>
            <w:tcW w:w="4784" w:type="dxa"/>
            <w:tcBorders/>
            <w:shd w:fill="auto" w:val="clear"/>
            <w:vAlign w:val="center"/>
          </w:tcPr>
          <w:p>
            <w:pPr>
              <w:pStyle w:val="TableContents"/>
              <w:spacing w:before="0" w:after="283"/>
              <w:rPr>
                <w:sz w:val="4"/>
                <w:szCs w:val="4"/>
              </w:rPr>
            </w:pPr>
            <w:r>
              <w:rPr>
                <w:sz w:val="4"/>
                <w:szCs w:val="4"/>
              </w:rPr>
            </w:r>
          </w:p>
        </w:tc>
      </w:tr>
      <w:tr>
        <w:trPr/>
        <w:tc>
          <w:tcPr>
            <w:tcW w:w="4708"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5387"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rHeight w:val="120" w:hRule="atLeast"/>
        </w:trPr>
        <w:tc>
          <w:tcPr>
            <w:tcW w:w="4708" w:type="dxa"/>
            <w:tcBorders/>
            <w:shd w:fill="auto" w:val="clear"/>
            <w:vAlign w:val="center"/>
          </w:tcPr>
          <w:p>
            <w:pPr>
              <w:pStyle w:val="TableContents"/>
              <w:spacing w:before="0" w:after="283"/>
              <w:rPr>
                <w:sz w:val="4"/>
                <w:szCs w:val="4"/>
              </w:rPr>
            </w:pPr>
            <w:r>
              <w:rPr>
                <w:sz w:val="4"/>
                <w:szCs w:val="4"/>
              </w:rPr>
            </w:r>
          </w:p>
        </w:tc>
        <w:tc>
          <w:tcPr>
            <w:tcW w:w="603" w:type="dxa"/>
            <w:gridSpan w:val="2"/>
            <w:tcBorders/>
            <w:shd w:fill="auto" w:val="clear"/>
            <w:vAlign w:val="center"/>
          </w:tcPr>
          <w:p>
            <w:pPr>
              <w:pStyle w:val="TableContents"/>
              <w:spacing w:before="0" w:after="283"/>
              <w:rPr>
                <w:sz w:val="4"/>
                <w:szCs w:val="4"/>
              </w:rPr>
            </w:pPr>
            <w:r>
              <w:rPr>
                <w:sz w:val="4"/>
                <w:szCs w:val="4"/>
              </w:rPr>
            </w:r>
          </w:p>
        </w:tc>
        <w:tc>
          <w:tcPr>
            <w:tcW w:w="4894" w:type="dxa"/>
            <w:gridSpan w:val="2"/>
            <w:tcBorders/>
            <w:shd w:fill="auto" w:val="clear"/>
            <w:vAlign w:val="center"/>
          </w:tcPr>
          <w:p>
            <w:pPr>
              <w:pStyle w:val="TableContents"/>
              <w:spacing w:before="0" w:after="283"/>
              <w:rPr>
                <w:sz w:val="4"/>
                <w:szCs w:val="4"/>
              </w:rPr>
            </w:pPr>
            <w:r>
              <w:rPr>
                <w:sz w:val="4"/>
                <w:szCs w:val="4"/>
              </w:rPr>
            </w:r>
          </w:p>
        </w:tc>
      </w:tr>
      <w:tr>
        <w:trPr/>
        <w:tc>
          <w:tcPr>
            <w:tcW w:w="4708" w:type="dxa"/>
            <w:tcBorders/>
            <w:shd w:fill="auto" w:val="clear"/>
          </w:tcPr>
          <w:p>
            <w:pPr>
              <w:pStyle w:val="TableContents"/>
              <w:spacing w:before="0" w:after="283"/>
              <w:rPr>
                <w:rFonts w:ascii="Times New Roman" w:hAnsi="Times New Roman"/>
                <w:sz w:val="20"/>
              </w:rPr>
            </w:pPr>
            <w:r>
              <w:rPr>
                <w:rFonts w:ascii="Times New Roman" w:hAnsi="Times New Roman"/>
                <w:sz w:val="20"/>
              </w:rPr>
              <w:t>Date: April 5, 2012</w:t>
            </w:r>
          </w:p>
        </w:tc>
        <w:tc>
          <w:tcPr>
            <w:tcW w:w="110" w:type="dxa"/>
            <w:tcBorders/>
            <w:shd w:fill="auto" w:val="clear"/>
            <w:vAlign w:val="bottom"/>
          </w:tcPr>
          <w:p>
            <w:pPr>
              <w:pStyle w:val="TableContents"/>
              <w:spacing w:before="0" w:after="283"/>
              <w:rPr/>
            </w:pPr>
            <w:r>
              <w:rPr/>
              <w:t> </w:t>
            </w:r>
          </w:p>
        </w:tc>
        <w:tc>
          <w:tcPr>
            <w:tcW w:w="49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10" w:type="dxa"/>
            <w:tcBorders/>
            <w:shd w:fill="auto" w:val="clear"/>
            <w:vAlign w:val="bottom"/>
          </w:tcPr>
          <w:p>
            <w:pPr>
              <w:pStyle w:val="TableContents"/>
              <w:spacing w:before="0" w:after="283"/>
              <w:rPr/>
            </w:pPr>
            <w:r>
              <w:rPr/>
              <w:t> </w:t>
            </w:r>
          </w:p>
        </w:tc>
        <w:tc>
          <w:tcPr>
            <w:tcW w:w="47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rHeight w:val="120" w:hRule="atLeast"/>
        </w:trPr>
        <w:tc>
          <w:tcPr>
            <w:tcW w:w="4708" w:type="dxa"/>
            <w:tcBorders/>
            <w:shd w:fill="auto" w:val="clear"/>
            <w:vAlign w:val="center"/>
          </w:tcPr>
          <w:p>
            <w:pPr>
              <w:pStyle w:val="TableContents"/>
              <w:spacing w:before="0" w:after="283"/>
              <w:rPr>
                <w:sz w:val="4"/>
                <w:szCs w:val="4"/>
              </w:rPr>
            </w:pPr>
            <w:r>
              <w:rPr>
                <w:sz w:val="4"/>
                <w:szCs w:val="4"/>
              </w:rPr>
            </w:r>
          </w:p>
        </w:tc>
        <w:tc>
          <w:tcPr>
            <w:tcW w:w="603" w:type="dxa"/>
            <w:gridSpan w:val="2"/>
            <w:tcBorders/>
            <w:shd w:fill="auto" w:val="clear"/>
            <w:vAlign w:val="center"/>
          </w:tcPr>
          <w:p>
            <w:pPr>
              <w:pStyle w:val="TableContents"/>
              <w:spacing w:before="0" w:after="283"/>
              <w:rPr>
                <w:sz w:val="4"/>
                <w:szCs w:val="4"/>
              </w:rPr>
            </w:pPr>
            <w:r>
              <w:rPr>
                <w:sz w:val="4"/>
                <w:szCs w:val="4"/>
              </w:rPr>
            </w:r>
          </w:p>
        </w:tc>
        <w:tc>
          <w:tcPr>
            <w:tcW w:w="4894" w:type="dxa"/>
            <w:gridSpan w:val="2"/>
            <w:tcBorders/>
            <w:shd w:fill="auto" w:val="clear"/>
            <w:vAlign w:val="center"/>
          </w:tcPr>
          <w:p>
            <w:pPr>
              <w:pStyle w:val="TableContents"/>
              <w:spacing w:before="0" w:after="283"/>
              <w:rPr>
                <w:sz w:val="4"/>
                <w:szCs w:val="4"/>
              </w:rPr>
            </w:pPr>
            <w:r>
              <w:rPr>
                <w:sz w:val="4"/>
                <w:szCs w:val="4"/>
              </w:rPr>
            </w:r>
          </w:p>
        </w:tc>
      </w:tr>
      <w:tr>
        <w:trPr/>
        <w:tc>
          <w:tcPr>
            <w:tcW w:w="4708" w:type="dxa"/>
            <w:tcBorders/>
            <w:shd w:fill="auto"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49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10" w:type="dxa"/>
            <w:tcBorders/>
            <w:shd w:fill="auto" w:val="clear"/>
            <w:vAlign w:val="bottom"/>
          </w:tcPr>
          <w:p>
            <w:pPr>
              <w:pStyle w:val="TableContents"/>
              <w:spacing w:before="0" w:after="283"/>
              <w:rPr/>
            </w:pPr>
            <w:r>
              <w:rPr/>
              <w:t> </w:t>
            </w:r>
          </w:p>
        </w:tc>
        <w:tc>
          <w:tcPr>
            <w:tcW w:w="47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rHeight w:val="120" w:hRule="atLeast"/>
        </w:trPr>
        <w:tc>
          <w:tcPr>
            <w:tcW w:w="4708" w:type="dxa"/>
            <w:tcBorders/>
            <w:shd w:fill="auto" w:val="clear"/>
            <w:vAlign w:val="center"/>
          </w:tcPr>
          <w:p>
            <w:pPr>
              <w:pStyle w:val="TableContents"/>
              <w:spacing w:before="0" w:after="283"/>
              <w:rPr>
                <w:sz w:val="4"/>
                <w:szCs w:val="4"/>
              </w:rPr>
            </w:pPr>
            <w:r>
              <w:rPr>
                <w:sz w:val="4"/>
                <w:szCs w:val="4"/>
              </w:rPr>
            </w:r>
          </w:p>
        </w:tc>
        <w:tc>
          <w:tcPr>
            <w:tcW w:w="603" w:type="dxa"/>
            <w:gridSpan w:val="2"/>
            <w:tcBorders/>
            <w:shd w:fill="auto" w:val="clear"/>
            <w:vAlign w:val="center"/>
          </w:tcPr>
          <w:p>
            <w:pPr>
              <w:pStyle w:val="TableContents"/>
              <w:spacing w:before="0" w:after="283"/>
              <w:rPr>
                <w:sz w:val="4"/>
                <w:szCs w:val="4"/>
              </w:rPr>
            </w:pPr>
            <w:r>
              <w:rPr>
                <w:sz w:val="4"/>
                <w:szCs w:val="4"/>
              </w:rPr>
            </w:r>
          </w:p>
        </w:tc>
        <w:tc>
          <w:tcPr>
            <w:tcW w:w="4894" w:type="dxa"/>
            <w:gridSpan w:val="2"/>
            <w:tcBorders/>
            <w:shd w:fill="auto" w:val="clear"/>
            <w:vAlign w:val="center"/>
          </w:tcPr>
          <w:p>
            <w:pPr>
              <w:pStyle w:val="TableContents"/>
              <w:spacing w:before="0" w:after="283"/>
              <w:rPr>
                <w:sz w:val="4"/>
                <w:szCs w:val="4"/>
              </w:rPr>
            </w:pPr>
            <w:r>
              <w:rPr>
                <w:sz w:val="4"/>
                <w:szCs w:val="4"/>
              </w:rPr>
            </w:r>
          </w:p>
        </w:tc>
      </w:tr>
      <w:tr>
        <w:trPr/>
        <w:tc>
          <w:tcPr>
            <w:tcW w:w="4708" w:type="dxa"/>
            <w:tcBorders/>
            <w:shd w:fill="auto"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49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10" w:type="dxa"/>
            <w:tcBorders/>
            <w:shd w:fill="auto" w:val="clear"/>
            <w:vAlign w:val="bottom"/>
          </w:tcPr>
          <w:p>
            <w:pPr>
              <w:pStyle w:val="TableContents"/>
              <w:spacing w:before="0" w:after="283"/>
              <w:rPr/>
            </w:pPr>
            <w:r>
              <w:rPr/>
              <w:t> </w:t>
            </w:r>
          </w:p>
        </w:tc>
        <w:tc>
          <w:tcPr>
            <w:tcW w:w="47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GP LLC, its general partner</w:t>
            </w:r>
          </w:p>
        </w:tc>
      </w:tr>
      <w:tr>
        <w:trPr>
          <w:trHeight w:val="240" w:hRule="atLeast"/>
        </w:trPr>
        <w:tc>
          <w:tcPr>
            <w:tcW w:w="4708" w:type="dxa"/>
            <w:tcBorders/>
            <w:shd w:fill="auto" w:val="clear"/>
            <w:vAlign w:val="center"/>
          </w:tcPr>
          <w:p>
            <w:pPr>
              <w:pStyle w:val="TableContents"/>
              <w:spacing w:before="0" w:after="283"/>
              <w:rPr>
                <w:sz w:val="4"/>
                <w:szCs w:val="4"/>
              </w:rPr>
            </w:pPr>
            <w:r>
              <w:rPr>
                <w:sz w:val="4"/>
                <w:szCs w:val="4"/>
              </w:rPr>
            </w:r>
          </w:p>
        </w:tc>
        <w:tc>
          <w:tcPr>
            <w:tcW w:w="603" w:type="dxa"/>
            <w:gridSpan w:val="2"/>
            <w:tcBorders/>
            <w:shd w:fill="auto" w:val="clear"/>
            <w:vAlign w:val="center"/>
          </w:tcPr>
          <w:p>
            <w:pPr>
              <w:pStyle w:val="TableContents"/>
              <w:spacing w:before="0" w:after="283"/>
              <w:rPr>
                <w:sz w:val="4"/>
                <w:szCs w:val="4"/>
              </w:rPr>
            </w:pPr>
            <w:r>
              <w:rPr>
                <w:sz w:val="4"/>
                <w:szCs w:val="4"/>
              </w:rPr>
            </w:r>
          </w:p>
        </w:tc>
        <w:tc>
          <w:tcPr>
            <w:tcW w:w="4894" w:type="dxa"/>
            <w:gridSpan w:val="2"/>
            <w:tcBorders/>
            <w:shd w:fill="auto" w:val="clear"/>
            <w:vAlign w:val="center"/>
          </w:tcPr>
          <w:p>
            <w:pPr>
              <w:pStyle w:val="TableContents"/>
              <w:spacing w:before="0" w:after="283"/>
              <w:rPr>
                <w:sz w:val="4"/>
                <w:szCs w:val="4"/>
              </w:rPr>
            </w:pPr>
            <w:r>
              <w:rPr>
                <w:sz w:val="4"/>
                <w:szCs w:val="4"/>
              </w:rPr>
            </w:r>
          </w:p>
        </w:tc>
      </w:tr>
      <w:tr>
        <w:trPr/>
        <w:tc>
          <w:tcPr>
            <w:tcW w:w="4708" w:type="dxa"/>
            <w:tcBorders/>
            <w:shd w:fill="auto"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49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10" w:type="dxa"/>
            <w:tcBorders>
              <w:bottom w:val="single" w:sz="2" w:space="0" w:color="000000"/>
            </w:tcBorders>
            <w:shd w:fill="auto" w:val="clear"/>
            <w:tcMar>
              <w:bottom w:w="28" w:type="dxa"/>
            </w:tcMar>
            <w:vAlign w:val="bottom"/>
          </w:tcPr>
          <w:p>
            <w:pPr>
              <w:pStyle w:val="TableContents"/>
              <w:spacing w:before="0" w:after="283"/>
              <w:rPr/>
            </w:pPr>
            <w:r>
              <w:rPr/>
              <w:t> </w:t>
            </w:r>
          </w:p>
        </w:tc>
        <w:tc>
          <w:tcPr>
            <w:tcW w:w="4784"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/s/ Richard McGee</w:t>
            </w:r>
          </w:p>
        </w:tc>
      </w:tr>
      <w:tr>
        <w:trPr/>
        <w:tc>
          <w:tcPr>
            <w:tcW w:w="4708" w:type="dxa"/>
            <w:tcBorders/>
            <w:shd w:fill="auto"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49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c>
          <w:tcPr>
            <w:tcW w:w="110" w:type="dxa"/>
            <w:tcBorders/>
            <w:shd w:fill="auto" w:val="clear"/>
            <w:vAlign w:val="bottom"/>
          </w:tcPr>
          <w:p>
            <w:pPr>
              <w:pStyle w:val="TableContents"/>
              <w:spacing w:before="0" w:after="283"/>
              <w:rPr/>
            </w:pPr>
            <w:r>
              <w:rPr/>
              <w:t> </w:t>
            </w:r>
          </w:p>
        </w:tc>
        <w:tc>
          <w:tcPr>
            <w:tcW w:w="47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Richard McGee</w:t>
            </w:r>
          </w:p>
        </w:tc>
      </w:tr>
      <w:tr>
        <w:trPr/>
        <w:tc>
          <w:tcPr>
            <w:tcW w:w="4708" w:type="dxa"/>
            <w:tcBorders/>
            <w:shd w:fill="auto"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49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c>
          <w:tcPr>
            <w:tcW w:w="110" w:type="dxa"/>
            <w:tcBorders/>
            <w:shd w:fill="auto" w:val="clear"/>
            <w:vAlign w:val="bottom"/>
          </w:tcPr>
          <w:p>
            <w:pPr>
              <w:pStyle w:val="TableContents"/>
              <w:spacing w:before="0" w:after="283"/>
              <w:rPr/>
            </w:pPr>
            <w:r>
              <w:rPr/>
              <w:t> </w:t>
            </w:r>
          </w:p>
        </w:tc>
        <w:tc>
          <w:tcPr>
            <w:tcW w:w="47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INDEX TO EXHIBITS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73"/>
        <w:gridCol w:w="596"/>
        <w:gridCol w:w="9136"/>
      </w:tblGrid>
      <w:tr>
        <w:trPr/>
        <w:tc>
          <w:tcPr>
            <w:tcW w:w="473"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bottom"/>
          </w:tcPr>
          <w:p>
            <w:pPr>
              <w:pStyle w:val="TableContents"/>
              <w:spacing w:before="0" w:after="283"/>
              <w:rPr>
                <w:sz w:val="4"/>
                <w:szCs w:val="4"/>
              </w:rPr>
            </w:pPr>
            <w:r>
              <w:rPr>
                <w:sz w:val="4"/>
                <w:szCs w:val="4"/>
              </w:rPr>
            </w:r>
          </w:p>
        </w:tc>
        <w:tc>
          <w:tcPr>
            <w:tcW w:w="9136" w:type="dxa"/>
            <w:tcBorders/>
            <w:shd w:fill="auto" w:val="clear"/>
            <w:vAlign w:val="center"/>
          </w:tcPr>
          <w:p>
            <w:pPr>
              <w:pStyle w:val="TableContents"/>
              <w:spacing w:before="0" w:after="283"/>
              <w:rPr>
                <w:sz w:val="4"/>
                <w:szCs w:val="4"/>
              </w:rPr>
            </w:pPr>
            <w:r>
              <w:rPr>
                <w:sz w:val="4"/>
                <w:szCs w:val="4"/>
              </w:rPr>
            </w:r>
          </w:p>
        </w:tc>
      </w:tr>
      <w:tr>
        <w:trPr/>
        <w:tc>
          <w:tcPr>
            <w:tcW w:w="473"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Exhibit</w:t>
            </w:r>
          </w:p>
        </w:tc>
        <w:tc>
          <w:tcPr>
            <w:tcW w:w="596" w:type="dxa"/>
            <w:tcBorders/>
            <w:shd w:fill="auto" w:val="clear"/>
            <w:vAlign w:val="bottom"/>
          </w:tcPr>
          <w:p>
            <w:pPr>
              <w:pStyle w:val="TableContents"/>
              <w:spacing w:before="0" w:after="283"/>
              <w:rPr/>
            </w:pPr>
            <w:r>
              <w:rPr/>
              <w:t>  </w:t>
            </w:r>
          </w:p>
        </w:tc>
        <w:tc>
          <w:tcPr>
            <w:tcW w:w="9136" w:type="dxa"/>
            <w:tcBorders/>
            <w:shd w:fill="auto" w:val="clear"/>
            <w:vAlign w:val="bottom"/>
          </w:tcPr>
          <w:p>
            <w:pPr>
              <w:pStyle w:val="TableContents"/>
              <w:spacing w:before="0" w:after="283"/>
              <w:rPr/>
            </w:pPr>
            <w:r>
              <w:rPr/>
              <w:t> </w:t>
            </w:r>
          </w:p>
        </w:tc>
      </w:tr>
      <w:tr>
        <w:trPr/>
        <w:tc>
          <w:tcPr>
            <w:tcW w:w="473"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b/>
                <w:sz w:val="14"/>
              </w:rPr>
            </w:pPr>
            <w:r>
              <w:rPr>
                <w:rFonts w:ascii="Times New Roman" w:hAnsi="Times New Roman"/>
                <w:b/>
                <w:sz w:val="14"/>
              </w:rPr>
              <w:t>No.</w:t>
            </w:r>
          </w:p>
        </w:tc>
        <w:tc>
          <w:tcPr>
            <w:tcW w:w="596" w:type="dxa"/>
            <w:tcBorders/>
            <w:shd w:fill="auto" w:val="clear"/>
            <w:vAlign w:val="bottom"/>
          </w:tcPr>
          <w:p>
            <w:pPr>
              <w:pStyle w:val="TableContents"/>
              <w:spacing w:before="0" w:after="283"/>
              <w:rPr/>
            </w:pPr>
            <w:r>
              <w:rPr/>
              <w:t>  </w:t>
            </w:r>
          </w:p>
        </w:tc>
        <w:tc>
          <w:tcPr>
            <w:tcW w:w="9136" w:type="dxa"/>
            <w:tcBorders/>
            <w:shd w:fill="auto" w:val="clear"/>
            <w:vAlign w:val="bottom"/>
          </w:tcPr>
          <w:p>
            <w:pPr>
              <w:pStyle w:val="TableContents"/>
              <w:pBdr>
                <w:bottom w:val="single" w:sz="2" w:space="1" w:color="000000"/>
              </w:pBdr>
              <w:spacing w:before="0" w:after="283"/>
              <w:rPr/>
            </w:pPr>
            <w:r>
              <w:rPr/>
              <w:t>                </w:t>
            </w:r>
            <w:r>
              <w:rPr>
                <w:rFonts w:ascii="Times New Roman" w:hAnsi="Times New Roman"/>
                <w:b/>
                <w:sz w:val="14"/>
              </w:rPr>
              <w:t>Description                 </w:t>
            </w:r>
          </w:p>
        </w:tc>
      </w:tr>
      <w:tr>
        <w:trPr>
          <w:trHeight w:val="120" w:hRule="atLeast"/>
        </w:trPr>
        <w:tc>
          <w:tcPr>
            <w:tcW w:w="473" w:type="dxa"/>
            <w:tcBorders/>
            <w:shd w:fill="auto" w:val="clear"/>
            <w:vAlign w:val="center"/>
          </w:tcPr>
          <w:p>
            <w:pPr>
              <w:pStyle w:val="TableContents"/>
              <w:spacing w:before="0" w:after="283"/>
              <w:rPr>
                <w:sz w:val="4"/>
                <w:szCs w:val="4"/>
              </w:rPr>
            </w:pPr>
            <w:r>
              <w:rPr>
                <w:sz w:val="4"/>
                <w:szCs w:val="4"/>
              </w:rPr>
            </w:r>
          </w:p>
        </w:tc>
        <w:tc>
          <w:tcPr>
            <w:tcW w:w="9732" w:type="dxa"/>
            <w:gridSpan w:val="2"/>
            <w:tcBorders/>
            <w:shd w:fill="auto" w:val="clear"/>
            <w:vAlign w:val="center"/>
          </w:tcPr>
          <w:p>
            <w:pPr>
              <w:pStyle w:val="TableContents"/>
              <w:spacing w:before="0" w:after="283"/>
              <w:rPr>
                <w:sz w:val="4"/>
                <w:szCs w:val="4"/>
              </w:rPr>
            </w:pPr>
            <w:r>
              <w:rPr>
                <w:sz w:val="4"/>
                <w:szCs w:val="4"/>
              </w:rPr>
            </w:r>
          </w:p>
        </w:tc>
      </w:tr>
      <w:tr>
        <w:trPr/>
        <w:tc>
          <w:tcPr>
            <w:tcW w:w="473" w:type="dxa"/>
            <w:tcBorders/>
            <w:shd w:fill="auto" w:val="clear"/>
          </w:tcPr>
          <w:p>
            <w:pPr>
              <w:pStyle w:val="TableContents"/>
              <w:spacing w:before="0" w:after="283"/>
              <w:rPr>
                <w:rFonts w:ascii="Times New Roman" w:hAnsi="Times New Roman"/>
                <w:sz w:val="20"/>
              </w:rPr>
            </w:pPr>
            <w:r>
              <w:rPr>
                <w:rFonts w:ascii="Times New Roman" w:hAnsi="Times New Roman"/>
                <w:sz w:val="20"/>
              </w:rPr>
              <w:t>2.1</w:t>
            </w:r>
          </w:p>
        </w:tc>
        <w:tc>
          <w:tcPr>
            <w:tcW w:w="596" w:type="dxa"/>
            <w:tcBorders/>
            <w:shd w:fill="auto" w:val="clear"/>
            <w:vAlign w:val="bottom"/>
          </w:tcPr>
          <w:p>
            <w:pPr>
              <w:pStyle w:val="TableContents"/>
              <w:spacing w:before="0" w:after="283"/>
              <w:rPr/>
            </w:pPr>
            <w:r>
              <w:rPr/>
              <w:t>  </w:t>
            </w:r>
          </w:p>
        </w:tc>
        <w:tc>
          <w:tcPr>
            <w:tcW w:w="9136" w:type="dxa"/>
            <w:tcBorders/>
            <w:shd w:fill="auto" w:val="clear"/>
          </w:tcPr>
          <w:p>
            <w:pPr>
              <w:pStyle w:val="TableContents"/>
              <w:spacing w:before="0" w:after="283"/>
              <w:rPr>
                <w:rFonts w:ascii="Times New Roman" w:hAnsi="Times New Roman"/>
                <w:sz w:val="20"/>
              </w:rPr>
            </w:pPr>
            <w:r>
              <w:rPr>
                <w:rFonts w:ascii="Times New Roman" w:hAnsi="Times New Roman"/>
                <w:sz w:val="20"/>
              </w:rPr>
              <w:t>Share Purchase Agreement dated December 1, 2011 by and among Amoco Canada International Holdings B.V. and Plains Midstream Canada ULC (incorporated by reference to Exhibit 2.1 to the Annual Report on Form 10-K for the year ended December 31, 2011 filed on February 28, 2012).</w:t>
            </w:r>
          </w:p>
        </w:tc>
      </w:tr>
      <w:tr>
        <w:trPr>
          <w:trHeight w:val="120" w:hRule="atLeast"/>
        </w:trPr>
        <w:tc>
          <w:tcPr>
            <w:tcW w:w="473" w:type="dxa"/>
            <w:tcBorders/>
            <w:shd w:fill="auto" w:val="clear"/>
            <w:vAlign w:val="center"/>
          </w:tcPr>
          <w:p>
            <w:pPr>
              <w:pStyle w:val="TableContents"/>
              <w:spacing w:before="0" w:after="283"/>
              <w:rPr>
                <w:sz w:val="4"/>
                <w:szCs w:val="4"/>
              </w:rPr>
            </w:pPr>
            <w:r>
              <w:rPr>
                <w:sz w:val="4"/>
                <w:szCs w:val="4"/>
              </w:rPr>
            </w:r>
          </w:p>
        </w:tc>
        <w:tc>
          <w:tcPr>
            <w:tcW w:w="9732" w:type="dxa"/>
            <w:gridSpan w:val="2"/>
            <w:tcBorders/>
            <w:shd w:fill="auto" w:val="clear"/>
            <w:vAlign w:val="center"/>
          </w:tcPr>
          <w:p>
            <w:pPr>
              <w:pStyle w:val="TableContents"/>
              <w:spacing w:before="0" w:after="283"/>
              <w:rPr>
                <w:sz w:val="4"/>
                <w:szCs w:val="4"/>
              </w:rPr>
            </w:pPr>
            <w:r>
              <w:rPr>
                <w:sz w:val="4"/>
                <w:szCs w:val="4"/>
              </w:rPr>
            </w:r>
          </w:p>
        </w:tc>
      </w:tr>
      <w:tr>
        <w:trPr/>
        <w:tc>
          <w:tcPr>
            <w:tcW w:w="473" w:type="dxa"/>
            <w:tcBorders/>
            <w:shd w:fill="auto" w:val="clear"/>
          </w:tcPr>
          <w:p>
            <w:pPr>
              <w:pStyle w:val="TableContents"/>
              <w:spacing w:before="0" w:after="283"/>
              <w:rPr>
                <w:rFonts w:ascii="Times New Roman" w:hAnsi="Times New Roman"/>
                <w:sz w:val="20"/>
              </w:rPr>
            </w:pPr>
            <w:r>
              <w:rPr>
                <w:rFonts w:ascii="Times New Roman" w:hAnsi="Times New Roman"/>
                <w:sz w:val="20"/>
              </w:rPr>
              <w:t>3.1</w:t>
            </w:r>
          </w:p>
        </w:tc>
        <w:tc>
          <w:tcPr>
            <w:tcW w:w="596" w:type="dxa"/>
            <w:tcBorders/>
            <w:shd w:fill="auto" w:val="clear"/>
            <w:vAlign w:val="bottom"/>
          </w:tcPr>
          <w:p>
            <w:pPr>
              <w:pStyle w:val="TableContents"/>
              <w:spacing w:before="0" w:after="283"/>
              <w:rPr/>
            </w:pPr>
            <w:r>
              <w:rPr/>
              <w:t>  </w:t>
            </w:r>
          </w:p>
        </w:tc>
        <w:tc>
          <w:tcPr>
            <w:tcW w:w="9136" w:type="dxa"/>
            <w:tcBorders/>
            <w:shd w:fill="auto" w:val="clear"/>
          </w:tcPr>
          <w:p>
            <w:pPr>
              <w:pStyle w:val="TableContents"/>
              <w:spacing w:before="0" w:after="283"/>
              <w:rPr>
                <w:rFonts w:ascii="Times New Roman" w:hAnsi="Times New Roman"/>
                <w:sz w:val="20"/>
              </w:rPr>
            </w:pPr>
            <w:r>
              <w:rPr>
                <w:rFonts w:ascii="Times New Roman" w:hAnsi="Times New Roman"/>
                <w:sz w:val="20"/>
              </w:rPr>
              <w:t>Amendment No. 7 dated April 1, 2012 to the Third Amended and Restated Agreement of Limited Partnership of Plains All American Pipeline, L.P.</w:t>
            </w:r>
          </w:p>
        </w:tc>
      </w:tr>
    </w:tbl>
    <w:p>
      <w:pPr>
        <w:pStyle w:val="TextBody"/>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TextBody"/>
        <w:spacing w:before="270" w:after="0"/>
        <w:jc w:val="right"/>
        <w:rPr>
          <w:rFonts w:ascii="Times New Roman" w:hAnsi="Times New Roman"/>
          <w:b/>
          <w:sz w:val="20"/>
        </w:rPr>
      </w:pPr>
      <w:bookmarkStart w:id="2" w:name="d327503dex31.htm"/>
      <w:bookmarkStart w:id="3" w:name="ksd327503dex31"/>
      <w:bookmarkEnd w:id="2"/>
      <w:bookmarkEnd w:id="3"/>
      <w:r>
        <w:rPr>
          <w:rFonts w:ascii="Times New Roman" w:hAnsi="Times New Roman"/>
          <w:b/>
          <w:sz w:val="20"/>
        </w:rPr>
        <w:t xml:space="preserve">Exhibit 3.1 </w:t>
      </w:r>
    </w:p>
    <w:p>
      <w:pPr>
        <w:pStyle w:val="TextBody"/>
        <w:spacing w:before="180" w:after="0"/>
        <w:jc w:val="center"/>
        <w:rPr>
          <w:rFonts w:ascii="Times New Roman" w:hAnsi="Times New Roman"/>
          <w:sz w:val="20"/>
        </w:rPr>
      </w:pPr>
      <w:r>
        <w:rPr>
          <w:rFonts w:ascii="Times New Roman" w:hAnsi="Times New Roman"/>
          <w:sz w:val="20"/>
        </w:rPr>
        <w:t xml:space="preserve">AMENDMENT NO. 7 TO THE THIRD AMENDED AND RESTATED </w:t>
      </w:r>
    </w:p>
    <w:p>
      <w:pPr>
        <w:pStyle w:val="TextBody"/>
        <w:spacing w:before="0" w:after="0"/>
        <w:jc w:val="center"/>
        <w:rPr>
          <w:rFonts w:ascii="Times New Roman" w:hAnsi="Times New Roman"/>
          <w:sz w:val="20"/>
        </w:rPr>
      </w:pPr>
      <w:r>
        <w:rPr>
          <w:rFonts w:ascii="Times New Roman" w:hAnsi="Times New Roman"/>
          <w:sz w:val="20"/>
        </w:rPr>
        <w:t xml:space="preserve">AGREEMENT OF LIMITED PARTNERSHIP OF </w:t>
      </w:r>
    </w:p>
    <w:p>
      <w:pPr>
        <w:pStyle w:val="TextBody"/>
        <w:spacing w:before="0" w:after="0"/>
        <w:jc w:val="center"/>
        <w:rPr>
          <w:rFonts w:ascii="Times New Roman" w:hAnsi="Times New Roman"/>
          <w:sz w:val="20"/>
        </w:rPr>
      </w:pPr>
      <w:r>
        <w:rPr>
          <w:rFonts w:ascii="Times New Roman" w:hAnsi="Times New Roman"/>
          <w:sz w:val="20"/>
        </w:rPr>
        <w:t xml:space="preserve">PLAINS ALL AMERICAN PIPELINE, L.P. </w:t>
      </w:r>
    </w:p>
    <w:p>
      <w:pPr>
        <w:pStyle w:val="TextBody"/>
        <w:spacing w:before="180" w:after="0"/>
        <w:rPr>
          <w:rFonts w:ascii="Times New Roman" w:hAnsi="Times New Roman"/>
          <w:sz w:val="20"/>
        </w:rPr>
      </w:pPr>
      <w:r>
        <w:rPr>
          <w:rFonts w:ascii="Times New Roman" w:hAnsi="Times New Roman"/>
          <w:sz w:val="20"/>
        </w:rPr>
        <w:t xml:space="preserve">This Amendment No. 7 (this Amendment) to the Third Amended and Restated Agreement of Limited Partnership of Plains All American Pipeline, L.P. (the Partnership), dated as of June 27, 2001 (and as amended to the date hereof, the Partnership Agreement), is hereby adopted effective as of April 1, 2012, by PAA GP LLC, a Delaware limited liability company, (the General Partner), as general partner of the Partnership. Capitalized terms used but not defined herein are used as defined in the Partnership Agreement. </w:t>
      </w:r>
    </w:p>
    <w:p>
      <w:pPr>
        <w:pStyle w:val="TextBody"/>
        <w:spacing w:before="180" w:after="0"/>
        <w:rPr>
          <w:rFonts w:ascii="Times New Roman" w:hAnsi="Times New Roman"/>
          <w:sz w:val="20"/>
        </w:rPr>
      </w:pPr>
      <w:r>
        <w:rPr>
          <w:rFonts w:ascii="Times New Roman" w:hAnsi="Times New Roman"/>
          <w:sz w:val="20"/>
        </w:rPr>
        <w:t xml:space="preserve">WHEREAS, Section 13.1(d)(i) of the Partnership Agreement provides that the General Partner, without the approval of any Partner, may amend any provision of the Partnership Agreement to reflect a change that, in the discretion of the General Partner, does not adversely affect the Limited Partners in any material respect; </w:t>
      </w:r>
    </w:p>
    <w:p>
      <w:pPr>
        <w:pStyle w:val="TextBody"/>
        <w:spacing w:before="180" w:after="0"/>
        <w:rPr>
          <w:rFonts w:ascii="Times New Roman" w:hAnsi="Times New Roman"/>
          <w:sz w:val="20"/>
        </w:rPr>
      </w:pPr>
      <w:r>
        <w:rPr>
          <w:rFonts w:ascii="Times New Roman" w:hAnsi="Times New Roman"/>
          <w:sz w:val="20"/>
        </w:rPr>
        <w:t xml:space="preserve">WHEREAS, the General Partner has determined, in its discretion, that this Amendment does not adversely affect the Limited Partners in any material respect; </w:t>
      </w:r>
    </w:p>
    <w:p>
      <w:pPr>
        <w:pStyle w:val="TextBody"/>
        <w:spacing w:before="180" w:after="0"/>
        <w:rPr>
          <w:rFonts w:ascii="Times New Roman" w:hAnsi="Times New Roman"/>
          <w:sz w:val="20"/>
        </w:rPr>
      </w:pPr>
      <w:r>
        <w:rPr>
          <w:rFonts w:ascii="Times New Roman" w:hAnsi="Times New Roman"/>
          <w:sz w:val="20"/>
        </w:rPr>
        <w:t xml:space="preserve">WHEREAS, this Amendment shall become effective only upon and after consummation of the transactions contemplated by that certain Share Purchase Agreement, dated as of December 1, 2011, as such agreement may be amended from time to time, related to the purchase by a subsidiary of the Partnership of all of the outstanding stock in BP Canada Energy Company. </w:t>
      </w:r>
    </w:p>
    <w:p>
      <w:pPr>
        <w:pStyle w:val="TextBody"/>
        <w:spacing w:before="270" w:after="0"/>
        <w:rPr>
          <w:rFonts w:ascii="Times New Roman" w:hAnsi="Times New Roman"/>
          <w:sz w:val="20"/>
        </w:rPr>
      </w:pPr>
      <w:r>
        <w:rPr>
          <w:rFonts w:ascii="Times New Roman" w:hAnsi="Times New Roman"/>
          <w:sz w:val="20"/>
        </w:rPr>
        <w:t xml:space="preserve">NOW, THEREFORE, the General Partner does hereby amend the Partnership Agreement as follows: </w:t>
      </w:r>
    </w:p>
    <w:p>
      <w:pPr>
        <w:pStyle w:val="TextBody"/>
        <w:spacing w:before="180" w:after="0"/>
        <w:rPr>
          <w:rFonts w:ascii="Times New Roman" w:hAnsi="Times New Roman"/>
          <w:sz w:val="20"/>
        </w:rPr>
      </w:pPr>
      <w:r>
        <w:rPr>
          <w:rFonts w:ascii="Times New Roman" w:hAnsi="Times New Roman"/>
          <w:sz w:val="20"/>
          <w:u w:val="single"/>
        </w:rPr>
        <w:t>Section 1</w:t>
      </w:r>
      <w:r>
        <w:rPr>
          <w:rFonts w:ascii="Times New Roman" w:hAnsi="Times New Roman"/>
          <w:sz w:val="20"/>
        </w:rPr>
        <w:t xml:space="preserve">. Section 1.1 of the Partnership Agreement is hereby amended by adding the following definition: </w:t>
      </w:r>
    </w:p>
    <w:p>
      <w:pPr>
        <w:pStyle w:val="TextBody"/>
        <w:spacing w:before="180" w:after="0"/>
        <w:rPr>
          <w:rFonts w:ascii="Times New Roman" w:hAnsi="Times New Roman"/>
          <w:sz w:val="20"/>
        </w:rPr>
      </w:pPr>
      <w:r>
        <w:rPr>
          <w:rFonts w:ascii="Times New Roman" w:hAnsi="Times New Roman"/>
          <w:i/>
          <w:sz w:val="20"/>
        </w:rPr>
        <w:t>BP Acquisition Closing Date</w:t>
      </w:r>
      <w:r>
        <w:rPr>
          <w:rFonts w:ascii="Times New Roman" w:hAnsi="Times New Roman"/>
          <w:sz w:val="20"/>
        </w:rPr>
        <w:t xml:space="preserve"> means the date on which the transactions contemplated by that certain Share Purchase Agreement, dated as of December 1, 2011, between Amoco Canada International Holdings B.V. and Plains Midstream Canada ULC (a subsidiary of the Partnership) (as such agreement may be amended from time to time), have been consummated substantially as contemplated thereunder. </w:t>
      </w:r>
    </w:p>
    <w:p>
      <w:pPr>
        <w:pStyle w:val="TextBody"/>
        <w:spacing w:before="180" w:after="0"/>
        <w:rPr>
          <w:rFonts w:ascii="Times New Roman" w:hAnsi="Times New Roman"/>
          <w:sz w:val="20"/>
        </w:rPr>
      </w:pPr>
      <w:r>
        <w:rPr>
          <w:rFonts w:ascii="Times New Roman" w:hAnsi="Times New Roman"/>
          <w:sz w:val="20"/>
          <w:u w:val="single"/>
        </w:rPr>
        <w:t>Section 2</w:t>
      </w:r>
      <w:r>
        <w:rPr>
          <w:rFonts w:ascii="Times New Roman" w:hAnsi="Times New Roman"/>
          <w:sz w:val="20"/>
        </w:rPr>
        <w:t xml:space="preserve">. Section 6.4 of the Partnership Agreement is hereby amended by adding a new subsection (f) to such Section: </w:t>
      </w:r>
    </w:p>
    <w:p>
      <w:pPr>
        <w:pStyle w:val="TextBody"/>
        <w:spacing w:before="180" w:after="0"/>
        <w:rPr>
          <w:rFonts w:ascii="Times New Roman" w:hAnsi="Times New Roman"/>
          <w:sz w:val="20"/>
        </w:rPr>
      </w:pPr>
      <w:r>
        <w:rPr>
          <w:rFonts w:ascii="Times New Roman" w:hAnsi="Times New Roman"/>
          <w:sz w:val="20"/>
        </w:rPr>
        <w:t xml:space="preserve">(f) Notwithstanding anything to the contrary in this Section 6.4, any distributions to the holder of the Incentive Distribution Rights provided for in clauses (ii), (iii) and (iv) of Subsection 6.4(b), as applicable, shall be adjusted commencing with the payment date of the first quarterly distribution declared and paid after the BP Acquisition Closing Date (the IDR Reduction Date). Such adjustment shall be as follows: (i) for the quarterly distribution paid on the IDR Reduction Date and the seven quarterly distributions declared and paid following the IDR Reduction Date, any distributions to the holder(s) of the Incentive Distribution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Rights shall be reduced by $3,750,000 per quarter, and (ii) thereafter, such distributions shall be reduced by $2,500,000 per quarter; provided, however, that (A) in no event shall the reduction pursuant to Section 6.4(f)(i) or (ii) cause the Incentive Distribution with respect to the applicable quarter to be reduced below the total amount of Incentive Distributions paid (excluding any adjustments pursuant to Section 6.4(c), (d) and (e)) with respect to the quarter ended September 30, 2011, and (B) any portion of the potential reductions provided for in Section 6.4(f)(i) or (ii) that are not given effect by virtue of the limitation set forth in clause (A) immediately preceding, or by virtue of the fact that no distributions are made with respect to a quarter, shall not cumulate or otherwise have any effect on Incentive Distributions made with respect to future periods. </w:t>
      </w:r>
    </w:p>
    <w:p>
      <w:pPr>
        <w:pStyle w:val="TextBody"/>
        <w:spacing w:before="180" w:after="0"/>
        <w:rPr>
          <w:rFonts w:ascii="Times New Roman" w:hAnsi="Times New Roman"/>
          <w:sz w:val="20"/>
        </w:rPr>
      </w:pPr>
      <w:r>
        <w:rPr>
          <w:rFonts w:ascii="Times New Roman" w:hAnsi="Times New Roman"/>
          <w:sz w:val="20"/>
          <w:u w:val="single"/>
        </w:rPr>
        <w:t>Section 3</w:t>
      </w:r>
      <w:r>
        <w:rPr>
          <w:rFonts w:ascii="Times New Roman" w:hAnsi="Times New Roman"/>
          <w:sz w:val="20"/>
        </w:rPr>
        <w:t xml:space="preserve">. The first sentence of Section 6.9 of the Partnership Agreement is hereby amended to (a) delete the word and following the reference to First Target Distribution, (b) insert a comma following the reference to First Target Distribution and (c) add the phrase and the Incentive Distribution reduction amount referenced in Section 6.4(f)(i) or (ii), as applicable, immediately following the reference to Second Target Distribution. </w:t>
      </w:r>
    </w:p>
    <w:p>
      <w:pPr>
        <w:pStyle w:val="TextBody"/>
        <w:spacing w:before="180" w:after="0"/>
        <w:rPr>
          <w:rFonts w:ascii="Times New Roman" w:hAnsi="Times New Roman"/>
          <w:sz w:val="20"/>
        </w:rPr>
      </w:pPr>
      <w:r>
        <w:rPr>
          <w:rFonts w:ascii="Times New Roman" w:hAnsi="Times New Roman"/>
          <w:sz w:val="20"/>
          <w:u w:val="single"/>
        </w:rPr>
        <w:t>Section 4.</w:t>
      </w:r>
      <w:r>
        <w:rPr>
          <w:rFonts w:ascii="Times New Roman" w:hAnsi="Times New Roman"/>
          <w:sz w:val="20"/>
        </w:rPr>
        <w:t xml:space="preserve"> Except as hereby amended, the Partnership Agreement shall remain in full force and effect. </w:t>
      </w:r>
    </w:p>
    <w:p>
      <w:pPr>
        <w:pStyle w:val="TextBody"/>
        <w:spacing w:before="180" w:after="0"/>
        <w:rPr>
          <w:rFonts w:ascii="Times New Roman" w:hAnsi="Times New Roman"/>
          <w:sz w:val="20"/>
        </w:rPr>
      </w:pPr>
      <w:r>
        <w:rPr>
          <w:rFonts w:ascii="Times New Roman" w:hAnsi="Times New Roman"/>
          <w:sz w:val="20"/>
          <w:u w:val="single"/>
        </w:rPr>
        <w:t>Section 5</w:t>
      </w:r>
      <w:r>
        <w:rPr>
          <w:rFonts w:ascii="Times New Roman" w:hAnsi="Times New Roman"/>
          <w:sz w:val="20"/>
        </w:rPr>
        <w:t xml:space="preserve">. This Amendment shall be governed by, and interpreted in accordance with, the laws of the State of Delaware, all rights and remedies being governed by such laws without regard to principles of conflicts of laws. </w:t>
      </w:r>
    </w:p>
    <w:p>
      <w:pPr>
        <w:pStyle w:val="TextBody"/>
        <w:spacing w:before="180" w:after="0"/>
        <w:rPr>
          <w:rFonts w:ascii="Times New Roman" w:hAnsi="Times New Roman"/>
          <w:sz w:val="20"/>
        </w:rPr>
      </w:pPr>
      <w:r>
        <w:rPr>
          <w:rFonts w:ascii="Times New Roman" w:hAnsi="Times New Roman"/>
          <w:sz w:val="20"/>
        </w:rPr>
        <w:t xml:space="preserve">IN WITNESS WHEREOF, this Amendment has been executed as of the date first written above.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626"/>
        <w:gridCol w:w="60"/>
        <w:gridCol w:w="3396"/>
      </w:tblGrid>
      <w:tr>
        <w:trPr/>
        <w:tc>
          <w:tcPr>
            <w:tcW w:w="62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9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GENERAL PARTNER: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PAA GP LLC</w:t>
            </w:r>
          </w:p>
        </w:tc>
      </w:tr>
      <w:tr>
        <w:trPr>
          <w:trHeight w:val="240" w:hRule="atLeast"/>
        </w:trPr>
        <w:tc>
          <w:tcPr>
            <w:tcW w:w="626" w:type="dxa"/>
            <w:tcBorders/>
            <w:shd w:fill="auto" w:val="clear"/>
            <w:vAlign w:val="center"/>
          </w:tcPr>
          <w:p>
            <w:pPr>
              <w:pStyle w:val="TableContents"/>
              <w:spacing w:before="0" w:after="283"/>
              <w:rPr>
                <w:sz w:val="4"/>
                <w:szCs w:val="4"/>
              </w:rPr>
            </w:pPr>
            <w:r>
              <w:rPr>
                <w:sz w:val="4"/>
                <w:szCs w:val="4"/>
              </w:rPr>
            </w:r>
          </w:p>
        </w:tc>
        <w:tc>
          <w:tcPr>
            <w:tcW w:w="3456" w:type="dxa"/>
            <w:gridSpan w:val="2"/>
            <w:tcBorders/>
            <w:shd w:fill="auto" w:val="clear"/>
            <w:vAlign w:val="center"/>
          </w:tcPr>
          <w:p>
            <w:pPr>
              <w:pStyle w:val="TableContents"/>
              <w:spacing w:before="0" w:after="283"/>
              <w:rPr>
                <w:sz w:val="4"/>
                <w:szCs w:val="4"/>
              </w:rPr>
            </w:pPr>
            <w:r>
              <w:rPr>
                <w:sz w:val="4"/>
                <w:szCs w:val="4"/>
              </w:rPr>
            </w:r>
          </w:p>
        </w:tc>
      </w:tr>
      <w:tr>
        <w:trPr/>
        <w:tc>
          <w:tcPr>
            <w:tcW w:w="62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396" w:type="dxa"/>
            <w:tcBorders/>
            <w:shd w:fill="auto" w:val="clear"/>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rHeight w:val="240" w:hRule="atLeast"/>
        </w:trPr>
        <w:tc>
          <w:tcPr>
            <w:tcW w:w="626" w:type="dxa"/>
            <w:tcBorders/>
            <w:shd w:fill="auto" w:val="clear"/>
            <w:vAlign w:val="center"/>
          </w:tcPr>
          <w:p>
            <w:pPr>
              <w:pStyle w:val="TableContents"/>
              <w:spacing w:before="0" w:after="283"/>
              <w:rPr>
                <w:sz w:val="4"/>
                <w:szCs w:val="4"/>
              </w:rPr>
            </w:pPr>
            <w:r>
              <w:rPr>
                <w:sz w:val="4"/>
                <w:szCs w:val="4"/>
              </w:rPr>
            </w:r>
          </w:p>
        </w:tc>
        <w:tc>
          <w:tcPr>
            <w:tcW w:w="3456" w:type="dxa"/>
            <w:gridSpan w:val="2"/>
            <w:tcBorders/>
            <w:shd w:fill="auto" w:val="clear"/>
            <w:vAlign w:val="center"/>
          </w:tcPr>
          <w:p>
            <w:pPr>
              <w:pStyle w:val="TableContents"/>
              <w:spacing w:before="0" w:after="283"/>
              <w:rPr>
                <w:sz w:val="4"/>
                <w:szCs w:val="4"/>
              </w:rPr>
            </w:pPr>
            <w:r>
              <w:rPr>
                <w:sz w:val="4"/>
                <w:szCs w:val="4"/>
              </w:rPr>
            </w:r>
          </w:p>
        </w:tc>
      </w:tr>
      <w:tr>
        <w:trPr/>
        <w:tc>
          <w:tcPr>
            <w:tcW w:w="62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39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GP LLC, its general partner</w:t>
            </w:r>
          </w:p>
        </w:tc>
      </w:tr>
      <w:tr>
        <w:trPr>
          <w:trHeight w:val="240" w:hRule="atLeast"/>
        </w:trPr>
        <w:tc>
          <w:tcPr>
            <w:tcW w:w="626" w:type="dxa"/>
            <w:tcBorders/>
            <w:shd w:fill="auto" w:val="clear"/>
            <w:vAlign w:val="center"/>
          </w:tcPr>
          <w:p>
            <w:pPr>
              <w:pStyle w:val="TableContents"/>
              <w:spacing w:before="0" w:after="283"/>
              <w:rPr>
                <w:sz w:val="4"/>
                <w:szCs w:val="4"/>
              </w:rPr>
            </w:pPr>
            <w:r>
              <w:rPr>
                <w:sz w:val="4"/>
                <w:szCs w:val="4"/>
              </w:rPr>
            </w:r>
          </w:p>
        </w:tc>
        <w:tc>
          <w:tcPr>
            <w:tcW w:w="3456" w:type="dxa"/>
            <w:gridSpan w:val="2"/>
            <w:tcBorders/>
            <w:shd w:fill="auto" w:val="clear"/>
            <w:vAlign w:val="center"/>
          </w:tcPr>
          <w:p>
            <w:pPr>
              <w:pStyle w:val="TableContents"/>
              <w:spacing w:before="0" w:after="283"/>
              <w:rPr>
                <w:sz w:val="4"/>
                <w:szCs w:val="4"/>
              </w:rPr>
            </w:pPr>
            <w:r>
              <w:rPr>
                <w:sz w:val="4"/>
                <w:szCs w:val="4"/>
              </w:rPr>
            </w:r>
          </w:p>
        </w:tc>
      </w:tr>
      <w:tr>
        <w:trPr/>
        <w:tc>
          <w:tcPr>
            <w:tcW w:w="62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396"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/s/ Richard K. McGee</w:t>
            </w:r>
          </w:p>
        </w:tc>
      </w:tr>
      <w:tr>
        <w:trPr/>
        <w:tc>
          <w:tcPr>
            <w:tcW w:w="626"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39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Richard K. McGee</w:t>
            </w:r>
          </w:p>
        </w:tc>
      </w:tr>
      <w:tr>
        <w:trPr/>
        <w:tc>
          <w:tcPr>
            <w:tcW w:w="626"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39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2044</Words>
  <CharactersWithSpaces>12700</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Amendment No. 7 to the Third Amended and Restated Agmt of Limited Partnership</dc:title>
</cp:coreProperties>
</file>