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PEFANIS HARRY 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CCO</w:t>
      </w:r>
    </w:p>
    <w:p>
      <w:pPr>
        <w:spacing w:after="0" w:line="266" w:lineRule="exact"/>
        <w:rPr>
          <w:sz w:val="24"/>
          <w:szCs w:val="24"/>
          <w:color w:val="auto"/>
        </w:rPr>
      </w:pPr>
    </w:p>
    <w:p>
      <w:pPr>
        <w:sectPr>
          <w:pgSz w:w="11900" w:h="16838" w:orient="portrait"/>
          <w:cols w:equalWidth="0" w:num="3">
            <w:col w:w="3200" w:space="720"/>
            <w:col w:w="3240" w:space="575"/>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77002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03/12/2020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7.355</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233,653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$7.35 to $7.36. The reporting person will provide upon request by the SEC staff, the issuer or any security holder of the issuer full information regarding the number of shares purchased at each separate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Harry N. Pefanis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03/12/2020</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2020-03-12T18:21:53Z</dcterms:created>
  <dcterms:modified xsi:type="dcterms:W3CDTF">2020-03-12T18:21:53Z</dcterms:modified>
</cp:coreProperties>
</file>