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480" w:type="dxa"/>
            <w:vAlign w:val="bottom"/>
          </w:tcPr>
          <w:p>
            <w:pPr>
              <w:jc w:val="center"/>
              <w:ind w:right="23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48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-636270</wp:posOffset>
            </wp:positionV>
            <wp:extent cx="58420" cy="649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9605"/>
                    </a:xfrm>
                    <a:prstGeom prst="rect">
                      <a:avLst/>
                    </a:prstGeom>
                    <a:noFill/>
                  </pic:spPr>
                </pic:pic>
              </a:graphicData>
            </a:graphic>
          </wp:anchor>
        </w:drawing>
        <w:drawing>
          <wp:anchor simplePos="0" relativeHeight="251657728" behindDoc="1" locked="0" layoutInCell="0" allowOverlap="1">
            <wp:simplePos x="0" y="0"/>
            <wp:positionH relativeFrom="column">
              <wp:posOffset>4107180</wp:posOffset>
            </wp:positionH>
            <wp:positionV relativeFrom="paragraph">
              <wp:posOffset>-636270</wp:posOffset>
            </wp:positionV>
            <wp:extent cx="58420" cy="649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960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4886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88696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DUCKETT W DAVID</w:t>
        </w:r>
      </w:hyperlink>
    </w:p>
    <w:p>
      <w:pPr>
        <w:spacing w:after="0" w:line="312"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1060" w:type="dxa"/>
            <w:vAlign w:val="bottom"/>
          </w:tcPr>
          <w:p>
            <w:pPr>
              <w:ind w:left="240"/>
              <w:spacing w:after="0"/>
              <w:rPr>
                <w:sz w:val="20"/>
                <w:szCs w:val="20"/>
                <w:color w:val="auto"/>
              </w:rPr>
            </w:pPr>
            <w:r>
              <w:rPr>
                <w:rFonts w:ascii="Arial" w:cs="Arial" w:eastAsia="Arial" w:hAnsi="Arial"/>
                <w:sz w:val="13"/>
                <w:szCs w:val="13"/>
                <w:color w:val="auto"/>
              </w:rPr>
              <w:t>(First)</w:t>
            </w:r>
          </w:p>
        </w:tc>
        <w:tc>
          <w:tcPr>
            <w:tcW w:w="170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4"/>
        </w:trPr>
        <w:tc>
          <w:tcPr>
            <w:tcW w:w="20" w:type="dxa"/>
            <w:vAlign w:val="bottom"/>
          </w:tcPr>
          <w:p>
            <w:pPr>
              <w:spacing w:after="0"/>
              <w:rPr>
                <w:sz w:val="23"/>
                <w:szCs w:val="23"/>
                <w:color w:val="auto"/>
              </w:rPr>
            </w:pPr>
          </w:p>
        </w:tc>
        <w:tc>
          <w:tcPr>
            <w:tcW w:w="3820" w:type="dxa"/>
            <w:vAlign w:val="bottom"/>
            <w:gridSpan w:val="3"/>
          </w:tcPr>
          <w:p>
            <w:pPr>
              <w:ind w:left="20"/>
              <w:spacing w:after="0"/>
              <w:rPr>
                <w:sz w:val="20"/>
                <w:szCs w:val="20"/>
                <w:color w:val="auto"/>
              </w:rPr>
            </w:pPr>
            <w:r>
              <w:rPr>
                <w:rFonts w:ascii="Arial" w:cs="Arial" w:eastAsia="Arial" w:hAnsi="Arial"/>
                <w:sz w:val="17"/>
                <w:szCs w:val="17"/>
                <w:color w:val="0000FF"/>
              </w:rPr>
              <w:t>SUITE 1400, 607 EIGHTH AVENUE S.W.</w:t>
            </w:r>
          </w:p>
        </w:tc>
      </w:tr>
      <w:tr>
        <w:trPr>
          <w:trHeight w:val="205"/>
        </w:trPr>
        <w:tc>
          <w:tcPr>
            <w:tcW w:w="20" w:type="dxa"/>
            <w:vAlign w:val="bottom"/>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700" w:type="dxa"/>
            <w:vAlign w:val="bottom"/>
            <w:tcBorders>
              <w:bottom w:val="single" w:sz="8" w:color="9A9A9A"/>
            </w:tcBorders>
          </w:tcPr>
          <w:p>
            <w:pPr>
              <w:spacing w:after="0"/>
              <w:rPr>
                <w:sz w:val="17"/>
                <w:szCs w:val="17"/>
                <w:color w:val="auto"/>
              </w:rPr>
            </w:pPr>
          </w:p>
        </w:tc>
      </w:tr>
      <w:tr>
        <w:trPr>
          <w:trHeight w:val="261"/>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35"/>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CALGARY</w:t>
            </w:r>
          </w:p>
        </w:tc>
        <w:tc>
          <w:tcPr>
            <w:tcW w:w="1060" w:type="dxa"/>
            <w:vAlign w:val="bottom"/>
          </w:tcPr>
          <w:p>
            <w:pPr>
              <w:ind w:left="240"/>
              <w:spacing w:after="0"/>
              <w:rPr>
                <w:sz w:val="20"/>
                <w:szCs w:val="20"/>
                <w:color w:val="auto"/>
              </w:rPr>
            </w:pPr>
            <w:r>
              <w:rPr>
                <w:rFonts w:ascii="Arial" w:cs="Arial" w:eastAsia="Arial" w:hAnsi="Arial"/>
                <w:sz w:val="17"/>
                <w:szCs w:val="17"/>
                <w:color w:val="0000FF"/>
              </w:rPr>
              <w:t>A0</w:t>
            </w:r>
          </w:p>
        </w:tc>
        <w:tc>
          <w:tcPr>
            <w:tcW w:w="1700" w:type="dxa"/>
            <w:vAlign w:val="bottom"/>
          </w:tcPr>
          <w:p>
            <w:pPr>
              <w:ind w:left="440"/>
              <w:spacing w:after="0"/>
              <w:rPr>
                <w:sz w:val="20"/>
                <w:szCs w:val="20"/>
                <w:color w:val="auto"/>
              </w:rPr>
            </w:pPr>
            <w:r>
              <w:rPr>
                <w:rFonts w:ascii="Arial" w:cs="Arial" w:eastAsia="Arial" w:hAnsi="Arial"/>
                <w:sz w:val="17"/>
                <w:szCs w:val="17"/>
                <w:color w:val="0000FF"/>
              </w:rPr>
              <w:t>T2P 0A7</w:t>
            </w:r>
          </w:p>
        </w:tc>
      </w:tr>
      <w:tr>
        <w:trPr>
          <w:trHeight w:val="153"/>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70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920" w:type="dxa"/>
            <w:vAlign w:val="bottom"/>
            <w:gridSpan w:val="3"/>
          </w:tcPr>
          <w:p>
            <w:pPr>
              <w:spacing w:after="0" w:line="139" w:lineRule="exact"/>
              <w:rPr>
                <w:rFonts w:ascii="Arial" w:cs="Arial" w:eastAsia="Arial" w:hAnsi="Arial"/>
                <w:sz w:val="16"/>
                <w:szCs w:val="16"/>
                <w:color w:val="0000EE"/>
              </w:rPr>
            </w:pPr>
            <w:hyperlink r:id="rId13">
              <w:r>
                <w:rPr>
                  <w:rFonts w:ascii="Arial" w:cs="Arial" w:eastAsia="Arial" w:hAnsi="Arial"/>
                  <w:sz w:val="16"/>
                  <w:szCs w:val="16"/>
                  <w:color w:val="0000EE"/>
                </w:rPr>
                <w:t xml:space="preserve">PLAINS ALL AMERICAN PIPELINE LP </w:t>
              </w:r>
            </w:hyperlink>
            <w:r>
              <w:rPr>
                <w:rFonts w:ascii="Arial" w:cs="Arial" w:eastAsia="Arial" w:hAnsi="Arial"/>
                <w:sz w:val="16"/>
                <w:szCs w:val="16"/>
                <w:color w:val="000000"/>
              </w:rPr>
              <w:t>[</w:t>
            </w:r>
          </w:p>
        </w:tc>
        <w:tc>
          <w:tcPr>
            <w:tcW w:w="19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3500" w:type="dxa"/>
            <w:vAlign w:val="bottom"/>
            <w:tcBorders>
              <w:bottom w:val="single" w:sz="8" w:color="0000EE"/>
            </w:tcBorders>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3920" w:type="dxa"/>
            <w:vAlign w:val="bottom"/>
            <w:gridSpan w:val="3"/>
            <w:vMerge w:val="restart"/>
          </w:tcPr>
          <w:p>
            <w:pPr>
              <w:spacing w:after="0"/>
              <w:rPr>
                <w:sz w:val="20"/>
                <w:szCs w:val="20"/>
                <w:color w:val="auto"/>
              </w:rPr>
            </w:pPr>
            <w:r>
              <w:rPr>
                <w:rFonts w:ascii="Arial" w:cs="Arial" w:eastAsia="Arial" w:hAnsi="Arial"/>
                <w:sz w:val="17"/>
                <w:szCs w:val="17"/>
                <w:color w:val="0000FF"/>
              </w:rPr>
              <w:t xml:space="preserve">PAA </w:t>
            </w:r>
            <w:r>
              <w:rPr>
                <w:rFonts w:ascii="Arial" w:cs="Arial" w:eastAsia="Arial" w:hAnsi="Arial"/>
                <w:sz w:val="20"/>
                <w:szCs w:val="20"/>
                <w:color w:val="000000"/>
              </w:rPr>
              <w:t>]</w:t>
            </w:r>
          </w:p>
        </w:tc>
        <w:tc>
          <w:tcPr>
            <w:tcW w:w="52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920" w:type="dxa"/>
            <w:vAlign w:val="bottom"/>
            <w:gridSpan w:val="3"/>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2"/>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5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5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vMerge w:val="continue"/>
          </w:tcPr>
          <w:p>
            <w:pPr>
              <w:spacing w:after="0"/>
              <w:rPr>
                <w:sz w:val="7"/>
                <w:szCs w:val="7"/>
                <w:color w:val="auto"/>
              </w:rPr>
            </w:pP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2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292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CEO of subsidiary - PMC</w:t>
            </w:r>
          </w:p>
        </w:tc>
        <w:tc>
          <w:tcPr>
            <w:tcW w:w="0" w:type="dxa"/>
            <w:vAlign w:val="bottom"/>
          </w:tcPr>
          <w:p>
            <w:pPr>
              <w:spacing w:after="0"/>
              <w:rPr>
                <w:sz w:val="1"/>
                <w:szCs w:val="1"/>
                <w:color w:val="auto"/>
              </w:rPr>
            </w:pPr>
          </w:p>
        </w:tc>
      </w:tr>
      <w:tr>
        <w:trPr>
          <w:trHeight w:val="111"/>
        </w:trPr>
        <w:tc>
          <w:tcPr>
            <w:tcW w:w="3700" w:type="dxa"/>
            <w:vAlign w:val="bottom"/>
            <w:gridSpan w:val="3"/>
            <w:vMerge w:val="restart"/>
          </w:tcPr>
          <w:p>
            <w:pPr>
              <w:ind w:left="60"/>
              <w:spacing w:after="0"/>
              <w:rPr>
                <w:sz w:val="20"/>
                <w:szCs w:val="20"/>
                <w:color w:val="auto"/>
              </w:rPr>
            </w:pPr>
            <w:r>
              <w:rPr>
                <w:rFonts w:ascii="Arial" w:cs="Arial" w:eastAsia="Arial" w:hAnsi="Arial"/>
                <w:sz w:val="17"/>
                <w:szCs w:val="17"/>
                <w:color w:val="0000FF"/>
              </w:rPr>
              <w:t>11/15/2016</w:t>
            </w: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7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35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44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24"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8"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306" w:lineRule="exact"/>
        <w:rPr>
          <w:sz w:val="24"/>
          <w:szCs w:val="24"/>
          <w:color w:val="auto"/>
        </w:rPr>
      </w:pPr>
    </w:p>
    <w:p>
      <w:pPr>
        <w:sectPr>
          <w:pgSz w:w="11900" w:h="16838" w:orient="portrait"/>
          <w:cols w:equalWidth="0" w:num="2">
            <w:col w:w="3920" w:space="80"/>
            <w:col w:w="7520"/>
          </w:cols>
          <w:pgMar w:left="240" w:top="223"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8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1000" w:type="dxa"/>
            <w:vAlign w:val="bottom"/>
          </w:tcPr>
          <w:p>
            <w:pPr>
              <w:spacing w:after="0"/>
              <w:rPr>
                <w:sz w:val="6"/>
                <w:szCs w:val="6"/>
                <w:color w:val="auto"/>
              </w:rPr>
            </w:pPr>
          </w:p>
        </w:tc>
        <w:tc>
          <w:tcPr>
            <w:tcW w:w="840" w:type="dxa"/>
            <w:vAlign w:val="bottom"/>
            <w:vMerge w:val="restart"/>
          </w:tcPr>
          <w:p>
            <w:pPr>
              <w:ind w:left="100"/>
              <w:spacing w:after="0" w:line="132"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2"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Derivative</w:t>
            </w:r>
          </w:p>
        </w:tc>
        <w:tc>
          <w:tcPr>
            <w:tcW w:w="240" w:type="dxa"/>
            <w:vAlign w:val="bottom"/>
          </w:tcPr>
          <w:p>
            <w:pPr>
              <w:spacing w:after="0"/>
              <w:rPr>
                <w:sz w:val="11"/>
                <w:szCs w:val="11"/>
                <w:color w:val="auto"/>
              </w:rPr>
            </w:pPr>
          </w:p>
        </w:tc>
        <w:tc>
          <w:tcPr>
            <w:tcW w:w="15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240" w:type="dxa"/>
            <w:vAlign w:val="bottom"/>
          </w:tcPr>
          <w:p>
            <w:pPr>
              <w:spacing w:after="0"/>
              <w:rPr>
                <w:sz w:val="11"/>
                <w:szCs w:val="11"/>
                <w:color w:val="auto"/>
              </w:rPr>
            </w:pPr>
          </w:p>
        </w:tc>
        <w:tc>
          <w:tcPr>
            <w:tcW w:w="15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8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8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8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00" w:type="dxa"/>
            <w:vAlign w:val="bottom"/>
          </w:tcPr>
          <w:p>
            <w:pPr>
              <w:ind w:left="60"/>
              <w:spacing w:after="0"/>
              <w:rPr>
                <w:sz w:val="20"/>
                <w:szCs w:val="20"/>
                <w:color w:val="auto"/>
              </w:rPr>
            </w:pPr>
            <w:r>
              <w:rPr>
                <w:rFonts w:ascii="Arial" w:cs="Arial" w:eastAsia="Arial" w:hAnsi="Arial"/>
                <w:sz w:val="13"/>
                <w:szCs w:val="13"/>
                <w:color w:val="0000FF"/>
              </w:rPr>
              <w:t>Units in</w:t>
            </w:r>
          </w:p>
        </w:tc>
        <w:tc>
          <w:tcPr>
            <w:tcW w:w="80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00" w:type="dxa"/>
            <w:vAlign w:val="bottom"/>
          </w:tcPr>
          <w:p>
            <w:pPr>
              <w:jc w:val="right"/>
              <w:ind w:right="198"/>
              <w:spacing w:after="0"/>
              <w:rPr>
                <w:sz w:val="20"/>
                <w:szCs w:val="20"/>
                <w:color w:val="auto"/>
              </w:rPr>
            </w:pPr>
            <w:r>
              <w:rPr>
                <w:rFonts w:ascii="Arial" w:cs="Arial" w:eastAsia="Arial" w:hAnsi="Arial"/>
                <w:sz w:val="13"/>
                <w:szCs w:val="13"/>
                <w:color w:val="0000FF"/>
              </w:rPr>
              <w:t>11/15/2016</w:t>
            </w:r>
          </w:p>
        </w:tc>
        <w:tc>
          <w:tcPr>
            <w:tcW w:w="1100" w:type="dxa"/>
            <w:vAlign w:val="bottom"/>
          </w:tcPr>
          <w:p>
            <w:pPr>
              <w:spacing w:after="0"/>
              <w:rPr>
                <w:sz w:val="17"/>
                <w:szCs w:val="17"/>
                <w:color w:val="auto"/>
              </w:rPr>
            </w:pPr>
          </w:p>
        </w:tc>
        <w:tc>
          <w:tcPr>
            <w:tcW w:w="820" w:type="dxa"/>
            <w:vAlign w:val="bottom"/>
          </w:tcPr>
          <w:p>
            <w:pPr>
              <w:ind w:left="60"/>
              <w:spacing w:after="0" w:line="205" w:lineRule="exact"/>
              <w:rPr>
                <w:sz w:val="20"/>
                <w:szCs w:val="20"/>
                <w:color w:val="auto"/>
              </w:rPr>
            </w:pPr>
            <w:r>
              <w:rPr>
                <w:rFonts w:ascii="Arial" w:cs="Arial" w:eastAsia="Arial" w:hAnsi="Arial"/>
                <w:sz w:val="23"/>
                <w:szCs w:val="23"/>
                <w:color w:val="0000FF"/>
                <w:vertAlign w:val="subscript"/>
              </w:rPr>
              <w:t>J</w:t>
            </w:r>
            <w:r>
              <w:rPr>
                <w:rFonts w:ascii="Arial" w:cs="Arial" w:eastAsia="Arial" w:hAnsi="Arial"/>
                <w:sz w:val="10"/>
                <w:szCs w:val="10"/>
                <w:color w:val="008000"/>
              </w:rPr>
              <w:t>(1)(2)</w:t>
            </w:r>
          </w:p>
        </w:tc>
        <w:tc>
          <w:tcPr>
            <w:tcW w:w="640" w:type="dxa"/>
            <w:vAlign w:val="bottom"/>
          </w:tcPr>
          <w:p>
            <w:pPr>
              <w:ind w:left="100"/>
              <w:spacing w:after="0"/>
              <w:rPr>
                <w:sz w:val="20"/>
                <w:szCs w:val="20"/>
                <w:color w:val="auto"/>
              </w:rPr>
            </w:pPr>
            <w:r>
              <w:rPr>
                <w:rFonts w:ascii="Arial" w:cs="Arial" w:eastAsia="Arial" w:hAnsi="Arial"/>
                <w:sz w:val="13"/>
                <w:szCs w:val="13"/>
                <w:color w:val="0000FF"/>
              </w:rPr>
              <w:t>725,116</w:t>
            </w:r>
          </w:p>
        </w:tc>
        <w:tc>
          <w:tcPr>
            <w:tcW w:w="240" w:type="dxa"/>
            <w:vAlign w:val="bottom"/>
          </w:tcPr>
          <w:p>
            <w:pPr>
              <w:spacing w:after="0"/>
              <w:rPr>
                <w:sz w:val="17"/>
                <w:szCs w:val="17"/>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(2)</w:t>
            </w:r>
          </w:p>
        </w:tc>
        <w:tc>
          <w:tcPr>
            <w:tcW w:w="72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682,575</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jc w:val="right"/>
              <w:ind w:right="200"/>
              <w:spacing w:after="0"/>
              <w:rPr>
                <w:sz w:val="20"/>
                <w:szCs w:val="20"/>
                <w:color w:val="auto"/>
              </w:rPr>
            </w:pPr>
            <w:r>
              <w:rPr>
                <w:rFonts w:ascii="Arial" w:cs="Arial" w:eastAsia="Arial" w:hAnsi="Arial"/>
                <w:sz w:val="13"/>
                <w:szCs w:val="13"/>
                <w:color w:val="0000FF"/>
              </w:rPr>
              <w:t>725,116</w:t>
            </w:r>
          </w:p>
        </w:tc>
        <w:tc>
          <w:tcPr>
            <w:tcW w:w="74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800" w:type="dxa"/>
            <w:vAlign w:val="bottom"/>
          </w:tcPr>
          <w:p>
            <w:pPr>
              <w:ind w:left="60"/>
              <w:spacing w:after="0" w:line="83" w:lineRule="exact"/>
              <w:rPr>
                <w:sz w:val="20"/>
                <w:szCs w:val="20"/>
                <w:color w:val="auto"/>
              </w:rPr>
            </w:pPr>
            <w:r>
              <w:rPr>
                <w:rFonts w:ascii="Arial" w:cs="Arial" w:eastAsia="Arial" w:hAnsi="Arial"/>
                <w:sz w:val="9"/>
                <w:szCs w:val="9"/>
                <w:color w:val="0000FF"/>
              </w:rPr>
              <w:t>Plains AAP,</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ind w:left="180"/>
              <w:spacing w:after="0" w:line="83" w:lineRule="exact"/>
              <w:rPr>
                <w:sz w:val="20"/>
                <w:szCs w:val="20"/>
                <w:color w:val="auto"/>
              </w:rPr>
            </w:pPr>
            <w:r>
              <w:rPr>
                <w:rFonts w:ascii="Arial" w:cs="Arial" w:eastAsia="Arial" w:hAnsi="Arial"/>
                <w:sz w:val="9"/>
                <w:szCs w:val="9"/>
                <w:color w:val="0000FF"/>
              </w:rPr>
              <w:t>Units</w:t>
            </w: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800" w:type="dxa"/>
            <w:vAlign w:val="bottom"/>
          </w:tcPr>
          <w:p>
            <w:pPr>
              <w:ind w:left="60"/>
              <w:spacing w:after="0"/>
              <w:rPr>
                <w:sz w:val="20"/>
                <w:szCs w:val="20"/>
                <w:color w:val="auto"/>
              </w:rPr>
            </w:pPr>
            <w:r>
              <w:rPr>
                <w:rFonts w:ascii="Arial" w:cs="Arial" w:eastAsia="Arial" w:hAnsi="Arial"/>
                <w:sz w:val="13"/>
                <w:szCs w:val="13"/>
                <w:color w:val="0000FF"/>
              </w:rPr>
              <w:t>L.P.</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8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6"/>
        </w:trPr>
        <w:tc>
          <w:tcPr>
            <w:tcW w:w="800" w:type="dxa"/>
            <w:vAlign w:val="bottom"/>
            <w:vMerge w:val="restart"/>
          </w:tcPr>
          <w:p>
            <w:pPr>
              <w:ind w:left="60"/>
              <w:spacing w:after="0"/>
              <w:rPr>
                <w:sz w:val="20"/>
                <w:szCs w:val="20"/>
                <w:color w:val="auto"/>
              </w:rPr>
            </w:pPr>
            <w:r>
              <w:rPr>
                <w:rFonts w:ascii="Arial" w:cs="Arial" w:eastAsia="Arial" w:hAnsi="Arial"/>
                <w:sz w:val="13"/>
                <w:szCs w:val="13"/>
                <w:color w:val="0000FF"/>
                <w:w w:val="93"/>
              </w:rPr>
              <w:t>Shares/Class</w:t>
            </w: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20" w:type="dxa"/>
            <w:vAlign w:val="bottom"/>
            <w:vMerge w:val="restart"/>
          </w:tcPr>
          <w:p>
            <w:pPr>
              <w:ind w:left="60"/>
              <w:spacing w:after="0" w:line="205" w:lineRule="exact"/>
              <w:rPr>
                <w:sz w:val="20"/>
                <w:szCs w:val="20"/>
                <w:color w:val="auto"/>
              </w:rPr>
            </w:pPr>
            <w:r>
              <w:rPr>
                <w:rFonts w:ascii="Arial" w:cs="Arial" w:eastAsia="Arial" w:hAnsi="Arial"/>
                <w:sz w:val="23"/>
                <w:szCs w:val="23"/>
                <w:color w:val="0000FF"/>
                <w:vertAlign w:val="subscript"/>
              </w:rPr>
              <w:t>J</w:t>
            </w:r>
            <w:r>
              <w:rPr>
                <w:rFonts w:ascii="Arial" w:cs="Arial" w:eastAsia="Arial" w:hAnsi="Arial"/>
                <w:sz w:val="10"/>
                <w:szCs w:val="10"/>
                <w:color w:val="008000"/>
              </w:rPr>
              <w:t>(4)(5)</w:t>
            </w: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500,248</w:t>
            </w:r>
          </w:p>
        </w:tc>
        <w:tc>
          <w:tcPr>
            <w:tcW w:w="720" w:type="dxa"/>
            <w:vAlign w:val="bottom"/>
          </w:tcPr>
          <w:p>
            <w:pPr>
              <w:spacing w:after="0"/>
              <w:rPr>
                <w:sz w:val="5"/>
                <w:szCs w:val="5"/>
                <w:color w:val="auto"/>
              </w:rPr>
            </w:pPr>
          </w:p>
        </w:tc>
        <w:tc>
          <w:tcPr>
            <w:tcW w:w="940" w:type="dxa"/>
            <w:vAlign w:val="bottom"/>
            <w:vMerge w:val="restart"/>
          </w:tcPr>
          <w:p>
            <w:pPr>
              <w:jc w:val="center"/>
              <w:ind w:right="60"/>
              <w:spacing w:after="0" w:line="206" w:lineRule="exact"/>
              <w:rPr>
                <w:sz w:val="20"/>
                <w:szCs w:val="20"/>
                <w:color w:val="auto"/>
              </w:rPr>
            </w:pPr>
            <w:r>
              <w:rPr>
                <w:rFonts w:ascii="Arial" w:cs="Arial" w:eastAsia="Arial" w:hAnsi="Arial"/>
                <w:sz w:val="13"/>
                <w:szCs w:val="13"/>
                <w:color w:val="0000FF"/>
                <w:w w:val="96"/>
              </w:rPr>
              <w:t>500,248</w:t>
            </w:r>
            <w:r>
              <w:rPr>
                <w:rFonts w:ascii="Arial" w:cs="Arial" w:eastAsia="Arial" w:hAnsi="Arial"/>
                <w:sz w:val="21"/>
                <w:szCs w:val="21"/>
                <w:color w:val="008000"/>
                <w:w w:val="96"/>
                <w:vertAlign w:val="superscript"/>
              </w:rPr>
              <w:t>(4)(5)</w:t>
            </w:r>
          </w:p>
        </w:tc>
        <w:tc>
          <w:tcPr>
            <w:tcW w:w="7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800" w:type="dxa"/>
            <w:vAlign w:val="bottom"/>
            <w:vMerge w:val="continue"/>
          </w:tcPr>
          <w:p>
            <w:pPr>
              <w:spacing w:after="0"/>
              <w:rPr>
                <w:sz w:val="12"/>
                <w:szCs w:val="12"/>
                <w:color w:val="auto"/>
              </w:rPr>
            </w:pPr>
          </w:p>
        </w:tc>
        <w:tc>
          <w:tcPr>
            <w:tcW w:w="800" w:type="dxa"/>
            <w:vAlign w:val="bottom"/>
          </w:tcPr>
          <w:p>
            <w:pPr>
              <w:ind w:left="340"/>
              <w:spacing w:after="0" w:line="140"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00" w:type="dxa"/>
            <w:vAlign w:val="bottom"/>
          </w:tcPr>
          <w:p>
            <w:pPr>
              <w:jc w:val="right"/>
              <w:ind w:right="198"/>
              <w:spacing w:after="0" w:line="140" w:lineRule="exact"/>
              <w:rPr>
                <w:sz w:val="20"/>
                <w:szCs w:val="20"/>
                <w:color w:val="auto"/>
              </w:rPr>
            </w:pPr>
            <w:r>
              <w:rPr>
                <w:rFonts w:ascii="Arial" w:cs="Arial" w:eastAsia="Arial" w:hAnsi="Arial"/>
                <w:sz w:val="13"/>
                <w:szCs w:val="13"/>
                <w:color w:val="0000FF"/>
              </w:rPr>
              <w:t>11/15/2016</w:t>
            </w:r>
          </w:p>
        </w:tc>
        <w:tc>
          <w:tcPr>
            <w:tcW w:w="1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640" w:type="dxa"/>
            <w:vAlign w:val="bottom"/>
          </w:tcPr>
          <w:p>
            <w:pPr>
              <w:ind w:left="80"/>
              <w:spacing w:after="0" w:line="140" w:lineRule="exact"/>
              <w:rPr>
                <w:sz w:val="20"/>
                <w:szCs w:val="20"/>
                <w:color w:val="auto"/>
              </w:rPr>
            </w:pPr>
            <w:r>
              <w:rPr>
                <w:rFonts w:ascii="Arial" w:cs="Arial" w:eastAsia="Arial" w:hAnsi="Arial"/>
                <w:sz w:val="13"/>
                <w:szCs w:val="13"/>
                <w:color w:val="0000FF"/>
              </w:rPr>
              <w:t>500,248</w:t>
            </w: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720" w:type="dxa"/>
            <w:vAlign w:val="bottom"/>
          </w:tcPr>
          <w:p>
            <w:pPr>
              <w:ind w:left="300"/>
              <w:spacing w:after="0" w:line="140"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continue"/>
          </w:tcPr>
          <w:p>
            <w:pPr>
              <w:spacing w:after="0"/>
              <w:rPr>
                <w:sz w:val="12"/>
                <w:szCs w:val="12"/>
                <w:color w:val="auto"/>
              </w:rPr>
            </w:pPr>
          </w:p>
        </w:tc>
        <w:tc>
          <w:tcPr>
            <w:tcW w:w="740" w:type="dxa"/>
            <w:vAlign w:val="bottom"/>
          </w:tcPr>
          <w:p>
            <w:pPr>
              <w:ind w:left="360"/>
              <w:spacing w:after="0" w:line="140" w:lineRule="exact"/>
              <w:rPr>
                <w:sz w:val="20"/>
                <w:szCs w:val="20"/>
                <w:color w:val="auto"/>
              </w:rPr>
            </w:pPr>
            <w:r>
              <w:rPr>
                <w:rFonts w:ascii="Arial" w:cs="Arial" w:eastAsia="Arial" w:hAnsi="Arial"/>
                <w:sz w:val="13"/>
                <w:szCs w:val="13"/>
                <w:color w:val="0000FF"/>
              </w:rPr>
              <w:t>I</w:t>
            </w:r>
          </w:p>
        </w:tc>
        <w:tc>
          <w:tcPr>
            <w:tcW w:w="760" w:type="dxa"/>
            <w:vAlign w:val="bottom"/>
          </w:tcPr>
          <w:p>
            <w:pPr>
              <w:ind w:left="80"/>
              <w:spacing w:after="0" w:line="140" w:lineRule="exact"/>
              <w:rPr>
                <w:sz w:val="20"/>
                <w:szCs w:val="20"/>
                <w:color w:val="auto"/>
              </w:rPr>
            </w:pPr>
            <w:r>
              <w:rPr>
                <w:rFonts w:ascii="Arial" w:cs="Arial" w:eastAsia="Arial" w:hAnsi="Arial"/>
                <w:sz w:val="13"/>
                <w:szCs w:val="13"/>
                <w:color w:val="0000FF"/>
              </w:rPr>
              <w:t>footnote</w:t>
            </w:r>
          </w:p>
        </w:tc>
        <w:tc>
          <w:tcPr>
            <w:tcW w:w="0" w:type="dxa"/>
            <w:vAlign w:val="bottom"/>
          </w:tcPr>
          <w:p>
            <w:pPr>
              <w:spacing w:after="0"/>
              <w:rPr>
                <w:sz w:val="1"/>
                <w:szCs w:val="1"/>
                <w:color w:val="auto"/>
              </w:rPr>
            </w:pPr>
          </w:p>
        </w:tc>
      </w:tr>
      <w:tr>
        <w:trPr>
          <w:trHeight w:val="83"/>
        </w:trPr>
        <w:tc>
          <w:tcPr>
            <w:tcW w:w="800" w:type="dxa"/>
            <w:vAlign w:val="bottom"/>
          </w:tcPr>
          <w:p>
            <w:pPr>
              <w:ind w:left="60"/>
              <w:spacing w:after="0" w:line="83" w:lineRule="exact"/>
              <w:rPr>
                <w:sz w:val="20"/>
                <w:szCs w:val="20"/>
                <w:color w:val="auto"/>
              </w:rPr>
            </w:pPr>
            <w:r>
              <w:rPr>
                <w:rFonts w:ascii="Arial" w:cs="Arial" w:eastAsia="Arial" w:hAnsi="Arial"/>
                <w:sz w:val="9"/>
                <w:szCs w:val="9"/>
                <w:color w:val="0000FF"/>
              </w:rPr>
              <w:t>A Units/GP</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ind w:left="180"/>
              <w:spacing w:after="0" w:line="83" w:lineRule="exact"/>
              <w:rPr>
                <w:sz w:val="20"/>
                <w:szCs w:val="20"/>
                <w:color w:val="auto"/>
              </w:rPr>
            </w:pPr>
            <w:r>
              <w:rPr>
                <w:rFonts w:ascii="Arial" w:cs="Arial" w:eastAsia="Arial" w:hAnsi="Arial"/>
                <w:sz w:val="9"/>
                <w:szCs w:val="9"/>
                <w:color w:val="0000FF"/>
              </w:rPr>
              <w:t>Units</w:t>
            </w: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(4)(5)</w:t>
            </w:r>
          </w:p>
        </w:tc>
        <w:tc>
          <w:tcPr>
            <w:tcW w:w="0" w:type="dxa"/>
            <w:vAlign w:val="bottom"/>
          </w:tcPr>
          <w:p>
            <w:pPr>
              <w:spacing w:after="0"/>
              <w:rPr>
                <w:sz w:val="1"/>
                <w:szCs w:val="1"/>
                <w:color w:val="auto"/>
              </w:rPr>
            </w:pPr>
          </w:p>
        </w:tc>
      </w:tr>
      <w:tr>
        <w:trPr>
          <w:trHeight w:val="86"/>
        </w:trPr>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8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180" w:firstLine="4"/>
        <w:spacing w:after="0" w:line="243"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limited partnership agreement of Plains AAP, L.P. ("AAP"), after December 31, 2015, a holder of vested Class B Units of AAP (the "Class B Units") may convert, from time to time, such Class B Units into an equal number of Class A Units of AAP (the "Class A Units") and Class B shares (the "Class B shares") of Plains GP Holdings, L.P. ("PAGP"), at a conversion ratio of approximately 0.941 Class A Units and Class B shares for each Class B Unit.</w:t>
      </w:r>
    </w:p>
    <w:p>
      <w:pPr>
        <w:spacing w:after="0" w:line="30" w:lineRule="exact"/>
        <w:rPr>
          <w:rFonts w:ascii="Arial" w:cs="Arial" w:eastAsia="Arial" w:hAnsi="Arial"/>
          <w:sz w:val="13"/>
          <w:szCs w:val="13"/>
          <w:color w:val="008000"/>
        </w:rPr>
      </w:pPr>
    </w:p>
    <w:p>
      <w:pPr>
        <w:ind w:left="40" w:right="200" w:firstLine="4"/>
        <w:spacing w:after="0" w:line="262" w:lineRule="auto"/>
        <w:tabs>
          <w:tab w:leader="none" w:pos="17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limited partnership agreement of AAP was amended and restated on November 15, 2016 to provide that, among other things, each limited partner of AAP holding Class A Units, including the Reporting Person following conversion, will have the right, subject to certain limitations, to redeem its Class A Units for common units ("Common Units") of Plains All American Pipeline, L.P. (the "Issuer") on a one-for-one basis, by delivering such Class A Units to Plains AAP along with the associated Class B Shares and GP Units (the "GP Units") in PAA GP Holdings LLC (if applicable), to PAGP (the "Redemption Right"). Pursuant to the limited partnership agreement of AAP, prior to November 15, 2017, the Reporting Person may not exercise his Redemption Right if such exercise would result in the redemption (taken together with any previous redemptions by the Reporting Person) of more than 78% of the Class A Units held by the Reporting Person as of November 15, 2016.</w:t>
      </w:r>
    </w:p>
    <w:p>
      <w:pPr>
        <w:spacing w:after="0" w:line="20" w:lineRule="exact"/>
        <w:rPr>
          <w:rFonts w:ascii="Arial" w:cs="Arial" w:eastAsia="Arial" w:hAnsi="Arial"/>
          <w:sz w:val="12"/>
          <w:szCs w:val="12"/>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limited partnership agreement of AAP, the Redemption Right does not expire.</w:t>
      </w:r>
    </w:p>
    <w:p>
      <w:pPr>
        <w:spacing w:after="0" w:line="47" w:lineRule="exact"/>
        <w:rPr>
          <w:rFonts w:ascii="Arial" w:cs="Arial" w:eastAsia="Arial" w:hAnsi="Arial"/>
          <w:sz w:val="13"/>
          <w:szCs w:val="13"/>
          <w:color w:val="008000"/>
        </w:rPr>
      </w:pPr>
    </w:p>
    <w:p>
      <w:pPr>
        <w:jc w:val="both"/>
        <w:ind w:left="40" w:right="360" w:firstLine="4"/>
        <w:spacing w:after="0" w:line="243"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PAA Management, L.P. ("PAA Management") is also a limited partner of AAP and may from time to time exercise the Redemption Right with respect to its Class A Units. The Reporting Person is a member of PAA Management LLC, the general partner of PAA Management, and a limited partner of PAA Management. Therefore he may be deemed to be a beneficial owner of the interests held by PAA Management. The Reporting Person disclaims beneficial ownership of the securities held by PAA Management, except to the extent of his pecuniary interest therein.</w:t>
      </w:r>
    </w:p>
    <w:p>
      <w:pPr>
        <w:spacing w:after="0" w:line="30" w:lineRule="exact"/>
        <w:rPr>
          <w:rFonts w:ascii="Arial" w:cs="Arial" w:eastAsia="Arial" w:hAnsi="Arial"/>
          <w:sz w:val="13"/>
          <w:szCs w:val="13"/>
          <w:color w:val="008000"/>
        </w:rPr>
      </w:pPr>
    </w:p>
    <w:p>
      <w:pPr>
        <w:ind w:left="40" w:right="200" w:firstLine="4"/>
        <w:spacing w:after="0" w:line="243"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limited partnership agreement of AAP, prior to November 15, 2017, PAA Management may not exercise its Redemption Right with respect to Class A Units attributable to the interest of the Reporting Person if such exercise would result in the redemption (taken together with any previous redemptions attributable to the interest of the Reporting Person) of more than 78% of the Class A Units attributable to the Reporting Person through PAA Management as of November 15, 2016.</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440" w:type="dxa"/>
            <w:vAlign w:val="bottom"/>
          </w:tcPr>
          <w:p>
            <w:pPr>
              <w:spacing w:after="0"/>
              <w:rPr>
                <w:sz w:val="20"/>
                <w:szCs w:val="20"/>
                <w:color w:val="auto"/>
              </w:rPr>
            </w:pPr>
            <w:r>
              <w:rPr>
                <w:rFonts w:ascii="Arial" w:cs="Arial" w:eastAsia="Arial" w:hAnsi="Arial"/>
                <w:sz w:val="17"/>
                <w:szCs w:val="17"/>
                <w:color w:val="0000FF"/>
                <w:w w:val="92"/>
              </w:rPr>
              <w:t>/s/ W. David Duckett</w:t>
            </w:r>
          </w:p>
        </w:tc>
        <w:tc>
          <w:tcPr>
            <w:tcW w:w="660" w:type="dxa"/>
            <w:vAlign w:val="bottom"/>
          </w:tcPr>
          <w:p>
            <w:pPr>
              <w:spacing w:after="0"/>
              <w:rPr>
                <w:sz w:val="16"/>
                <w:szCs w:val="16"/>
                <w:color w:val="auto"/>
              </w:rPr>
            </w:pPr>
          </w:p>
        </w:tc>
        <w:tc>
          <w:tcPr>
            <w:tcW w:w="960" w:type="dxa"/>
            <w:vAlign w:val="bottom"/>
            <w:gridSpan w:val="2"/>
          </w:tcPr>
          <w:p>
            <w:pPr>
              <w:ind w:left="200"/>
              <w:spacing w:after="0"/>
              <w:rPr>
                <w:sz w:val="20"/>
                <w:szCs w:val="20"/>
                <w:color w:val="auto"/>
              </w:rPr>
            </w:pPr>
            <w:r>
              <w:rPr>
                <w:rFonts w:ascii="Arial" w:cs="Arial" w:eastAsia="Arial" w:hAnsi="Arial"/>
                <w:sz w:val="17"/>
                <w:szCs w:val="17"/>
                <w:color w:val="0000FF"/>
                <w:w w:val="86"/>
              </w:rPr>
              <w:t>11/17/2016</w:t>
            </w:r>
          </w:p>
        </w:tc>
      </w:tr>
      <w:tr>
        <w:trPr>
          <w:trHeight w:val="20"/>
        </w:trPr>
        <w:tc>
          <w:tcPr>
            <w:tcW w:w="14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8"/>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4"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9542"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2020-01-19T10:07:10Z</dcterms:created>
  <dcterms:modified xsi:type="dcterms:W3CDTF">2020-01-19T10:07:10Z</dcterms:modified>
</cp:coreProperties>
</file>