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May 19, 2015</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40"/>
          </w:cols>
          <w:pgMar w:left="240" w:top="544" w:right="25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00"/>
          </w:cols>
          <w:pgMar w:left="240" w:top="544" w:right="25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right="60" w:firstLine="648"/>
        <w:spacing w:after="0" w:line="293" w:lineRule="auto"/>
        <w:rPr>
          <w:sz w:val="20"/>
          <w:szCs w:val="20"/>
          <w:color w:val="auto"/>
        </w:rPr>
      </w:pPr>
      <w:r>
        <w:rPr>
          <w:rFonts w:ascii="Arial" w:cs="Arial" w:eastAsia="Arial" w:hAnsi="Arial"/>
          <w:sz w:val="16"/>
          <w:szCs w:val="16"/>
          <w:color w:val="auto"/>
        </w:rPr>
        <w:t>On May 19, 2015, Plains All American Pipeline, L.P. (“PAA” or “Plains”) experienced a crude oil release from its 24-inch Las Flores to Gaviota Pipeline (Line 901) in Santa Barbara County, California. The pipeline was transporting crude oil from third party storage tanks located in Las Flores Canyon to Plains’ Gaviota Pump Station. Some of the released oil reached a drainage culvert leading to the Pacific Ocean at the Refugio State Beach and impacted the ocean water and the local shoreline. Plains shut down the pipeline and initiated its emergency response plan. No human injuries have been reported, but there have been reports of impacts to wildlife. The cause of the leak is being investigated and although the exact amount of released oil has not yet been finally determined, Plains currently estimates that the amount of released crude oil could be as high as approximately 2,400 barrels.</w:t>
      </w:r>
    </w:p>
    <w:p>
      <w:pPr>
        <w:spacing w:after="0" w:line="165" w:lineRule="exact"/>
        <w:rPr>
          <w:sz w:val="24"/>
          <w:szCs w:val="24"/>
          <w:color w:val="auto"/>
        </w:rPr>
      </w:pPr>
    </w:p>
    <w:p>
      <w:pPr>
        <w:ind w:firstLine="648"/>
        <w:spacing w:after="0" w:line="297" w:lineRule="auto"/>
        <w:rPr>
          <w:sz w:val="20"/>
          <w:szCs w:val="20"/>
          <w:color w:val="auto"/>
        </w:rPr>
      </w:pPr>
      <w:r>
        <w:rPr>
          <w:rFonts w:ascii="Arial" w:cs="Arial" w:eastAsia="Arial" w:hAnsi="Arial"/>
          <w:sz w:val="16"/>
          <w:szCs w:val="16"/>
          <w:color w:val="auto"/>
        </w:rPr>
        <w:t>PAA is working closely with local, state and federal government agencies and first responders to clean up and remediate the affected areas. On May 21, 2015, Plains received a corrective action order from the United States Department of Transportation’s Pipeline and Hazardous Materials Safety Administration (“PHMSA”) requiring Plains to shut down, purge, review, remediate and test the pipeline. Among other requirements, the order also obligates Plains to conduct a root cause failure analysis and present remedial work plans and restart plans to PHMSA prior to returning the line to service. PAA fully intends to comply with the PHMSA order and to cooperate with any other governmental investigations relating to or arising out of the release.</w:t>
      </w:r>
    </w:p>
    <w:p>
      <w:pPr>
        <w:spacing w:after="0" w:line="158" w:lineRule="exact"/>
        <w:rPr>
          <w:sz w:val="24"/>
          <w:szCs w:val="24"/>
          <w:color w:val="auto"/>
        </w:rPr>
      </w:pPr>
    </w:p>
    <w:p>
      <w:pPr>
        <w:ind w:right="20" w:firstLine="648"/>
        <w:spacing w:after="0" w:line="264" w:lineRule="auto"/>
        <w:rPr>
          <w:sz w:val="20"/>
          <w:szCs w:val="20"/>
          <w:color w:val="auto"/>
        </w:rPr>
      </w:pPr>
      <w:r>
        <w:rPr>
          <w:rFonts w:ascii="Arial" w:cs="Arial" w:eastAsia="Arial" w:hAnsi="Arial"/>
          <w:sz w:val="18"/>
          <w:szCs w:val="18"/>
          <w:color w:val="auto"/>
        </w:rPr>
        <w:t>At this time, the costs to be incurred by Plains in connection with this incident, and the extent of any civil, regulatory or criminal proceedings that may be brought, are not reasonably capable of estimation or determination. PAA maintains insurance coverage for these types of releases and we expect such coverages will respond subject to the applicable terms and deductibles.</w:t>
      </w:r>
    </w:p>
    <w:p>
      <w:pPr>
        <w:spacing w:after="0" w:line="181" w:lineRule="exact"/>
        <w:rPr>
          <w:sz w:val="24"/>
          <w:szCs w:val="24"/>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Interested parties may visit www.plainsline901response.com for updates from Plains regarding the Line 901 release. Updates on the efforts of the Unified Command to investigate and remedy the release are available by visiting www.plainsupdate.com. Both links are also accessible through the Plains website at www.plainsallamerican.com.</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ectPr>
          <w:pgSz w:w="11900" w:h="16838" w:orient="portrait"/>
          <w:cols w:equalWidth="0" w:num="1">
            <w:col w:w="11400"/>
          </w:cols>
          <w:pgMar w:left="240" w:top="544" w:right="259" w:bottom="0" w:gutter="0" w:footer="0" w:header="0"/>
          <w:type w:val="continuous"/>
        </w:sectPr>
      </w:pPr>
    </w:p>
    <w:bookmarkStart w:id="1" w:name="page2"/>
    <w:bookmarkEnd w:id="1"/>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860" w:type="dxa"/>
            <w:vAlign w:val="bottom"/>
            <w:gridSpan w:val="3"/>
          </w:tcPr>
          <w:p>
            <w:pPr>
              <w:ind w:left="222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May 26, 2015</w:t>
            </w:r>
          </w:p>
        </w:tc>
        <w:tc>
          <w:tcPr>
            <w:tcW w:w="2960" w:type="dxa"/>
            <w:vAlign w:val="bottom"/>
          </w:tcPr>
          <w:p>
            <w:pPr>
              <w:ind w:left="2220"/>
              <w:spacing w:after="0"/>
              <w:rPr>
                <w:sz w:val="20"/>
                <w:szCs w:val="20"/>
                <w:color w:val="auto"/>
              </w:rPr>
            </w:pPr>
            <w:r>
              <w:rPr>
                <w:rFonts w:ascii="Arial" w:cs="Arial" w:eastAsia="Arial" w:hAnsi="Arial"/>
                <w:sz w:val="18"/>
                <w:szCs w:val="18"/>
                <w:color w:val="auto"/>
              </w:rPr>
              <w:t>By:</w:t>
            </w:r>
          </w:p>
        </w:tc>
        <w:tc>
          <w:tcPr>
            <w:tcW w:w="4900" w:type="dxa"/>
            <w:vAlign w:val="bottom"/>
            <w:gridSpan w:val="2"/>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3560" w:type="dxa"/>
            <w:vAlign w:val="bottom"/>
          </w:tcPr>
          <w:p>
            <w:pPr>
              <w:spacing w:after="0"/>
              <w:rPr>
                <w:sz w:val="24"/>
                <w:szCs w:val="24"/>
                <w:color w:val="auto"/>
              </w:rPr>
            </w:pPr>
          </w:p>
        </w:tc>
        <w:tc>
          <w:tcPr>
            <w:tcW w:w="2960" w:type="dxa"/>
            <w:vAlign w:val="bottom"/>
          </w:tcPr>
          <w:p>
            <w:pPr>
              <w:ind w:left="2220"/>
              <w:spacing w:after="0"/>
              <w:rPr>
                <w:sz w:val="20"/>
                <w:szCs w:val="20"/>
                <w:color w:val="auto"/>
              </w:rPr>
            </w:pPr>
            <w:r>
              <w:rPr>
                <w:rFonts w:ascii="Arial" w:cs="Arial" w:eastAsia="Arial" w:hAnsi="Arial"/>
                <w:sz w:val="18"/>
                <w:szCs w:val="18"/>
                <w:color w:val="auto"/>
              </w:rPr>
              <w:t>By:</w:t>
            </w:r>
          </w:p>
        </w:tc>
        <w:tc>
          <w:tcPr>
            <w:tcW w:w="4900" w:type="dxa"/>
            <w:vAlign w:val="bottom"/>
            <w:gridSpan w:val="2"/>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r>
      <w:tr>
        <w:trPr>
          <w:trHeight w:val="432"/>
        </w:trPr>
        <w:tc>
          <w:tcPr>
            <w:tcW w:w="3560" w:type="dxa"/>
            <w:vAlign w:val="bottom"/>
          </w:tcPr>
          <w:p>
            <w:pPr>
              <w:spacing w:after="0"/>
              <w:rPr>
                <w:sz w:val="24"/>
                <w:szCs w:val="24"/>
                <w:color w:val="auto"/>
              </w:rPr>
            </w:pPr>
          </w:p>
        </w:tc>
        <w:tc>
          <w:tcPr>
            <w:tcW w:w="2960" w:type="dxa"/>
            <w:vAlign w:val="bottom"/>
          </w:tcPr>
          <w:p>
            <w:pPr>
              <w:ind w:left="2220"/>
              <w:spacing w:after="0"/>
              <w:rPr>
                <w:sz w:val="20"/>
                <w:szCs w:val="20"/>
                <w:color w:val="auto"/>
              </w:rPr>
            </w:pPr>
            <w:r>
              <w:rPr>
                <w:rFonts w:ascii="Arial" w:cs="Arial" w:eastAsia="Arial" w:hAnsi="Arial"/>
                <w:sz w:val="18"/>
                <w:szCs w:val="18"/>
                <w:color w:val="auto"/>
              </w:rPr>
              <w:t>By:</w:t>
            </w:r>
          </w:p>
        </w:tc>
        <w:tc>
          <w:tcPr>
            <w:tcW w:w="4900" w:type="dxa"/>
            <w:vAlign w:val="bottom"/>
            <w:gridSpan w:val="2"/>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648"/>
        </w:trPr>
        <w:tc>
          <w:tcPr>
            <w:tcW w:w="3560" w:type="dxa"/>
            <w:vAlign w:val="bottom"/>
          </w:tcPr>
          <w:p>
            <w:pPr>
              <w:spacing w:after="0"/>
              <w:rPr>
                <w:sz w:val="24"/>
                <w:szCs w:val="24"/>
                <w:color w:val="auto"/>
              </w:rPr>
            </w:pPr>
          </w:p>
        </w:tc>
        <w:tc>
          <w:tcPr>
            <w:tcW w:w="2960" w:type="dxa"/>
            <w:vAlign w:val="bottom"/>
          </w:tcPr>
          <w:p>
            <w:pPr>
              <w:ind w:left="222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20" w:type="dxa"/>
            <w:vAlign w:val="bottom"/>
          </w:tcPr>
          <w:p>
            <w:pPr>
              <w:ind w:left="10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2960" w:type="dxa"/>
            <w:vAlign w:val="bottom"/>
          </w:tcPr>
          <w:p>
            <w:pPr>
              <w:ind w:left="210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010101"/>
            </w:tcBorders>
          </w:tcPr>
          <w:p>
            <w:pPr>
              <w:spacing w:after="0"/>
              <w:rPr>
                <w:sz w:val="11"/>
                <w:szCs w:val="11"/>
                <w:color w:val="auto"/>
              </w:rPr>
            </w:pPr>
          </w:p>
        </w:tc>
        <w:tc>
          <w:tcPr>
            <w:tcW w:w="296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43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2020-01-23T17:07:26Z</dcterms:created>
  <dcterms:modified xsi:type="dcterms:W3CDTF">2020-01-23T17:07:26Z</dcterms:modified>
</cp:coreProperties>
</file>