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06/30/2017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38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3"/>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88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18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9"/>
            <w:vMerge w:val="restart"/>
          </w:tcPr>
          <w:p>
            <w:pPr>
              <w:ind w:left="60"/>
              <w:spacing w:after="0"/>
              <w:rPr>
                <w:sz w:val="20"/>
                <w:szCs w:val="20"/>
                <w:color w:val="auto"/>
              </w:rPr>
            </w:pPr>
            <w:r>
              <w:rPr>
                <w:rFonts w:ascii="Arial" w:cs="Arial" w:eastAsia="Arial" w:hAnsi="Arial"/>
                <w:sz w:val="18"/>
                <w:szCs w:val="18"/>
                <w:color w:val="0000FF"/>
              </w:rPr>
              <w:t>Common Units (Limited Partner Interests)</w:t>
            </w:r>
          </w:p>
        </w:tc>
        <w:tc>
          <w:tcPr>
            <w:tcW w:w="920" w:type="dxa"/>
            <w:vAlign w:val="bottom"/>
            <w:gridSpan w:val="2"/>
            <w:vMerge w:val="restart"/>
          </w:tcPr>
          <w:p>
            <w:pPr>
              <w:jc w:val="right"/>
              <w:ind w:right="58"/>
              <w:spacing w:after="0"/>
              <w:rPr>
                <w:sz w:val="20"/>
                <w:szCs w:val="20"/>
                <w:color w:val="auto"/>
              </w:rPr>
            </w:pPr>
            <w:r>
              <w:rPr>
                <w:rFonts w:ascii="Arial" w:cs="Arial" w:eastAsia="Arial" w:hAnsi="Arial"/>
                <w:sz w:val="18"/>
                <w:szCs w:val="18"/>
                <w:color w:val="0000FF"/>
                <w:w w:val="86"/>
              </w:rPr>
              <w:t>06/30/2017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w w:val="99"/>
              </w:rPr>
              <w:t>959</w:t>
            </w:r>
          </w:p>
        </w:tc>
        <w:tc>
          <w:tcPr>
            <w:tcW w:w="760" w:type="dxa"/>
            <w:vAlign w:val="bottom"/>
            <w:vMerge w:val="restart"/>
          </w:tcPr>
          <w:p>
            <w:pPr>
              <w:ind w:left="42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jc w:val="right"/>
              <w:ind w:right="13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288,280,212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20" w:type="dxa"/>
            <w:vAlign w:val="bottom"/>
            <w:gridSpan w:val="9"/>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3"/>
          </w:tcPr>
          <w:p>
            <w:pPr>
              <w:jc w:val="center"/>
              <w:ind w:left="49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52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4"/>
                <w:szCs w:val="14"/>
                <w:color w:val="auto"/>
                <w:w w:val="94"/>
              </w:rPr>
              <w:t>(Middle)</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880" w:type="dxa"/>
            <w:vAlign w:val="bottom"/>
            <w:gridSpan w:val="2"/>
          </w:tcPr>
          <w:p>
            <w:pPr>
              <w:ind w:left="380"/>
              <w:spacing w:after="0"/>
              <w:rPr>
                <w:sz w:val="20"/>
                <w:szCs w:val="20"/>
                <w:color w:val="auto"/>
              </w:rPr>
            </w:pPr>
            <w:r>
              <w:rPr>
                <w:rFonts w:ascii="Arial" w:cs="Arial" w:eastAsia="Arial" w:hAnsi="Arial"/>
                <w:sz w:val="18"/>
                <w:szCs w:val="18"/>
                <w:color w:val="0000FF"/>
                <w:w w:val="95"/>
              </w:rPr>
              <w:t>77002</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4"/>
                <w:szCs w:val="14"/>
                <w:color w:val="auto"/>
                <w:w w:val="94"/>
              </w:rPr>
              <w:t>(Middle)</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880" w:type="dxa"/>
            <w:vAlign w:val="bottom"/>
            <w:gridSpan w:val="2"/>
          </w:tcPr>
          <w:p>
            <w:pPr>
              <w:ind w:left="380"/>
              <w:spacing w:after="0"/>
              <w:rPr>
                <w:sz w:val="20"/>
                <w:szCs w:val="20"/>
                <w:color w:val="auto"/>
              </w:rPr>
            </w:pPr>
            <w:r>
              <w:rPr>
                <w:rFonts w:ascii="Arial" w:cs="Arial" w:eastAsia="Arial" w:hAnsi="Arial"/>
                <w:sz w:val="18"/>
                <w:szCs w:val="18"/>
                <w:color w:val="0000FF"/>
                <w:w w:val="95"/>
              </w:rPr>
              <w:t>77002</w:t>
            </w: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860" w:type="dxa"/>
            <w:vAlign w:val="bottom"/>
          </w:tcPr>
          <w:p>
            <w:pPr>
              <w:ind w:left="360"/>
              <w:spacing w:after="0"/>
              <w:rPr>
                <w:sz w:val="20"/>
                <w:szCs w:val="20"/>
                <w:color w:val="auto"/>
              </w:rPr>
            </w:pPr>
            <w:r>
              <w:rPr>
                <w:rFonts w:ascii="Arial" w:cs="Arial" w:eastAsia="Arial" w:hAnsi="Arial"/>
                <w:sz w:val="14"/>
                <w:szCs w:val="14"/>
                <w:color w:val="auto"/>
                <w:w w:val="94"/>
              </w:rPr>
              <w:t>(Middle)</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28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June 30, 2017, KAFU Holdings (QP), L.P. exercised the Redemption Right with respect to 959 AAP Class A units, resulting in the cancellation of such AAP Class A units and the distribution of 959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06/30/2017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2020-01-16T03:34:12Z</dcterms:created>
  <dcterms:modified xsi:type="dcterms:W3CDTF">2020-01-16T03:34:12Z</dcterms:modified>
</cp:coreProperties>
</file>