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One)*</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Plains All American Pipeline,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6"/>
          <w:szCs w:val="16"/>
          <w:u w:val="single" w:color="auto"/>
          <w:color w:val="auto"/>
        </w:rPr>
        <w:t>Common Units Representing Limited Partner Interests</w:t>
      </w:r>
      <w:r>
        <w:rPr>
          <w:rFonts w:ascii="Arial" w:cs="Arial" w:eastAsia="Arial" w:hAnsi="Arial"/>
          <w:sz w:val="16"/>
          <w:szCs w:val="16"/>
          <w:color w:val="auto"/>
        </w:rPr>
        <w:t>(Title of Class of Securities)</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726503105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020" w:hanging="101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ectPr>
          <w:pgSz w:w="11900" w:h="16838" w:orient="portrait"/>
          <w:cols w:equalWidth="0" w:num="1">
            <w:col w:w="11420"/>
          </w:cols>
          <w:pgMar w:left="240" w:top="544" w:right="239" w:bottom="1440" w:gutter="0" w:footer="0" w:header="0"/>
        </w:sectPr>
      </w:pP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Rule 13d-1(c)</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22" w:lineRule="exact"/>
        <w:rPr>
          <w:sz w:val="24"/>
          <w:szCs w:val="24"/>
          <w:color w:val="auto"/>
        </w:rPr>
      </w:pPr>
    </w:p>
    <w:p>
      <w:pPr>
        <w:sectPr>
          <w:pgSz w:w="11900" w:h="16838" w:orient="portrait"/>
          <w:cols w:equalWidth="0" w:num="2">
            <w:col w:w="300" w:space="720"/>
            <w:col w:w="10400"/>
          </w:cols>
          <w:pgMar w:left="240" w:top="544" w:right="239" w:bottom="1440" w:gutter="0" w:footer="0" w:header="0"/>
          <w:type w:val="continuous"/>
        </w:sectPr>
      </w:pPr>
    </w:p>
    <w:p>
      <w:pPr>
        <w:spacing w:after="0" w:line="3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1014095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CUSIP No.</w:t>
            </w:r>
          </w:p>
        </w:tc>
        <w:tc>
          <w:tcPr>
            <w:tcW w:w="1700" w:type="dxa"/>
            <w:vAlign w:val="bottom"/>
          </w:tcPr>
          <w:p>
            <w:pPr>
              <w:jc w:val="right"/>
              <w:spacing w:after="0"/>
              <w:rPr>
                <w:sz w:val="20"/>
                <w:szCs w:val="20"/>
                <w:color w:val="auto"/>
              </w:rPr>
            </w:pPr>
            <w:r>
              <w:rPr>
                <w:rFonts w:ascii="Arial" w:cs="Arial" w:eastAsia="Arial" w:hAnsi="Arial"/>
                <w:sz w:val="18"/>
                <w:szCs w:val="18"/>
                <w:color w:val="auto"/>
              </w:rPr>
              <w:t>726503105</w:t>
            </w:r>
          </w:p>
        </w:tc>
      </w:tr>
    </w:tbl>
    <w:p>
      <w:pPr>
        <w:jc w:val="both"/>
        <w:ind w:left="8220"/>
        <w:spacing w:after="0"/>
        <w:tabs>
          <w:tab w:leader="none" w:pos="10120" w:val="left"/>
        </w:tabs>
        <w:rPr>
          <w:sz w:val="20"/>
          <w:szCs w:val="20"/>
          <w:color w:val="auto"/>
        </w:rPr>
      </w:pPr>
      <w:r>
        <w:rPr>
          <w:rFonts w:ascii="Arial" w:cs="Arial" w:eastAsia="Arial" w:hAnsi="Arial"/>
          <w:sz w:val="18"/>
          <w:szCs w:val="18"/>
          <w:color w:val="auto"/>
        </w:rPr>
        <w:t>13G/A</w:t>
      </w:r>
      <w:r>
        <w:rPr>
          <w:sz w:val="20"/>
          <w:szCs w:val="20"/>
          <w:color w:val="auto"/>
        </w:rPr>
        <w:tab/>
      </w:r>
      <w:r>
        <w:rPr>
          <w:rFonts w:ascii="Arial" w:cs="Arial" w:eastAsia="Arial" w:hAnsi="Arial"/>
          <w:sz w:val="18"/>
          <w:szCs w:val="18"/>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920" w:right="6900" w:hanging="1079"/>
        <w:spacing w:after="0" w:line="308" w:lineRule="auto"/>
        <w:tabs>
          <w:tab w:leader="none" w:pos="192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NAME OF REPORTING PERSON Tortoise Capital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4" w:lineRule="exact"/>
        <w:rPr>
          <w:sz w:val="20"/>
          <w:szCs w:val="20"/>
          <w:color w:val="auto"/>
        </w:rPr>
      </w:pPr>
    </w:p>
    <w:p>
      <w:pPr>
        <w:ind w:left="1920" w:hanging="1079"/>
        <w:spacing w:after="0"/>
        <w:tabs>
          <w:tab w:leader="none" w:pos="19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2180" w:hanging="254"/>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2180" w:hanging="254"/>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1920" w:hanging="1079"/>
        <w:spacing w:after="0"/>
        <w:tabs>
          <w:tab w:leader="none" w:pos="192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1920" w:right="5820" w:hanging="1079"/>
        <w:spacing w:after="0" w:line="277" w:lineRule="auto"/>
        <w:tabs>
          <w:tab w:leader="none" w:pos="19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60" w:type="dxa"/>
            <w:vAlign w:val="bottom"/>
          </w:tcPr>
          <w:p>
            <w:pPr>
              <w:spacing w:after="0"/>
              <w:rPr>
                <w:sz w:val="19"/>
                <w:szCs w:val="19"/>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5</w:t>
            </w:r>
          </w:p>
        </w:tc>
        <w:tc>
          <w:tcPr>
            <w:tcW w:w="8180" w:type="dxa"/>
            <w:vAlign w:val="bottom"/>
          </w:tcPr>
          <w:p>
            <w:pPr>
              <w:ind w:left="5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8"/>
        </w:trPr>
        <w:tc>
          <w:tcPr>
            <w:tcW w:w="17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6</w:t>
            </w:r>
          </w:p>
        </w:tc>
        <w:tc>
          <w:tcPr>
            <w:tcW w:w="8180" w:type="dxa"/>
            <w:vAlign w:val="bottom"/>
          </w:tcPr>
          <w:p>
            <w:pPr>
              <w:ind w:left="5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7"/>
        </w:trPr>
        <w:tc>
          <w:tcPr>
            <w:tcW w:w="176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48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22,317,129 (see Item 4)</w:t>
            </w:r>
          </w:p>
        </w:tc>
        <w:tc>
          <w:tcPr>
            <w:tcW w:w="0" w:type="dxa"/>
            <w:vAlign w:val="bottom"/>
          </w:tcPr>
          <w:p>
            <w:pPr>
              <w:spacing w:after="0"/>
              <w:rPr>
                <w:sz w:val="1"/>
                <w:szCs w:val="1"/>
                <w:color w:val="auto"/>
              </w:rPr>
            </w:pPr>
          </w:p>
        </w:tc>
      </w:tr>
      <w:tr>
        <w:trPr>
          <w:trHeight w:val="188"/>
        </w:trPr>
        <w:tc>
          <w:tcPr>
            <w:tcW w:w="1760" w:type="dxa"/>
            <w:vAlign w:val="bottom"/>
          </w:tcPr>
          <w:p>
            <w:pPr>
              <w:jc w:val="center"/>
              <w:spacing w:after="0" w:line="189" w:lineRule="exact"/>
              <w:rPr>
                <w:sz w:val="20"/>
                <w:szCs w:val="20"/>
                <w:color w:val="auto"/>
              </w:rPr>
            </w:pPr>
            <w:r>
              <w:rPr>
                <w:rFonts w:ascii="Arial" w:cs="Arial" w:eastAsia="Arial" w:hAnsi="Arial"/>
                <w:sz w:val="18"/>
                <w:szCs w:val="18"/>
                <w:color w:val="auto"/>
              </w:rPr>
              <w:t>BENEFICIALLY</w:t>
            </w:r>
          </w:p>
        </w:tc>
        <w:tc>
          <w:tcPr>
            <w:tcW w:w="148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7"/>
              </w:rPr>
              <w:t>OWNED BY EACH</w:t>
            </w:r>
          </w:p>
        </w:tc>
        <w:tc>
          <w:tcPr>
            <w:tcW w:w="1480" w:type="dxa"/>
            <w:vAlign w:val="bottom"/>
          </w:tcPr>
          <w:p>
            <w:pPr>
              <w:jc w:val="right"/>
              <w:ind w:right="430"/>
              <w:spacing w:after="0"/>
              <w:rPr>
                <w:sz w:val="20"/>
                <w:szCs w:val="20"/>
                <w:color w:val="auto"/>
              </w:rPr>
            </w:pPr>
            <w:r>
              <w:rPr>
                <w:rFonts w:ascii="Arial" w:cs="Arial" w:eastAsia="Arial" w:hAnsi="Arial"/>
                <w:sz w:val="18"/>
                <w:szCs w:val="18"/>
                <w:b w:val="1"/>
                <w:bCs w:val="1"/>
                <w:color w:val="auto"/>
              </w:rPr>
              <w:t>7</w:t>
            </w:r>
          </w:p>
        </w:tc>
        <w:tc>
          <w:tcPr>
            <w:tcW w:w="8180" w:type="dxa"/>
            <w:vAlign w:val="bottom"/>
          </w:tcPr>
          <w:p>
            <w:pPr>
              <w:ind w:left="5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2"/>
              </w:rPr>
              <w:t>REPORTING PERSON</w:t>
            </w:r>
          </w:p>
        </w:tc>
        <w:tc>
          <w:tcPr>
            <w:tcW w:w="1480" w:type="dxa"/>
            <w:vAlign w:val="bottom"/>
          </w:tcPr>
          <w:p>
            <w:pPr>
              <w:spacing w:after="0"/>
              <w:rPr>
                <w:sz w:val="18"/>
                <w:szCs w:val="18"/>
                <w:color w:val="auto"/>
              </w:rPr>
            </w:pPr>
          </w:p>
        </w:tc>
        <w:tc>
          <w:tcPr>
            <w:tcW w:w="8180" w:type="dxa"/>
            <w:vAlign w:val="bottom"/>
          </w:tcPr>
          <w:p>
            <w:pPr>
              <w:ind w:left="5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5"/>
        </w:trPr>
        <w:tc>
          <w:tcPr>
            <w:tcW w:w="17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148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760" w:type="dxa"/>
            <w:vAlign w:val="bottom"/>
            <w:vMerge w:val="continue"/>
          </w:tcPr>
          <w:p>
            <w:pPr>
              <w:spacing w:after="0"/>
              <w:rPr>
                <w:sz w:val="15"/>
                <w:szCs w:val="15"/>
                <w:color w:val="auto"/>
              </w:rPr>
            </w:pPr>
          </w:p>
        </w:tc>
        <w:tc>
          <w:tcPr>
            <w:tcW w:w="14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8</w:t>
            </w:r>
          </w:p>
        </w:tc>
        <w:tc>
          <w:tcPr>
            <w:tcW w:w="8180" w:type="dxa"/>
            <w:vAlign w:val="bottom"/>
            <w:vMerge w:val="restart"/>
          </w:tcPr>
          <w:p>
            <w:pPr>
              <w:ind w:left="5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8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24,086,177 (see Item 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20" w:right="2940" w:hanging="1079"/>
        <w:spacing w:after="0" w:line="277" w:lineRule="auto"/>
        <w:tabs>
          <w:tab w:leader="none" w:pos="19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24,086,246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p>
      <w:pPr>
        <w:ind w:left="1980" w:right="1640" w:hanging="1184"/>
        <w:spacing w:after="0" w:line="277" w:lineRule="auto"/>
        <w:tabs>
          <w:tab w:leader="none" w:pos="193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 (See Instructions) Not Applicable</w:t>
      </w:r>
    </w:p>
    <w:p>
      <w:pPr>
        <w:spacing w:after="0" w:line="197" w:lineRule="exact"/>
        <w:rPr>
          <w:rFonts w:ascii="Arial" w:cs="Arial" w:eastAsia="Arial" w:hAnsi="Arial"/>
          <w:sz w:val="18"/>
          <w:szCs w:val="18"/>
          <w:b w:val="1"/>
          <w:bCs w:val="1"/>
          <w:color w:val="auto"/>
        </w:rPr>
      </w:pPr>
    </w:p>
    <w:p>
      <w:pPr>
        <w:ind w:left="1920" w:right="4560" w:hanging="1119"/>
        <w:spacing w:after="0" w:line="277" w:lineRule="auto"/>
        <w:tabs>
          <w:tab w:leader="none" w:pos="19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6.5% (see Item 4)</w:t>
      </w:r>
    </w:p>
    <w:p>
      <w:pPr>
        <w:spacing w:after="0" w:line="197" w:lineRule="exact"/>
        <w:rPr>
          <w:rFonts w:ascii="Arial" w:cs="Arial" w:eastAsia="Arial" w:hAnsi="Arial"/>
          <w:sz w:val="18"/>
          <w:szCs w:val="18"/>
          <w:b w:val="1"/>
          <w:bCs w:val="1"/>
          <w:color w:val="auto"/>
        </w:rPr>
      </w:pPr>
    </w:p>
    <w:p>
      <w:pPr>
        <w:ind w:left="1920" w:right="5160" w:hanging="1124"/>
        <w:spacing w:after="0" w:line="277" w:lineRule="auto"/>
        <w:tabs>
          <w:tab w:leader="none" w:pos="19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Page 3 of 5 Pages</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Plains All American Pipeline, L.P.</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333 Clay Street, Suite 1600, Houston, Texas 77002</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2(a)</w:t>
      </w:r>
      <w:r>
        <w:rPr>
          <w:sz w:val="20"/>
          <w:szCs w:val="20"/>
          <w:color w:val="auto"/>
        </w:rPr>
        <w:tab/>
      </w:r>
      <w:r>
        <w:rPr>
          <w:rFonts w:ascii="Arial" w:cs="Arial" w:eastAsia="Arial" w:hAnsi="Arial"/>
          <w:sz w:val="16"/>
          <w:szCs w:val="16"/>
          <w:b w:val="1"/>
          <w:bCs w:val="1"/>
          <w:u w:val="single" w:color="auto"/>
          <w:color w:val="auto"/>
        </w:rPr>
        <w:t>Name of Persons Filing</w:t>
      </w:r>
      <w:r>
        <w:rPr>
          <w:rFonts w:ascii="Arial" w:cs="Arial" w:eastAsia="Arial" w:hAnsi="Arial"/>
          <w:sz w:val="16"/>
          <w:szCs w:val="16"/>
          <w:b w:val="1"/>
          <w:bCs w:val="1"/>
          <w:color w:val="auto"/>
        </w:rPr>
        <w: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13G is being filed by Tortoise Capital Advisors, L.L.C., a Delaware limited liability company (“TCA”).</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business address is 11550 Ash Street, Suite 300, Leawood, Kansas 66211.</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TCA is a Delaware limited liability company.</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Units Representing Limited Partner Interests</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726503105</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The Reporting Person is</w:t>
      </w:r>
      <w:r>
        <w:rPr>
          <w:rFonts w:ascii="Arial" w:cs="Arial" w:eastAsia="Arial" w:hAnsi="Arial"/>
          <w:sz w:val="16"/>
          <w:szCs w:val="16"/>
          <w:b w:val="1"/>
          <w:bCs w:val="1"/>
          <w:color w:val="auto"/>
        </w:rPr>
        <w:t>:</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TCA is an investment adviser in accordance with Rule 13d-1(b)(1)(ii)(E) .</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TCA acts as an investment adviser to certain investment companies registered under the Investment Company Act of 1940.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owners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TCA also acts as an investment adviser to certain managed accounts. Under contractual agreements with managed account clients, TCA, with respect to the securities held in the client managed accounts, has investment and voting power with respect to certain client accounts, and has investment power but no voting power with respect to certain other client accounts. TCA has reported that it shares voting and/or investment power over the securities held by these client managed accounts despite a delegation of voting and/or investment power to TCA because the clients have the right to acquire investment and voting power through termination of their agreements with TCA. TCA may be deemed the beneficial owner of the securities covered by this statement under Rule 13d-3 of the Act that are held by its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line="200" w:lineRule="exact"/>
        <w:rPr>
          <w:sz w:val="20"/>
          <w:szCs w:val="20"/>
          <w:color w:val="auto"/>
        </w:rPr>
      </w:pPr>
    </w:p>
    <w:p>
      <w:pPr>
        <w:spacing w:after="0" w:line="259"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24,086,246</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6.5%</w:t>
      </w:r>
    </w:p>
    <w:p>
      <w:pPr>
        <w:spacing w:after="0" w:line="252" w:lineRule="exact"/>
        <w:rPr>
          <w:rFonts w:ascii="Arial" w:cs="Arial" w:eastAsia="Arial" w:hAnsi="Arial"/>
          <w:sz w:val="18"/>
          <w:szCs w:val="18"/>
          <w:color w:val="auto"/>
        </w:rPr>
      </w:pPr>
    </w:p>
    <w:p>
      <w:pPr>
        <w:ind w:left="940" w:hanging="28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the person has:</w:t>
      </w:r>
    </w:p>
    <w:p>
      <w:pPr>
        <w:spacing w:after="0" w:line="263" w:lineRule="exact"/>
        <w:rPr>
          <w:rFonts w:ascii="Arial" w:cs="Arial" w:eastAsia="Arial" w:hAnsi="Arial"/>
          <w:sz w:val="17"/>
          <w:szCs w:val="17"/>
          <w:color w:val="auto"/>
        </w:rPr>
      </w:pPr>
    </w:p>
    <w:p>
      <w:pPr>
        <w:ind w:left="1560" w:hanging="268"/>
        <w:spacing w:after="0"/>
        <w:tabs>
          <w:tab w:leader="none" w:pos="1560" w:val="left"/>
        </w:tabs>
        <w:numPr>
          <w:ilvl w:val="1"/>
          <w:numId w:val="8"/>
        </w:numPr>
        <w:rPr>
          <w:rFonts w:ascii="Arial" w:cs="Arial" w:eastAsia="Arial" w:hAnsi="Arial"/>
          <w:sz w:val="16"/>
          <w:szCs w:val="16"/>
          <w:color w:val="auto"/>
        </w:rPr>
      </w:pPr>
      <w:r>
        <w:rPr>
          <w:rFonts w:ascii="Arial" w:cs="Arial" w:eastAsia="Arial" w:hAnsi="Arial"/>
          <w:sz w:val="16"/>
          <w:szCs w:val="16"/>
          <w:color w:val="auto"/>
        </w:rPr>
        <w:t>Sole power to vote or to direct the vote:</w:t>
      </w:r>
    </w:p>
    <w:p>
      <w:pPr>
        <w:spacing w:after="0" w:line="248" w:lineRule="exact"/>
        <w:rPr>
          <w:rFonts w:ascii="Arial" w:cs="Arial" w:eastAsia="Arial" w:hAnsi="Arial"/>
          <w:sz w:val="16"/>
          <w:szCs w:val="16"/>
          <w:color w:val="auto"/>
        </w:rPr>
      </w:pPr>
    </w:p>
    <w:p>
      <w:pPr>
        <w:ind w:left="1560" w:hanging="318"/>
        <w:spacing w:after="0"/>
        <w:tabs>
          <w:tab w:leader="none" w:pos="1560" w:val="left"/>
        </w:tabs>
        <w:numPr>
          <w:ilvl w:val="1"/>
          <w:numId w:val="8"/>
        </w:numPr>
        <w:rPr>
          <w:rFonts w:ascii="Arial" w:cs="Arial" w:eastAsia="Arial" w:hAnsi="Arial"/>
          <w:sz w:val="16"/>
          <w:szCs w:val="16"/>
          <w:color w:val="auto"/>
        </w:rPr>
      </w:pPr>
      <w:r>
        <w:rPr>
          <w:rFonts w:ascii="Arial" w:cs="Arial" w:eastAsia="Arial" w:hAnsi="Arial"/>
          <w:sz w:val="16"/>
          <w:szCs w:val="16"/>
          <w:color w:val="auto"/>
        </w:rPr>
        <w:t>Shared power to vote or direct the vote:</w:t>
      </w:r>
    </w:p>
    <w:p>
      <w:pPr>
        <w:spacing w:after="0" w:line="248" w:lineRule="exact"/>
        <w:rPr>
          <w:rFonts w:ascii="Arial" w:cs="Arial" w:eastAsia="Arial" w:hAnsi="Arial"/>
          <w:sz w:val="16"/>
          <w:szCs w:val="16"/>
          <w:color w:val="auto"/>
        </w:rPr>
      </w:pPr>
    </w:p>
    <w:p>
      <w:pPr>
        <w:ind w:left="1500" w:right="240" w:hanging="308"/>
        <w:spacing w:after="0" w:line="182" w:lineRule="auto"/>
        <w:tabs>
          <w:tab w:leader="none" w:pos="1545" w:val="left"/>
        </w:tabs>
        <w:numPr>
          <w:ilvl w:val="1"/>
          <w:numId w:val="8"/>
        </w:numPr>
        <w:rPr>
          <w:rFonts w:ascii="Arial" w:cs="Arial" w:eastAsia="Arial" w:hAnsi="Arial"/>
          <w:sz w:val="34"/>
          <w:szCs w:val="34"/>
          <w:color w:val="auto"/>
          <w:vertAlign w:val="subscript"/>
        </w:rPr>
      </w:pPr>
      <w:r>
        <w:rPr>
          <w:rFonts w:ascii="Arial" w:cs="Arial" w:eastAsia="Arial" w:hAnsi="Arial"/>
          <w:sz w:val="17"/>
          <w:szCs w:val="17"/>
          <w:color w:val="auto"/>
        </w:rPr>
        <w:t>Sole power to dispose or to direct the disposition of:</w:t>
      </w:r>
    </w:p>
    <w:p>
      <w:pPr>
        <w:spacing w:after="0" w:line="203" w:lineRule="exact"/>
        <w:rPr>
          <w:rFonts w:ascii="Arial" w:cs="Arial" w:eastAsia="Arial" w:hAnsi="Arial"/>
          <w:sz w:val="34"/>
          <w:szCs w:val="34"/>
          <w:color w:val="auto"/>
          <w:vertAlign w:val="subscript"/>
        </w:rPr>
      </w:pPr>
    </w:p>
    <w:p>
      <w:pPr>
        <w:ind w:left="1500" w:right="60" w:hanging="298"/>
        <w:spacing w:after="0" w:line="182" w:lineRule="auto"/>
        <w:tabs>
          <w:tab w:leader="none" w:pos="1545" w:val="left"/>
        </w:tabs>
        <w:numPr>
          <w:ilvl w:val="1"/>
          <w:numId w:val="8"/>
        </w:numPr>
        <w:rPr>
          <w:rFonts w:ascii="Arial" w:cs="Arial" w:eastAsia="Arial" w:hAnsi="Arial"/>
          <w:sz w:val="34"/>
          <w:szCs w:val="34"/>
          <w:color w:val="auto"/>
          <w:vertAlign w:val="subscript"/>
        </w:rPr>
      </w:pPr>
      <w:r>
        <w:rPr>
          <w:rFonts w:ascii="Arial" w:cs="Arial" w:eastAsia="Arial" w:hAnsi="Arial"/>
          <w:sz w:val="17"/>
          <w:szCs w:val="17"/>
          <w:color w:val="auto"/>
        </w:rPr>
        <w:t>Shared power to dispose or to direct the disposition of:</w:t>
      </w:r>
    </w:p>
    <w:p>
      <w:pPr>
        <w:spacing w:after="0" w:line="2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22,317,129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24,086,177</w:t>
      </w:r>
    </w:p>
    <w:p>
      <w:pPr>
        <w:spacing w:after="0" w:line="763" w:lineRule="exact"/>
        <w:rPr>
          <w:sz w:val="20"/>
          <w:szCs w:val="20"/>
          <w:color w:val="auto"/>
        </w:rPr>
      </w:pPr>
    </w:p>
    <w:p>
      <w:pPr>
        <w:sectPr>
          <w:pgSz w:w="11900" w:h="16838" w:orient="portrait"/>
          <w:cols w:equalWidth="0" w:num="2">
            <w:col w:w="4480" w:space="480"/>
            <w:col w:w="6460"/>
          </w:cols>
          <w:pgMar w:left="240" w:top="517" w:right="239" w:bottom="1440" w:gutter="0" w:footer="0" w:header="0"/>
        </w:sectPr>
      </w:pP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The investment companies and client managed accounts discussed in Item 4 above have the right to receive all dividends from, and the proceeds from the sale of, the securities held in their respective accounts. The interest of any one such person does not exceed 5% of the class of securities.</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6"/>
          <w:szCs w:val="16"/>
          <w:b w:val="1"/>
          <w:bCs w:val="1"/>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Control Person: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6"/>
          <w:szCs w:val="16"/>
          <w:b w:val="1"/>
          <w:bCs w:val="1"/>
          <w:u w:val="single" w:color="auto"/>
          <w:color w:val="auto"/>
        </w:rPr>
        <w:t>Certifications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5 Pages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Tortoise Capital Advisors, L.L.C.</w:t>
      </w:r>
    </w:p>
    <w:p>
      <w:pPr>
        <w:spacing w:after="0" w:line="229" w:lineRule="exact"/>
        <w:rPr>
          <w:sz w:val="20"/>
          <w:szCs w:val="20"/>
          <w:color w:val="auto"/>
        </w:rPr>
      </w:pPr>
    </w:p>
    <w:p>
      <w:pPr>
        <w:spacing w:after="0"/>
        <w:tabs>
          <w:tab w:leader="none" w:pos="5440" w:val="left"/>
          <w:tab w:leader="none" w:pos="6800" w:val="left"/>
        </w:tabs>
        <w:rPr>
          <w:sz w:val="20"/>
          <w:szCs w:val="20"/>
          <w:color w:val="auto"/>
        </w:rPr>
      </w:pPr>
      <w:r>
        <w:rPr>
          <w:rFonts w:ascii="Arial" w:cs="Arial" w:eastAsia="Arial" w:hAnsi="Arial"/>
          <w:sz w:val="18"/>
          <w:szCs w:val="18"/>
          <w:color w:val="auto"/>
        </w:rPr>
        <w:t>Dated: February 10,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 Bradley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23495</wp:posOffset>
            </wp:positionV>
            <wp:extent cx="24872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P. Bradley Adams</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2070735</wp:posOffset>
            </wp:positionV>
            <wp:extent cx="7250430" cy="45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2"/>
      <w:numFmt w:val="bullet"/>
      <w:start w:val="1"/>
    </w:lvl>
    <w:lvl w:ilvl="1">
      <w:lvlJc w:val="left"/>
      <w:lvlText w:val="(%2)"/>
      <w:numFmt w:val="lowerLetter"/>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4"/>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2020-01-22T14:04:49Z</dcterms:created>
  <dcterms:modified xsi:type="dcterms:W3CDTF">2020-01-22T14:04:49Z</dcterms:modified>
</cp:coreProperties>
</file>