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4"/>
            <w:vMerge w:val="restart"/>
          </w:tcPr>
          <w:p>
            <w:pPr>
              <w:spacing w:after="0" w:line="250" w:lineRule="exact"/>
              <w:rPr>
                <w:rFonts w:ascii="Times New Roman" w:cs="Times New Roman" w:eastAsia="Times New Roman" w:hAnsi="Times New Roman"/>
                <w:sz w:val="22"/>
                <w:szCs w:val="22"/>
                <w:color w:val="0000EE"/>
                <w:w w:val="96"/>
              </w:rPr>
            </w:pPr>
            <w:hyperlink r:id="rId12">
              <w:r>
                <w:rPr>
                  <w:rFonts w:ascii="Times New Roman" w:cs="Times New Roman" w:eastAsia="Times New Roman" w:hAnsi="Times New Roman"/>
                  <w:sz w:val="22"/>
                  <w:szCs w:val="22"/>
                  <w:color w:val="0000EE"/>
                  <w:w w:val="96"/>
                </w:rPr>
                <w:t>RAYMOND JOHN T</w:t>
              </w:r>
            </w:hyperlink>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PLAINS ALL AMERICAN PIPELINE LP</w:t>
              </w:r>
            </w:hyperlink>
          </w:p>
        </w:tc>
        <w:tc>
          <w:tcPr>
            <w:tcW w:w="16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X</w:t>
            </w:r>
          </w:p>
        </w:tc>
        <w:tc>
          <w:tcPr>
            <w:tcW w:w="1220" w:type="dxa"/>
            <w:vAlign w:val="bottom"/>
            <w:gridSpan w:val="3"/>
            <w:vMerge w:val="restart"/>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tcBorders>
              <w:bottom w:val="single" w:sz="8" w:color="0000EE"/>
            </w:tcBorders>
            <w:gridSpan w:val="4"/>
            <w:vMerge w:val="continue"/>
          </w:tcPr>
          <w:p>
            <w:pPr>
              <w:spacing w:after="0"/>
              <w:rPr>
                <w:sz w:val="5"/>
                <w:szCs w:val="5"/>
                <w:color w:val="auto"/>
              </w:rPr>
            </w:pPr>
          </w:p>
        </w:tc>
        <w:tc>
          <w:tcPr>
            <w:tcW w:w="6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0000FF"/>
              </w:rPr>
              <w:t>PAA</w:t>
            </w:r>
            <w:r>
              <w:rPr>
                <w:rFonts w:ascii="Times New Roman" w:cs="Times New Roman" w:eastAsia="Times New Roman" w:hAnsi="Times New Roman"/>
                <w:sz w:val="22"/>
                <w:szCs w:val="22"/>
                <w:color w:val="auto"/>
              </w:rPr>
              <w:t xml:space="preserve"> ]</w:t>
            </w: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00" w:type="dxa"/>
            <w:vAlign w:val="bottom"/>
            <w:gridSpan w:val="4"/>
          </w:tcPr>
          <w:p>
            <w:pPr>
              <w:spacing w:after="0"/>
              <w:rPr>
                <w:sz w:val="6"/>
                <w:szCs w:val="6"/>
                <w:color w:val="auto"/>
              </w:rPr>
            </w:pPr>
          </w:p>
        </w:tc>
        <w:tc>
          <w:tcPr>
            <w:tcW w:w="64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20" w:type="dxa"/>
            <w:vAlign w:val="bottom"/>
            <w:gridSpan w:val="3"/>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3"/>
                <w:szCs w:val="3"/>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3"/>
            <w:vMerge w:val="restart"/>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811 MAIN STREET, SUITE 4200</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08/21/2014</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gridSpan w:val="3"/>
          </w:tcPr>
          <w:p>
            <w:pPr>
              <w:spacing w:after="0"/>
              <w:rPr>
                <w:sz w:val="9"/>
                <w:szCs w:val="9"/>
                <w:color w:val="auto"/>
              </w:rPr>
            </w:pPr>
          </w:p>
        </w:tc>
        <w:tc>
          <w:tcPr>
            <w:tcW w:w="2180" w:type="dxa"/>
            <w:vAlign w:val="bottom"/>
            <w:tcBorders>
              <w:bottom w:val="single" w:sz="8" w:color="2C2C2C"/>
            </w:tcBorders>
            <w:gridSpan w:val="4"/>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460" w:type="dxa"/>
            <w:vAlign w:val="bottom"/>
            <w:gridSpan w:val="7"/>
            <w:vMerge w:val="continue"/>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5"/>
          </w:tcPr>
          <w:p>
            <w:pPr>
              <w:ind w:left="160"/>
              <w:spacing w:after="0" w:line="191" w:lineRule="exact"/>
              <w:rPr>
                <w:sz w:val="20"/>
                <w:szCs w:val="20"/>
                <w:color w:val="auto"/>
              </w:rPr>
            </w:pPr>
            <w:r>
              <w:rPr>
                <w:rFonts w:ascii="Times New Roman" w:cs="Times New Roman" w:eastAsia="Times New Roman" w:hAnsi="Times New Roman"/>
                <w:sz w:val="18"/>
                <w:szCs w:val="18"/>
                <w:color w:val="0000FF"/>
              </w:rPr>
              <w:t>08/25/2014</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1"/>
              </w:rPr>
              <w:t>TX</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gridSpan w:val="6"/>
          </w:tcPr>
          <w:p>
            <w:pPr>
              <w:ind w:left="1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3"/>
          </w:tcPr>
          <w:p>
            <w:pPr>
              <w:ind w:left="1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6"/>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7700" w:type="dxa"/>
            <w:vAlign w:val="bottom"/>
            <w:tcBorders>
              <w:top w:val="single" w:sz="8" w:color="2C2C2C"/>
            </w:tcBorders>
            <w:gridSpan w:val="20"/>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340" w:type="dxa"/>
            <w:vAlign w:val="bottom"/>
          </w:tcPr>
          <w:p>
            <w:pPr>
              <w:spacing w:after="0"/>
              <w:rPr>
                <w:sz w:val="11"/>
                <w:szCs w:val="11"/>
                <w:color w:val="auto"/>
              </w:rPr>
            </w:pPr>
          </w:p>
        </w:tc>
        <w:tc>
          <w:tcPr>
            <w:tcW w:w="12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18"/>
                <w:szCs w:val="18"/>
                <w:color w:val="0000FF"/>
                <w:w w:val="97"/>
              </w:rPr>
              <w:t>08/21/2014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S</w:t>
            </w:r>
          </w:p>
        </w:tc>
        <w:tc>
          <w:tcPr>
            <w:tcW w:w="82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8"/>
                <w:szCs w:val="18"/>
                <w:color w:val="0000FF"/>
                <w:w w:val="93"/>
              </w:rPr>
              <w:t>53,649</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8"/>
                <w:szCs w:val="18"/>
                <w:color w:val="0000FF"/>
              </w:rPr>
              <w:t>D</w:t>
            </w:r>
          </w:p>
        </w:tc>
        <w:tc>
          <w:tcPr>
            <w:tcW w:w="960" w:type="dxa"/>
            <w:vAlign w:val="bottom"/>
            <w:tcBorders>
              <w:bottom w:val="single" w:sz="8" w:color="2C2C2C"/>
            </w:tcBorders>
            <w:gridSpan w:val="5"/>
          </w:tcPr>
          <w:p>
            <w:pPr>
              <w:ind w:left="10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58.5059</w:t>
            </w:r>
            <w:r>
              <w:rPr>
                <w:rFonts w:ascii="Times New Roman" w:cs="Times New Roman" w:eastAsia="Times New Roman" w:hAnsi="Times New Roman"/>
                <w:sz w:val="22"/>
                <w:szCs w:val="22"/>
                <w:color w:val="008000"/>
                <w:w w:val="98"/>
                <w:vertAlign w:val="superscript"/>
              </w:rPr>
              <w:t>(2)</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19"/>
              <w:spacing w:after="0"/>
              <w:rPr>
                <w:sz w:val="20"/>
                <w:szCs w:val="20"/>
                <w:color w:val="auto"/>
              </w:rPr>
            </w:pPr>
            <w:r>
              <w:rPr>
                <w:rFonts w:ascii="Times New Roman" w:cs="Times New Roman" w:eastAsia="Times New Roman" w:hAnsi="Times New Roman"/>
                <w:sz w:val="18"/>
                <w:szCs w:val="18"/>
                <w:color w:val="0000FF"/>
                <w:w w:val="97"/>
              </w:rPr>
              <w:t>1,631,382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18"/>
                <w:szCs w:val="18"/>
                <w:color w:val="0000FF"/>
                <w:w w:val="97"/>
              </w:rPr>
              <w:t>08/22/2014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S</w:t>
            </w:r>
          </w:p>
        </w:tc>
        <w:tc>
          <w:tcPr>
            <w:tcW w:w="82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8"/>
                <w:szCs w:val="18"/>
                <w:color w:val="0000FF"/>
                <w:w w:val="92"/>
              </w:rPr>
              <w:t>141,011</w:t>
            </w:r>
            <w:r>
              <w:rPr>
                <w:rFonts w:ascii="Times New Roman" w:cs="Times New Roman" w:eastAsia="Times New Roman" w:hAnsi="Times New Roman"/>
                <w:sz w:val="22"/>
                <w:szCs w:val="22"/>
                <w:color w:val="008000"/>
                <w:w w:val="92"/>
                <w:vertAlign w:val="superscript"/>
              </w:rPr>
              <w:t>(1)</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8"/>
                <w:szCs w:val="18"/>
                <w:color w:val="0000FF"/>
              </w:rPr>
              <w:t>D</w:t>
            </w:r>
          </w:p>
        </w:tc>
        <w:tc>
          <w:tcPr>
            <w:tcW w:w="960" w:type="dxa"/>
            <w:vAlign w:val="bottom"/>
            <w:tcBorders>
              <w:bottom w:val="single" w:sz="8" w:color="2C2C2C"/>
            </w:tcBorders>
            <w:gridSpan w:val="5"/>
          </w:tcPr>
          <w:p>
            <w:pPr>
              <w:ind w:left="10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58.3049</w:t>
            </w:r>
            <w:r>
              <w:rPr>
                <w:rFonts w:ascii="Times New Roman" w:cs="Times New Roman" w:eastAsia="Times New Roman" w:hAnsi="Times New Roman"/>
                <w:sz w:val="22"/>
                <w:szCs w:val="22"/>
                <w:color w:val="008000"/>
                <w:w w:val="98"/>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19"/>
              <w:spacing w:after="0"/>
              <w:rPr>
                <w:sz w:val="20"/>
                <w:szCs w:val="20"/>
                <w:color w:val="auto"/>
              </w:rPr>
            </w:pPr>
            <w:r>
              <w:rPr>
                <w:rFonts w:ascii="Times New Roman" w:cs="Times New Roman" w:eastAsia="Times New Roman" w:hAnsi="Times New Roman"/>
                <w:sz w:val="18"/>
                <w:szCs w:val="18"/>
                <w:color w:val="0000FF"/>
                <w:w w:val="97"/>
              </w:rPr>
              <w:t>1,490,371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18"/>
                <w:szCs w:val="18"/>
                <w:color w:val="0000FF"/>
                <w:w w:val="97"/>
              </w:rPr>
              <w:t>08/25/2014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S</w:t>
            </w:r>
          </w:p>
        </w:tc>
        <w:tc>
          <w:tcPr>
            <w:tcW w:w="82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8"/>
                <w:szCs w:val="18"/>
                <w:color w:val="0000FF"/>
                <w:w w:val="93"/>
              </w:rPr>
              <w:t>63,438</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8"/>
                <w:szCs w:val="18"/>
                <w:color w:val="0000FF"/>
              </w:rPr>
              <w:t>D</w:t>
            </w:r>
          </w:p>
        </w:tc>
        <w:tc>
          <w:tcPr>
            <w:tcW w:w="960" w:type="dxa"/>
            <w:vAlign w:val="bottom"/>
            <w:tcBorders>
              <w:bottom w:val="single" w:sz="8" w:color="2C2C2C"/>
            </w:tcBorders>
            <w:gridSpan w:val="5"/>
          </w:tcPr>
          <w:p>
            <w:pPr>
              <w:ind w:left="10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58.3418</w:t>
            </w:r>
            <w:r>
              <w:rPr>
                <w:rFonts w:ascii="Times New Roman" w:cs="Times New Roman" w:eastAsia="Times New Roman" w:hAnsi="Times New Roman"/>
                <w:sz w:val="22"/>
                <w:szCs w:val="22"/>
                <w:color w:val="008000"/>
                <w:w w:val="98"/>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19"/>
              <w:spacing w:after="0"/>
              <w:rPr>
                <w:sz w:val="20"/>
                <w:szCs w:val="20"/>
                <w:color w:val="auto"/>
              </w:rPr>
            </w:pPr>
            <w:r>
              <w:rPr>
                <w:rFonts w:ascii="Times New Roman" w:cs="Times New Roman" w:eastAsia="Times New Roman" w:hAnsi="Times New Roman"/>
                <w:sz w:val="18"/>
                <w:szCs w:val="18"/>
                <w:color w:val="0000FF"/>
                <w:w w:val="97"/>
              </w:rPr>
              <w:t>1,426,933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500" w:type="dxa"/>
            <w:vAlign w:val="bottom"/>
            <w:gridSpan w:val="15"/>
          </w:tcPr>
          <w:p>
            <w:pPr>
              <w:jc w:val="center"/>
              <w:ind w:left="5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4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29"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aggregate 258,098 common units reported as sold herein were owned directly by NGPMR MLP Opportunity Fund Company, LLC (the "MLP Fund"). Beneficial ownership of the 258,098 common units was originally reported by John T. Raymond ("Raymond") solely in his capacity as the Chief Executive Officer and Managing Partner of NGP MR GP, LLC, the general partner of NGP MR, LP, the general partner of NGP Midstream &amp; Resources, L.P., the member holding a majority interest in the MLP Fund. Raymond disclaims beneficial ownership of the 258,098 common units owned by the MLP Fund except to the extent of his pecuniary interest therein, and the inclusion of the common units in Raymond's Form 4 shall not be deemed an admission of beneficial ownership of all of the reported common units for purposes of Section 16 or for any other purpose.</w:t>
      </w:r>
    </w:p>
    <w:p>
      <w:pPr>
        <w:spacing w:after="0" w:line="28" w:lineRule="exact"/>
        <w:rPr>
          <w:rFonts w:ascii="Times New Roman" w:cs="Times New Roman" w:eastAsia="Times New Roman" w:hAnsi="Times New Roman"/>
          <w:sz w:val="14"/>
          <w:szCs w:val="14"/>
          <w:color w:val="008000"/>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in column 4 is a weighted average price. The units were sold in multiple transactions at prices ranging from $58.50 to $58.62. Reporting Person undertakes to provide to the SEC staff, the Issuer or any unitholder of the Issuer, upon request, full information regarding the number of units sold at each separate price.</w:t>
      </w:r>
    </w:p>
    <w:p>
      <w:pPr>
        <w:spacing w:after="0" w:line="27" w:lineRule="exact"/>
        <w:rPr>
          <w:rFonts w:ascii="Times New Roman" w:cs="Times New Roman" w:eastAsia="Times New Roman" w:hAnsi="Times New Roman"/>
          <w:sz w:val="14"/>
          <w:szCs w:val="14"/>
          <w:color w:val="008000"/>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in column 4 is a weighted average price. The units were sold in multiple transactions at prices ranging from $58.25 to $58.60. Reporting Person undertakes to provide to the SEC staff, the Issuer or any unitholder of the Issuer, upon request, full information regarding the number of units sold at each separate price.</w:t>
      </w:r>
    </w:p>
    <w:p>
      <w:pPr>
        <w:spacing w:after="0" w:line="27" w:lineRule="exact"/>
        <w:rPr>
          <w:rFonts w:ascii="Times New Roman" w:cs="Times New Roman" w:eastAsia="Times New Roman" w:hAnsi="Times New Roman"/>
          <w:sz w:val="14"/>
          <w:szCs w:val="14"/>
          <w:color w:val="008000"/>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in column 4 is a weighted average price. The units were sold in multiple transactions at prices ranging from $58.25 to $58.61. Reporting Person undertakes to provide to the SEC staff, the Issuer or any unitholder of the Issuer, upon request, full information regarding the number of units sold at each separate price.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/s/ John T. Raymond</w:t>
            </w:r>
          </w:p>
        </w:tc>
        <w:tc>
          <w:tcPr>
            <w:tcW w:w="6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08/25/2014</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173"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2020-01-28T09:40:04Z</dcterms:created>
  <dcterms:modified xsi:type="dcterms:W3CDTF">2020-01-28T09:40:04Z</dcterms:modified>
</cp:coreProperties>
</file>