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b w:val="1"/>
          <w:bCs w:val="1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205105</wp:posOffset>
            </wp:positionH>
            <wp:positionV relativeFrom="page">
              <wp:posOffset>302260</wp:posOffset>
            </wp:positionV>
            <wp:extent cx="7138035" cy="165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8035" cy="165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page">
              <wp:posOffset>205105</wp:posOffset>
            </wp:positionH>
            <wp:positionV relativeFrom="page">
              <wp:posOffset>334645</wp:posOffset>
            </wp:positionV>
            <wp:extent cx="7138035" cy="82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803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UNITED STATES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b w:val="1"/>
          <w:bCs w:val="1"/>
          <w:color w:val="auto"/>
        </w:rPr>
        <w:t>SECURITIES AND EXCHANGE COMMISSION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b w:val="1"/>
          <w:bCs w:val="1"/>
          <w:color w:val="auto"/>
        </w:rPr>
        <w:t>Washington, D.C. 20549</w:t>
      </w:r>
    </w:p>
    <w:p>
      <w:pPr>
        <w:spacing w:after="0" w:line="190" w:lineRule="exact"/>
        <w:rPr>
          <w:sz w:val="24"/>
          <w:szCs w:val="24"/>
          <w:color w:val="auto"/>
        </w:rPr>
      </w:pPr>
    </w:p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SCHEDULE 14A</w:t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b w:val="1"/>
          <w:bCs w:val="1"/>
          <w:color w:val="auto"/>
        </w:rPr>
        <w:t>Proxy Statement Pursuant to Section 14(a) of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b w:val="1"/>
          <w:bCs w:val="1"/>
          <w:color w:val="auto"/>
        </w:rPr>
        <w:t>the Securities Exchange Act of 1934 (Amendment No.       )</w:t>
      </w:r>
    </w:p>
    <w:p>
      <w:pPr>
        <w:spacing w:after="0" w:line="160" w:lineRule="exact"/>
        <w:rPr>
          <w:sz w:val="24"/>
          <w:szCs w:val="24"/>
          <w:color w:val="auto"/>
        </w:rPr>
      </w:pPr>
    </w:p>
    <w:p>
      <w:pPr>
        <w:spacing w:after="0" w:line="196" w:lineRule="exact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auto"/>
        </w:rPr>
        <w:t xml:space="preserve">Filed by the Registrant </w:t>
      </w:r>
      <w:r>
        <w:rPr>
          <w:rFonts w:ascii="MS PGothic" w:cs="MS PGothic" w:eastAsia="MS PGothic" w:hAnsi="MS PGothic"/>
          <w:sz w:val="17"/>
          <w:szCs w:val="17"/>
          <w:color w:val="auto"/>
        </w:rPr>
        <w:t>☒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spacing w:after="0" w:line="196" w:lineRule="exact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auto"/>
        </w:rPr>
        <w:t xml:space="preserve">Filed by a Party other than the Registrant </w:t>
      </w:r>
      <w:r>
        <w:rPr>
          <w:rFonts w:ascii="MS PGothic" w:cs="MS PGothic" w:eastAsia="MS PGothic" w:hAnsi="MS PGothic"/>
          <w:sz w:val="17"/>
          <w:szCs w:val="17"/>
          <w:color w:val="auto"/>
        </w:rPr>
        <w:t>☐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auto"/>
        </w:rPr>
        <w:t>Check the appropriate box: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340" w:hanging="337"/>
        <w:spacing w:after="0"/>
        <w:tabs>
          <w:tab w:leader="none" w:pos="340" w:val="left"/>
        </w:tabs>
        <w:numPr>
          <w:ilvl w:val="0"/>
          <w:numId w:val="1"/>
        </w:numPr>
        <w:rPr>
          <w:rFonts w:ascii="MS PGothic" w:cs="MS PGothic" w:eastAsia="MS PGothic" w:hAnsi="MS PGothic"/>
          <w:sz w:val="17"/>
          <w:szCs w:val="17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auto"/>
        </w:rPr>
        <w:t>Preliminary Proxy Statement</w:t>
      </w:r>
    </w:p>
    <w:p>
      <w:pPr>
        <w:spacing w:after="0" w:line="17" w:lineRule="exact"/>
        <w:rPr>
          <w:rFonts w:ascii="MS PGothic" w:cs="MS PGothic" w:eastAsia="MS PGothic" w:hAnsi="MS PGothic"/>
          <w:sz w:val="17"/>
          <w:szCs w:val="17"/>
          <w:color w:val="auto"/>
        </w:rPr>
      </w:pPr>
    </w:p>
    <w:p>
      <w:pPr>
        <w:ind w:left="340" w:hanging="337"/>
        <w:spacing w:after="0"/>
        <w:tabs>
          <w:tab w:leader="none" w:pos="340" w:val="left"/>
        </w:tabs>
        <w:numPr>
          <w:ilvl w:val="0"/>
          <w:numId w:val="1"/>
        </w:numPr>
        <w:rPr>
          <w:rFonts w:ascii="MS PGothic" w:cs="MS PGothic" w:eastAsia="MS PGothic" w:hAnsi="MS PGothic"/>
          <w:sz w:val="17"/>
          <w:szCs w:val="17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b w:val="1"/>
          <w:bCs w:val="1"/>
          <w:color w:val="auto"/>
        </w:rPr>
        <w:t>Confidential, for Use of the Commission Only (as permitted by Rule 14a-6(e)(2))</w:t>
      </w:r>
    </w:p>
    <w:p>
      <w:pPr>
        <w:spacing w:after="0" w:line="11" w:lineRule="exact"/>
        <w:rPr>
          <w:rFonts w:ascii="MS PGothic" w:cs="MS PGothic" w:eastAsia="MS PGothic" w:hAnsi="MS PGothic"/>
          <w:sz w:val="17"/>
          <w:szCs w:val="17"/>
          <w:color w:val="auto"/>
        </w:rPr>
      </w:pPr>
    </w:p>
    <w:p>
      <w:pPr>
        <w:ind w:left="340" w:hanging="337"/>
        <w:spacing w:after="0"/>
        <w:tabs>
          <w:tab w:leader="none" w:pos="340" w:val="left"/>
        </w:tabs>
        <w:numPr>
          <w:ilvl w:val="0"/>
          <w:numId w:val="1"/>
        </w:numPr>
        <w:rPr>
          <w:rFonts w:ascii="MS PGothic" w:cs="MS PGothic" w:eastAsia="MS PGothic" w:hAnsi="MS PGothic"/>
          <w:sz w:val="17"/>
          <w:szCs w:val="17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auto"/>
        </w:rPr>
        <w:t>Definitive Proxy Statement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340" w:hanging="337"/>
        <w:spacing w:after="0"/>
        <w:tabs>
          <w:tab w:leader="none" w:pos="340" w:val="left"/>
        </w:tabs>
        <w:numPr>
          <w:ilvl w:val="0"/>
          <w:numId w:val="2"/>
        </w:numPr>
        <w:rPr>
          <w:rFonts w:ascii="MS PGothic" w:cs="MS PGothic" w:eastAsia="MS PGothic" w:hAnsi="MS PGothic"/>
          <w:sz w:val="17"/>
          <w:szCs w:val="17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auto"/>
        </w:rPr>
        <w:t>Definitive Additional Materials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340" w:hanging="337"/>
        <w:spacing w:after="0"/>
        <w:tabs>
          <w:tab w:leader="none" w:pos="340" w:val="left"/>
        </w:tabs>
        <w:numPr>
          <w:ilvl w:val="0"/>
          <w:numId w:val="3"/>
        </w:numPr>
        <w:rPr>
          <w:rFonts w:ascii="MS PGothic" w:cs="MS PGothic" w:eastAsia="MS PGothic" w:hAnsi="MS PGothic"/>
          <w:sz w:val="17"/>
          <w:szCs w:val="17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auto"/>
        </w:rPr>
        <w:t>Soliciting Material under §240.14a-12</w:t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40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PLAINS GP HOLDINGS, L.P.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1905</wp:posOffset>
            </wp:positionH>
            <wp:positionV relativeFrom="paragraph">
              <wp:posOffset>30480</wp:posOffset>
            </wp:positionV>
            <wp:extent cx="7138035" cy="82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803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auto"/>
        </w:rPr>
        <w:t>(Name of Registrant as Specified In Its Charter)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1905</wp:posOffset>
            </wp:positionH>
            <wp:positionV relativeFrom="paragraph">
              <wp:posOffset>156845</wp:posOffset>
            </wp:positionV>
            <wp:extent cx="7138035" cy="825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803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49" w:lineRule="exact"/>
        <w:rPr>
          <w:sz w:val="24"/>
          <w:szCs w:val="24"/>
          <w:color w:val="auto"/>
        </w:rPr>
      </w:pPr>
    </w:p>
    <w:p>
      <w:pPr>
        <w:ind w:left="31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auto"/>
        </w:rPr>
        <w:t>(Name of Person(s) Filing Proxy Statement, if other than the Registrant)</w:t>
      </w:r>
    </w:p>
    <w:p>
      <w:pPr>
        <w:spacing w:after="0" w:line="21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auto"/>
        </w:rPr>
        <w:t>Payment of Filing Fee (Check the appropriate box):</w:t>
      </w:r>
    </w:p>
    <w:p>
      <w:pPr>
        <w:spacing w:after="0" w:line="23" w:lineRule="exact"/>
        <w:rPr>
          <w:sz w:val="24"/>
          <w:szCs w:val="24"/>
          <w:color w:val="auto"/>
        </w:rPr>
      </w:pPr>
    </w:p>
    <w:p>
      <w:pPr>
        <w:ind w:left="340" w:hanging="337"/>
        <w:spacing w:after="0"/>
        <w:tabs>
          <w:tab w:leader="none" w:pos="340" w:val="left"/>
        </w:tabs>
        <w:numPr>
          <w:ilvl w:val="0"/>
          <w:numId w:val="4"/>
        </w:numPr>
        <w:rPr>
          <w:rFonts w:ascii="MS PGothic" w:cs="MS PGothic" w:eastAsia="MS PGothic" w:hAnsi="MS PGothic"/>
          <w:sz w:val="17"/>
          <w:szCs w:val="17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auto"/>
        </w:rPr>
        <w:t>No fee required.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340" w:hanging="337"/>
        <w:spacing w:after="0"/>
        <w:tabs>
          <w:tab w:leader="none" w:pos="340" w:val="left"/>
        </w:tabs>
        <w:numPr>
          <w:ilvl w:val="0"/>
          <w:numId w:val="5"/>
        </w:numPr>
        <w:rPr>
          <w:rFonts w:ascii="MS PGothic" w:cs="MS PGothic" w:eastAsia="MS PGothic" w:hAnsi="MS PGothic"/>
          <w:sz w:val="17"/>
          <w:szCs w:val="17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auto"/>
        </w:rPr>
        <w:t>Fee paid previously with preliminary materials.</w:t>
      </w:r>
    </w:p>
    <w:p>
      <w:pPr>
        <w:spacing w:after="0" w:line="17" w:lineRule="exact"/>
        <w:rPr>
          <w:rFonts w:ascii="MS PGothic" w:cs="MS PGothic" w:eastAsia="MS PGothic" w:hAnsi="MS PGothic"/>
          <w:sz w:val="17"/>
          <w:szCs w:val="17"/>
          <w:color w:val="auto"/>
        </w:rPr>
      </w:pPr>
    </w:p>
    <w:p>
      <w:pPr>
        <w:ind w:left="340" w:hanging="337"/>
        <w:spacing w:after="0"/>
        <w:tabs>
          <w:tab w:leader="none" w:pos="340" w:val="left"/>
        </w:tabs>
        <w:numPr>
          <w:ilvl w:val="0"/>
          <w:numId w:val="5"/>
        </w:numPr>
        <w:rPr>
          <w:rFonts w:ascii="MS PGothic" w:cs="MS PGothic" w:eastAsia="MS PGothic" w:hAnsi="MS PGothic"/>
          <w:sz w:val="17"/>
          <w:szCs w:val="17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auto"/>
        </w:rPr>
        <w:t>Fee computed on table in exhibit required by Item 25(b) per Exchange Act Rules 14a6(i)(1) and 0 -11.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1905</wp:posOffset>
            </wp:positionH>
            <wp:positionV relativeFrom="paragraph">
              <wp:posOffset>137160</wp:posOffset>
            </wp:positionV>
            <wp:extent cx="7138035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803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1905</wp:posOffset>
            </wp:positionH>
            <wp:positionV relativeFrom="paragraph">
              <wp:posOffset>161925</wp:posOffset>
            </wp:positionV>
            <wp:extent cx="7138035" cy="1651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8035" cy="165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1905</wp:posOffset>
            </wp:positionH>
            <wp:positionV relativeFrom="paragraph">
              <wp:posOffset>596265</wp:posOffset>
            </wp:positionV>
            <wp:extent cx="713803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803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139"/>
          </w:cols>
          <w:pgMar w:left="320" w:top="752" w:right="1440" w:bottom="1440" w:gutter="0" w:footer="0" w:header="0"/>
        </w:sectPr>
      </w:pPr>
    </w:p>
    <w:bookmarkStart w:id="1" w:name="page2"/>
    <w:bookmarkEnd w:id="1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393700</wp:posOffset>
            </wp:positionH>
            <wp:positionV relativeFrom="page">
              <wp:posOffset>433070</wp:posOffset>
            </wp:positionV>
            <wp:extent cx="6761480" cy="8301990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61480" cy="83019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" w:name="page3"/>
    <w:bookmarkEnd w:id="2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271145</wp:posOffset>
            </wp:positionH>
            <wp:positionV relativeFrom="page">
              <wp:posOffset>88900</wp:posOffset>
            </wp:positionV>
            <wp:extent cx="6958330" cy="9367520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58330" cy="93675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sectPr>
      <w:pgSz w:w="11900" w:h="16838" w:orient="portrait"/>
      <w:cols w:equalWidth="1" w:num="1" w:space="0"/>
      <w:pgMar w:left="1440" w:top="1440" w:right="1440" w:bottom="875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PGothic">
    <w:panose1 w:val="020B0600070205080204"/>
    <w:charset w:val="80"/>
    <w:family w:val="swiss"/>
    <w:pitch w:val="variable"/>
    <w:sig w:usb0="E00002FF" w:usb1="6AC7FDFB" w:usb2="08000012" w:usb3="00000000" w:csb0="4002009F" w:csb1="DFD70000"/>
  </w:font>
</w:fonts>
</file>

<file path=word/numbering.xml><?xml version="1.0" encoding="utf-8"?>
<w:numbering xmlns:w="http://schemas.openxmlformats.org/wordprocessingml/2006/main">
  <w:abstractNum w:abstractNumId="0">
    <w:nsid w:val="19495CFF"/>
    <w:multiLevelType w:val="hybridMultilevel"/>
    <w:lvl w:ilvl="0">
      <w:lvlJc w:val="left"/>
      <w:lvlText w:val="☐"/>
      <w:numFmt w:val="bullet"/>
      <w:start w:val="1"/>
    </w:lvl>
  </w:abstractNum>
  <w:abstractNum w:abstractNumId="1">
    <w:nsid w:val="2AE8944A"/>
    <w:multiLevelType w:val="hybridMultilevel"/>
    <w:lvl w:ilvl="0">
      <w:lvlJc w:val="left"/>
      <w:lvlText w:val="☒"/>
      <w:numFmt w:val="bullet"/>
      <w:start w:val="1"/>
    </w:lvl>
  </w:abstractNum>
  <w:abstractNum w:abstractNumId="2">
    <w:nsid w:val="625558EC"/>
    <w:multiLevelType w:val="hybridMultilevel"/>
    <w:lvl w:ilvl="0">
      <w:lvlJc w:val="left"/>
      <w:lvlText w:val="☐"/>
      <w:numFmt w:val="bullet"/>
      <w:start w:val="1"/>
    </w:lvl>
  </w:abstractNum>
  <w:abstractNum w:abstractNumId="3">
    <w:nsid w:val="238E1F29"/>
    <w:multiLevelType w:val="hybridMultilevel"/>
    <w:lvl w:ilvl="0">
      <w:lvlJc w:val="left"/>
      <w:lvlText w:val="☒"/>
      <w:numFmt w:val="bullet"/>
      <w:start w:val="1"/>
    </w:lvl>
  </w:abstractNum>
  <w:abstractNum w:abstractNumId="4">
    <w:nsid w:val="46E87CCD"/>
    <w:multiLevelType w:val="hybridMultilevel"/>
    <w:lvl w:ilvl="0">
      <w:lvlJc w:val="left"/>
      <w:lvlText w:val="☐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image" Target="media/image6.png"/><Relationship Id="rId14" Type="http://schemas.openxmlformats.org/officeDocument/2006/relationships/image" Target="media/image7.png"/><Relationship Id="rId15" Type="http://schemas.openxmlformats.org/officeDocument/2006/relationships/image" Target="media/image8.png"/><Relationship Id="rId16" Type="http://schemas.openxmlformats.org/officeDocument/2006/relationships/image" Target="media/image9.pn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2025-04-11T05:17:47Z</dcterms:created>
  <dcterms:modified xsi:type="dcterms:W3CDTF">2025-04-11T05:17:47Z</dcterms:modified>
</cp:coreProperties>
</file>